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C28905" w14:textId="77777777" w:rsidR="002B1475" w:rsidRPr="002B1475" w:rsidRDefault="002B1475" w:rsidP="002B1475">
      <w:pPr>
        <w:pStyle w:val="BlockText"/>
        <w:widowControl w:val="0"/>
        <w:bidi w:val="0"/>
        <w:spacing w:after="0"/>
        <w:ind w:left="0"/>
        <w:jc w:val="center"/>
        <w:rPr>
          <w:rFonts w:asciiTheme="minorBidi" w:hAnsiTheme="minorBidi" w:cstheme="minorBidi"/>
          <w:caps/>
        </w:rPr>
      </w:pPr>
      <w:bookmarkStart w:id="0" w:name="_GoBack"/>
      <w:bookmarkEnd w:id="0"/>
      <w:r w:rsidRPr="002B1475">
        <w:rPr>
          <w:rFonts w:asciiTheme="minorBidi" w:hAnsiTheme="minorBidi" w:cstheme="minorBidi"/>
          <w:caps/>
          <w:lang w:val="en-GB"/>
        </w:rPr>
        <w:t>YESHIVAT HAR ETZION</w:t>
      </w:r>
    </w:p>
    <w:p w14:paraId="480F47F4" w14:textId="77777777" w:rsidR="002B1475" w:rsidRPr="002B1475" w:rsidRDefault="002B1475" w:rsidP="002B1475">
      <w:pPr>
        <w:widowControl w:val="0"/>
        <w:spacing w:line="240" w:lineRule="auto"/>
        <w:jc w:val="center"/>
        <w:rPr>
          <w:rFonts w:asciiTheme="minorBidi" w:hAnsiTheme="minorBidi" w:cstheme="minorBidi"/>
          <w:caps/>
          <w:sz w:val="24"/>
          <w:szCs w:val="24"/>
          <w:lang w:val="en-GB"/>
        </w:rPr>
      </w:pPr>
      <w:r w:rsidRPr="002B1475">
        <w:rPr>
          <w:rFonts w:asciiTheme="minorBidi" w:hAnsiTheme="minorBidi" w:cstheme="minorBidi"/>
          <w:caps/>
          <w:sz w:val="24"/>
          <w:szCs w:val="24"/>
          <w:lang w:val="en-GB"/>
        </w:rPr>
        <w:t>ISRAEL KOSCHITZKY VIRTUAL BEIT MIDRASH (VBM)</w:t>
      </w:r>
    </w:p>
    <w:p w14:paraId="0D482BE4" w14:textId="77777777" w:rsidR="002B1475" w:rsidRPr="002B1475" w:rsidRDefault="002B1475" w:rsidP="002B1475">
      <w:pPr>
        <w:widowControl w:val="0"/>
        <w:spacing w:line="240" w:lineRule="auto"/>
        <w:jc w:val="center"/>
        <w:rPr>
          <w:rFonts w:asciiTheme="minorBidi" w:hAnsiTheme="minorBidi" w:cstheme="minorBidi"/>
          <w:caps/>
          <w:sz w:val="24"/>
          <w:szCs w:val="24"/>
          <w:lang w:val="en-GB"/>
        </w:rPr>
      </w:pPr>
      <w:r w:rsidRPr="002B1475">
        <w:rPr>
          <w:rFonts w:asciiTheme="minorBidi" w:hAnsiTheme="minorBidi" w:cstheme="minorBidi"/>
          <w:caps/>
          <w:sz w:val="24"/>
          <w:szCs w:val="24"/>
          <w:lang w:val="en-GB"/>
        </w:rPr>
        <w:t>*********************************************************</w:t>
      </w:r>
    </w:p>
    <w:p w14:paraId="24C891E9" w14:textId="77777777" w:rsidR="002B1475" w:rsidRPr="002B1475" w:rsidRDefault="002B1475" w:rsidP="002B1475">
      <w:pPr>
        <w:widowControl w:val="0"/>
        <w:spacing w:line="240" w:lineRule="auto"/>
        <w:jc w:val="center"/>
        <w:rPr>
          <w:rFonts w:asciiTheme="minorBidi" w:hAnsiTheme="minorBidi" w:cstheme="minorBidi"/>
          <w:b/>
          <w:bCs/>
          <w:caps/>
          <w:sz w:val="24"/>
          <w:szCs w:val="24"/>
        </w:rPr>
      </w:pPr>
    </w:p>
    <w:p w14:paraId="3D926772" w14:textId="77777777" w:rsidR="002B1475" w:rsidRPr="002B1475" w:rsidRDefault="002B1475" w:rsidP="002B1475">
      <w:pPr>
        <w:widowControl w:val="0"/>
        <w:spacing w:line="240" w:lineRule="auto"/>
        <w:jc w:val="center"/>
        <w:rPr>
          <w:rFonts w:asciiTheme="minorBidi" w:hAnsiTheme="minorBidi" w:cstheme="minorBidi"/>
          <w:b/>
          <w:bCs/>
          <w:caps/>
          <w:sz w:val="24"/>
          <w:szCs w:val="24"/>
        </w:rPr>
      </w:pPr>
      <w:r w:rsidRPr="002B1475">
        <w:rPr>
          <w:rFonts w:asciiTheme="minorBidi" w:hAnsiTheme="minorBidi" w:cstheme="minorBidi"/>
          <w:b/>
          <w:bCs/>
          <w:i/>
          <w:iCs/>
          <w:caps/>
          <w:sz w:val="24"/>
          <w:szCs w:val="24"/>
        </w:rPr>
        <w:t>SHIVAT TZION</w:t>
      </w:r>
      <w:r w:rsidRPr="002B1475">
        <w:rPr>
          <w:rFonts w:asciiTheme="minorBidi" w:hAnsiTheme="minorBidi" w:cstheme="minorBidi"/>
          <w:b/>
          <w:bCs/>
          <w:caps/>
          <w:sz w:val="24"/>
          <w:szCs w:val="24"/>
        </w:rPr>
        <w:t xml:space="preserve">: </w:t>
      </w:r>
    </w:p>
    <w:p w14:paraId="3497450D" w14:textId="77777777" w:rsidR="002B1475" w:rsidRPr="002B1475" w:rsidRDefault="002B1475" w:rsidP="002B1475">
      <w:pPr>
        <w:widowControl w:val="0"/>
        <w:spacing w:line="240" w:lineRule="auto"/>
        <w:jc w:val="center"/>
        <w:rPr>
          <w:rFonts w:asciiTheme="minorBidi" w:hAnsiTheme="minorBidi" w:cstheme="minorBidi"/>
          <w:b/>
          <w:bCs/>
          <w:i/>
          <w:iCs/>
          <w:caps/>
          <w:sz w:val="24"/>
          <w:szCs w:val="24"/>
        </w:rPr>
      </w:pPr>
      <w:r w:rsidRPr="002B1475">
        <w:rPr>
          <w:rFonts w:asciiTheme="minorBidi" w:hAnsiTheme="minorBidi" w:cstheme="minorBidi"/>
          <w:b/>
          <w:bCs/>
          <w:caps/>
          <w:sz w:val="24"/>
          <w:szCs w:val="24"/>
        </w:rPr>
        <w:t>INTRODUCTION TO THE PROPHETS OF THE RETURN TO ZION</w:t>
      </w:r>
    </w:p>
    <w:p w14:paraId="2A40C5E3" w14:textId="77777777" w:rsidR="002B1475" w:rsidRPr="002B1475" w:rsidRDefault="002B1475" w:rsidP="002B1475">
      <w:pPr>
        <w:widowControl w:val="0"/>
        <w:spacing w:line="240" w:lineRule="auto"/>
        <w:jc w:val="center"/>
        <w:rPr>
          <w:rFonts w:asciiTheme="minorBidi" w:hAnsiTheme="minorBidi" w:cstheme="minorBidi"/>
          <w:b/>
          <w:bCs/>
          <w:sz w:val="24"/>
          <w:szCs w:val="24"/>
        </w:rPr>
      </w:pPr>
      <w:r w:rsidRPr="002B1475">
        <w:rPr>
          <w:rFonts w:asciiTheme="minorBidi" w:hAnsiTheme="minorBidi" w:cstheme="minorBidi"/>
          <w:b/>
          <w:bCs/>
          <w:sz w:val="24"/>
          <w:szCs w:val="24"/>
        </w:rPr>
        <w:t>By Rav Tzvi Sinensky</w:t>
      </w:r>
    </w:p>
    <w:p w14:paraId="11F457DB" w14:textId="77777777" w:rsidR="002B1475" w:rsidRPr="002B1475" w:rsidRDefault="002B1475" w:rsidP="002B1475">
      <w:pPr>
        <w:pStyle w:val="Normal1"/>
        <w:spacing w:line="240" w:lineRule="auto"/>
        <w:jc w:val="center"/>
        <w:rPr>
          <w:rFonts w:asciiTheme="minorBidi" w:hAnsiTheme="minorBidi" w:cstheme="minorBidi"/>
          <w:b/>
          <w:sz w:val="24"/>
          <w:szCs w:val="24"/>
          <w:u w:val="single"/>
        </w:rPr>
      </w:pPr>
    </w:p>
    <w:p w14:paraId="7548DF5E" w14:textId="35AA51A6" w:rsidR="0028314D" w:rsidRPr="002B1475" w:rsidRDefault="002B1475" w:rsidP="002B1475">
      <w:pPr>
        <w:pStyle w:val="Normal1"/>
        <w:spacing w:line="240" w:lineRule="auto"/>
        <w:jc w:val="center"/>
        <w:rPr>
          <w:rFonts w:asciiTheme="minorBidi" w:hAnsiTheme="minorBidi" w:cstheme="minorBidi"/>
          <w:b/>
          <w:sz w:val="24"/>
          <w:szCs w:val="24"/>
        </w:rPr>
      </w:pPr>
      <w:r w:rsidRPr="002B1475">
        <w:rPr>
          <w:rFonts w:asciiTheme="minorBidi" w:hAnsiTheme="minorBidi" w:cstheme="minorBidi"/>
          <w:b/>
          <w:sz w:val="24"/>
          <w:szCs w:val="24"/>
        </w:rPr>
        <w:t xml:space="preserve">Shiur #02: </w:t>
      </w:r>
      <w:r w:rsidR="0028314D" w:rsidRPr="002B1475">
        <w:rPr>
          <w:rFonts w:asciiTheme="minorBidi" w:hAnsiTheme="minorBidi" w:cstheme="minorBidi"/>
          <w:b/>
          <w:sz w:val="24"/>
          <w:szCs w:val="24"/>
        </w:rPr>
        <w:t>The Missing Years</w:t>
      </w:r>
    </w:p>
    <w:p w14:paraId="07AE0DAA" w14:textId="77777777" w:rsidR="0028314D" w:rsidRDefault="0028314D" w:rsidP="002B1475">
      <w:pPr>
        <w:pStyle w:val="Normal1"/>
        <w:spacing w:line="240" w:lineRule="auto"/>
        <w:rPr>
          <w:rFonts w:asciiTheme="minorBidi" w:hAnsiTheme="minorBidi" w:cstheme="minorBidi"/>
          <w:sz w:val="24"/>
          <w:szCs w:val="24"/>
        </w:rPr>
      </w:pPr>
    </w:p>
    <w:p w14:paraId="620B2A70" w14:textId="77777777" w:rsidR="002B1475" w:rsidRPr="002B1475" w:rsidRDefault="002B1475" w:rsidP="002B1475">
      <w:pPr>
        <w:pStyle w:val="Normal1"/>
        <w:spacing w:line="240" w:lineRule="auto"/>
        <w:jc w:val="both"/>
        <w:rPr>
          <w:rFonts w:asciiTheme="minorBidi" w:hAnsiTheme="minorBidi" w:cstheme="minorBidi"/>
          <w:sz w:val="24"/>
          <w:szCs w:val="24"/>
        </w:rPr>
      </w:pPr>
    </w:p>
    <w:p w14:paraId="31593A97" w14:textId="069F8179"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Before jumping into the book of </w:t>
      </w:r>
      <w:r w:rsidRPr="002B1475">
        <w:rPr>
          <w:rFonts w:asciiTheme="minorBidi" w:hAnsiTheme="minorBidi" w:cstheme="minorBidi"/>
          <w:i/>
          <w:sz w:val="24"/>
          <w:szCs w:val="24"/>
        </w:rPr>
        <w:t>Ezra</w:t>
      </w:r>
      <w:r w:rsidR="009C5962">
        <w:rPr>
          <w:rFonts w:asciiTheme="minorBidi" w:hAnsiTheme="minorBidi" w:cstheme="minorBidi"/>
          <w:iCs/>
          <w:sz w:val="24"/>
          <w:szCs w:val="24"/>
        </w:rPr>
        <w:t>,</w:t>
      </w:r>
      <w:r w:rsidRPr="002B1475">
        <w:rPr>
          <w:rFonts w:asciiTheme="minorBidi" w:hAnsiTheme="minorBidi" w:cstheme="minorBidi"/>
          <w:sz w:val="24"/>
          <w:szCs w:val="24"/>
        </w:rPr>
        <w:t xml:space="preserve"> we must first review the controversy concerning the chronology of the kings of Persia. This question, which carries substantial historical and religious implications, bears directly on our understanding of </w:t>
      </w:r>
      <w:r w:rsidRPr="002B1475">
        <w:rPr>
          <w:rFonts w:asciiTheme="minorBidi" w:hAnsiTheme="minorBidi" w:cstheme="minorBidi"/>
          <w:i/>
          <w:sz w:val="24"/>
          <w:szCs w:val="24"/>
        </w:rPr>
        <w:t xml:space="preserve">Ezra-Nechemia </w:t>
      </w:r>
      <w:r w:rsidRPr="002B1475">
        <w:rPr>
          <w:rFonts w:asciiTheme="minorBidi" w:hAnsiTheme="minorBidi" w:cstheme="minorBidi"/>
          <w:sz w:val="24"/>
          <w:szCs w:val="24"/>
        </w:rPr>
        <w:t xml:space="preserve">in particular and </w:t>
      </w:r>
      <w:r w:rsidRPr="002B1475">
        <w:rPr>
          <w:rFonts w:asciiTheme="minorBidi" w:hAnsiTheme="minorBidi" w:cstheme="minorBidi"/>
          <w:i/>
          <w:sz w:val="24"/>
          <w:szCs w:val="24"/>
        </w:rPr>
        <w:t xml:space="preserve">Shivat </w:t>
      </w:r>
      <w:r w:rsidR="00FA203C">
        <w:rPr>
          <w:rFonts w:asciiTheme="minorBidi" w:hAnsiTheme="minorBidi" w:cstheme="minorBidi"/>
          <w:i/>
          <w:sz w:val="24"/>
          <w:szCs w:val="24"/>
        </w:rPr>
        <w:t>Tzion</w:t>
      </w:r>
      <w:r w:rsidRPr="002B1475">
        <w:rPr>
          <w:rFonts w:asciiTheme="minorBidi" w:hAnsiTheme="minorBidi" w:cstheme="minorBidi"/>
          <w:sz w:val="24"/>
          <w:szCs w:val="24"/>
        </w:rPr>
        <w:t xml:space="preserve"> generally. Although a comprehensive study of the subject is </w:t>
      </w:r>
      <w:r w:rsidR="00FF13C1" w:rsidRPr="002B1475">
        <w:rPr>
          <w:rFonts w:asciiTheme="minorBidi" w:hAnsiTheme="minorBidi" w:cstheme="minorBidi"/>
          <w:sz w:val="24"/>
          <w:szCs w:val="24"/>
        </w:rPr>
        <w:t xml:space="preserve">well </w:t>
      </w:r>
      <w:r w:rsidRPr="002B1475">
        <w:rPr>
          <w:rFonts w:asciiTheme="minorBidi" w:hAnsiTheme="minorBidi" w:cstheme="minorBidi"/>
          <w:sz w:val="24"/>
          <w:szCs w:val="24"/>
        </w:rPr>
        <w:t>beyond the scope of our discussion</w:t>
      </w:r>
      <w:r w:rsidR="009C5962">
        <w:rPr>
          <w:rFonts w:asciiTheme="minorBidi" w:hAnsiTheme="minorBidi" w:cstheme="minorBidi"/>
          <w:sz w:val="24"/>
          <w:szCs w:val="24"/>
        </w:rPr>
        <w:t>,</w:t>
      </w:r>
      <w:r w:rsidRPr="002B1475">
        <w:rPr>
          <w:rFonts w:asciiTheme="minorBidi" w:hAnsiTheme="minorBidi" w:cstheme="minorBidi"/>
          <w:sz w:val="24"/>
          <w:szCs w:val="24"/>
          <w:vertAlign w:val="superscript"/>
        </w:rPr>
        <w:footnoteReference w:id="1"/>
      </w:r>
      <w:r w:rsidRPr="002B1475">
        <w:rPr>
          <w:rFonts w:asciiTheme="minorBidi" w:hAnsiTheme="minorBidi" w:cstheme="minorBidi"/>
          <w:sz w:val="24"/>
          <w:szCs w:val="24"/>
        </w:rPr>
        <w:t xml:space="preserve"> a basic summary of the debate is in order. </w:t>
      </w:r>
    </w:p>
    <w:p w14:paraId="47297791"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1CDCBECF" w14:textId="2F43AF1C"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u w:val="single"/>
        </w:rPr>
        <w:t xml:space="preserve">The </w:t>
      </w:r>
      <w:r w:rsidR="002F0BE9" w:rsidRPr="002B1475">
        <w:rPr>
          <w:rFonts w:asciiTheme="minorBidi" w:hAnsiTheme="minorBidi" w:cstheme="minorBidi"/>
          <w:b/>
          <w:sz w:val="24"/>
          <w:szCs w:val="24"/>
          <w:u w:val="single"/>
        </w:rPr>
        <w:t xml:space="preserve">Historians </w:t>
      </w:r>
      <w:r w:rsidRPr="002B1475">
        <w:rPr>
          <w:rFonts w:asciiTheme="minorBidi" w:hAnsiTheme="minorBidi" w:cstheme="minorBidi"/>
          <w:b/>
          <w:sz w:val="24"/>
          <w:szCs w:val="24"/>
          <w:u w:val="single"/>
        </w:rPr>
        <w:t>and the Rabbis</w:t>
      </w:r>
    </w:p>
    <w:p w14:paraId="5B90C977"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5C8DB1E5" w14:textId="2649F6B0"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Let us begin by framing the controversy. As we discussed last week, some fifty years</w:t>
      </w:r>
      <w:r w:rsidR="002F0BE9" w:rsidRPr="002B1475">
        <w:rPr>
          <w:rFonts w:asciiTheme="minorBidi" w:hAnsiTheme="minorBidi" w:cstheme="minorBidi"/>
          <w:sz w:val="24"/>
          <w:szCs w:val="24"/>
        </w:rPr>
        <w:t xml:space="preserve"> after the Temple’s destruction</w:t>
      </w:r>
      <w:r w:rsidRPr="002B1475">
        <w:rPr>
          <w:rFonts w:asciiTheme="minorBidi" w:hAnsiTheme="minorBidi" w:cstheme="minorBidi"/>
          <w:sz w:val="24"/>
          <w:szCs w:val="24"/>
        </w:rPr>
        <w:t xml:space="preserve"> the Babylonian empire fell into the hands of Cyrus the Great, making way for the rise of the Persian Empire. The historical dispute centers on the duration of Persian</w:t>
      </w:r>
      <w:r w:rsidR="002F0BE9" w:rsidRPr="002B1475">
        <w:rPr>
          <w:rFonts w:asciiTheme="minorBidi" w:hAnsiTheme="minorBidi" w:cstheme="minorBidi"/>
          <w:sz w:val="24"/>
          <w:szCs w:val="24"/>
        </w:rPr>
        <w:t xml:space="preserve"> rule</w:t>
      </w:r>
      <w:r w:rsidRPr="002B1475">
        <w:rPr>
          <w:rFonts w:asciiTheme="minorBidi" w:hAnsiTheme="minorBidi" w:cstheme="minorBidi"/>
          <w:sz w:val="24"/>
          <w:szCs w:val="24"/>
        </w:rPr>
        <w:t xml:space="preserve">. </w:t>
      </w:r>
    </w:p>
    <w:p w14:paraId="42EE8BF6"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547C3A2D" w14:textId="2EBF8A1C"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Modern scholarship, which bases itself on Greek works </w:t>
      </w:r>
      <w:r w:rsidR="002F0BE9" w:rsidRPr="002B1475">
        <w:rPr>
          <w:rFonts w:asciiTheme="minorBidi" w:hAnsiTheme="minorBidi" w:cstheme="minorBidi"/>
          <w:sz w:val="24"/>
          <w:szCs w:val="24"/>
        </w:rPr>
        <w:t xml:space="preserve">written </w:t>
      </w:r>
      <w:r w:rsidRPr="002B1475">
        <w:rPr>
          <w:rFonts w:asciiTheme="minorBidi" w:hAnsiTheme="minorBidi" w:cstheme="minorBidi"/>
          <w:sz w:val="24"/>
          <w:szCs w:val="24"/>
        </w:rPr>
        <w:t xml:space="preserve">during the Persian period and </w:t>
      </w:r>
      <w:r w:rsidR="002F0BE9" w:rsidRPr="002B1475">
        <w:rPr>
          <w:rFonts w:asciiTheme="minorBidi" w:hAnsiTheme="minorBidi" w:cstheme="minorBidi"/>
          <w:sz w:val="24"/>
          <w:szCs w:val="24"/>
        </w:rPr>
        <w:t xml:space="preserve">the </w:t>
      </w:r>
      <w:r w:rsidRPr="002B1475">
        <w:rPr>
          <w:rFonts w:asciiTheme="minorBidi" w:hAnsiTheme="minorBidi" w:cstheme="minorBidi"/>
          <w:sz w:val="24"/>
          <w:szCs w:val="24"/>
        </w:rPr>
        <w:t xml:space="preserve">astronomical tables of the Egyptian scholar Ptolemy, and </w:t>
      </w:r>
      <w:r w:rsidR="002F0BE9" w:rsidRPr="002B1475">
        <w:rPr>
          <w:rFonts w:asciiTheme="minorBidi" w:hAnsiTheme="minorBidi" w:cstheme="minorBidi"/>
          <w:sz w:val="24"/>
          <w:szCs w:val="24"/>
        </w:rPr>
        <w:t xml:space="preserve">more recently has found additional support in </w:t>
      </w:r>
      <w:r w:rsidR="006C2D90" w:rsidRPr="002B1475">
        <w:rPr>
          <w:rFonts w:asciiTheme="minorBidi" w:hAnsiTheme="minorBidi" w:cstheme="minorBidi"/>
          <w:sz w:val="24"/>
          <w:szCs w:val="24"/>
        </w:rPr>
        <w:t xml:space="preserve">Persian </w:t>
      </w:r>
      <w:r w:rsidRPr="002B1475">
        <w:rPr>
          <w:rFonts w:asciiTheme="minorBidi" w:hAnsiTheme="minorBidi" w:cstheme="minorBidi"/>
          <w:sz w:val="24"/>
          <w:szCs w:val="24"/>
        </w:rPr>
        <w:t xml:space="preserve">cuneiform inscriptions, assumes that the Persian empire spanned approximately 206 years and included the following kings: Cyrus, Cambyses II, Darius I, Xerxes I (likely the Achashverosh of </w:t>
      </w:r>
      <w:r w:rsidRPr="002B1475">
        <w:rPr>
          <w:rFonts w:asciiTheme="minorBidi" w:hAnsiTheme="minorBidi" w:cstheme="minorBidi"/>
          <w:i/>
          <w:sz w:val="24"/>
          <w:szCs w:val="24"/>
        </w:rPr>
        <w:t>Esther</w:t>
      </w:r>
      <w:r w:rsidRPr="002B1475">
        <w:rPr>
          <w:rFonts w:asciiTheme="minorBidi" w:hAnsiTheme="minorBidi" w:cstheme="minorBidi"/>
          <w:sz w:val="24"/>
          <w:szCs w:val="24"/>
        </w:rPr>
        <w:t xml:space="preserve">), Artaxerxes I, Xerxes II, Darius II, Artaxerxes II, Artaxerxes III, and Darius III. According to this widely accepted view, the First Temple was destroyed in 587 or 586 BCE, with the new Temple completed in 517 or 516. The Second Temple, which was destroyed in 68 or 70 CE, stood for approximately 585 years. </w:t>
      </w:r>
    </w:p>
    <w:p w14:paraId="3CD0BA12"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2E7F29B2" w14:textId="3DCCEF6A"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By contrast, the rabbis present a dramatically different portrait of</w:t>
      </w:r>
      <w:r w:rsidR="007119A6" w:rsidRPr="002B1475">
        <w:rPr>
          <w:rFonts w:asciiTheme="minorBidi" w:hAnsiTheme="minorBidi" w:cstheme="minorBidi"/>
          <w:sz w:val="24"/>
          <w:szCs w:val="24"/>
        </w:rPr>
        <w:t xml:space="preserve"> the Persian era</w:t>
      </w:r>
      <w:r w:rsidRPr="002B1475">
        <w:rPr>
          <w:rFonts w:asciiTheme="minorBidi" w:hAnsiTheme="minorBidi" w:cstheme="minorBidi"/>
          <w:sz w:val="24"/>
          <w:szCs w:val="24"/>
        </w:rPr>
        <w:t>.</w:t>
      </w:r>
      <w:r w:rsidR="007119A6" w:rsidRPr="002B1475">
        <w:rPr>
          <w:rFonts w:asciiTheme="minorBidi" w:hAnsiTheme="minorBidi" w:cstheme="minorBidi"/>
          <w:sz w:val="24"/>
          <w:szCs w:val="24"/>
        </w:rPr>
        <w:t xml:space="preserve"> On their reckoning</w:t>
      </w:r>
      <w:r w:rsidR="009C5962">
        <w:rPr>
          <w:rFonts w:asciiTheme="minorBidi" w:hAnsiTheme="minorBidi" w:cstheme="minorBidi"/>
          <w:sz w:val="24"/>
          <w:szCs w:val="24"/>
        </w:rPr>
        <w:t>,</w:t>
      </w:r>
      <w:r w:rsidRPr="002B1475">
        <w:rPr>
          <w:rFonts w:asciiTheme="minorBidi" w:hAnsiTheme="minorBidi" w:cstheme="minorBidi"/>
          <w:sz w:val="24"/>
          <w:szCs w:val="24"/>
        </w:rPr>
        <w:t xml:space="preserve"> the Second Temple stood for just 420 years (</w:t>
      </w:r>
      <w:r w:rsidRPr="002B1475">
        <w:rPr>
          <w:rFonts w:asciiTheme="minorBidi" w:hAnsiTheme="minorBidi" w:cstheme="minorBidi"/>
          <w:i/>
          <w:sz w:val="24"/>
          <w:szCs w:val="24"/>
        </w:rPr>
        <w:t>Arakhin</w:t>
      </w:r>
      <w:r w:rsidRPr="002B1475">
        <w:rPr>
          <w:rFonts w:asciiTheme="minorBidi" w:hAnsiTheme="minorBidi" w:cstheme="minorBidi"/>
          <w:sz w:val="24"/>
          <w:szCs w:val="24"/>
        </w:rPr>
        <w:t xml:space="preserve"> 12b), not 585. This position is reflected in a Talmudic passage (</w:t>
      </w:r>
      <w:r w:rsidRPr="002B1475">
        <w:rPr>
          <w:rFonts w:asciiTheme="minorBidi" w:hAnsiTheme="minorBidi" w:cstheme="minorBidi"/>
          <w:i/>
          <w:sz w:val="24"/>
          <w:szCs w:val="24"/>
        </w:rPr>
        <w:t>Avoda Zara</w:t>
      </w:r>
      <w:r w:rsidRPr="002B1475">
        <w:rPr>
          <w:rFonts w:asciiTheme="minorBidi" w:hAnsiTheme="minorBidi" w:cstheme="minorBidi"/>
          <w:sz w:val="24"/>
          <w:szCs w:val="24"/>
        </w:rPr>
        <w:t xml:space="preserve"> 8b-9a) which asserts that the </w:t>
      </w:r>
      <w:r w:rsidR="007119A6" w:rsidRPr="002B1475">
        <w:rPr>
          <w:rFonts w:asciiTheme="minorBidi" w:hAnsiTheme="minorBidi" w:cstheme="minorBidi"/>
          <w:sz w:val="24"/>
          <w:szCs w:val="24"/>
        </w:rPr>
        <w:t>Jews of the Second Temple period were</w:t>
      </w:r>
      <w:r w:rsidRPr="002B1475">
        <w:rPr>
          <w:rFonts w:asciiTheme="minorBidi" w:hAnsiTheme="minorBidi" w:cstheme="minorBidi"/>
          <w:sz w:val="24"/>
          <w:szCs w:val="24"/>
        </w:rPr>
        <w:t xml:space="preserve"> governed by four kingdoms: the Persians for 34 years, the Greeks for 180, the Hasmoneans for 103 and the Romans for </w:t>
      </w:r>
      <w:r w:rsidR="007119A6" w:rsidRPr="002B1475">
        <w:rPr>
          <w:rFonts w:asciiTheme="minorBidi" w:hAnsiTheme="minorBidi" w:cstheme="minorBidi"/>
          <w:sz w:val="24"/>
          <w:szCs w:val="24"/>
        </w:rPr>
        <w:t xml:space="preserve">an additional </w:t>
      </w:r>
      <w:r w:rsidRPr="002B1475">
        <w:rPr>
          <w:rFonts w:asciiTheme="minorBidi" w:hAnsiTheme="minorBidi" w:cstheme="minorBidi"/>
          <w:sz w:val="24"/>
          <w:szCs w:val="24"/>
        </w:rPr>
        <w:t xml:space="preserve">103. After accounting for the eighteen years between Cyrus’ ascension to the throne and the Temple’s completion, </w:t>
      </w:r>
      <w:r w:rsidR="007119A6" w:rsidRPr="002B1475">
        <w:rPr>
          <w:rFonts w:asciiTheme="minorBidi" w:hAnsiTheme="minorBidi" w:cstheme="minorBidi"/>
          <w:sz w:val="24"/>
          <w:szCs w:val="24"/>
        </w:rPr>
        <w:t xml:space="preserve">the rabbinic assign a mere </w:t>
      </w:r>
      <w:r w:rsidRPr="002B1475">
        <w:rPr>
          <w:rFonts w:asciiTheme="minorBidi" w:hAnsiTheme="minorBidi" w:cstheme="minorBidi"/>
          <w:sz w:val="24"/>
          <w:szCs w:val="24"/>
        </w:rPr>
        <w:t>52 years</w:t>
      </w:r>
      <w:r w:rsidR="007119A6" w:rsidRPr="002B1475">
        <w:rPr>
          <w:rFonts w:asciiTheme="minorBidi" w:hAnsiTheme="minorBidi" w:cstheme="minorBidi"/>
          <w:sz w:val="24"/>
          <w:szCs w:val="24"/>
        </w:rPr>
        <w:t xml:space="preserve"> to Persian rule</w:t>
      </w:r>
      <w:r w:rsidRPr="002B1475">
        <w:rPr>
          <w:rFonts w:asciiTheme="minorBidi" w:hAnsiTheme="minorBidi" w:cstheme="minorBidi"/>
          <w:sz w:val="24"/>
          <w:szCs w:val="24"/>
        </w:rPr>
        <w:t xml:space="preserve">, a far cry from the scholarly consensus of 206. </w:t>
      </w:r>
    </w:p>
    <w:p w14:paraId="5F6F4D61"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4BF87986" w14:textId="1FE5C087"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lastRenderedPageBreak/>
        <w:t xml:space="preserve">If the scholars rely on Babylonian and Persian texts as evidence, what is the basis for the rabbinic chronology? Key to their reconstruction is the obscure verse in </w:t>
      </w:r>
      <w:r w:rsidRPr="002B1475">
        <w:rPr>
          <w:rFonts w:asciiTheme="minorBidi" w:hAnsiTheme="minorBidi" w:cstheme="minorBidi"/>
          <w:i/>
          <w:sz w:val="24"/>
          <w:szCs w:val="24"/>
        </w:rPr>
        <w:t xml:space="preserve">Daniel </w:t>
      </w:r>
      <w:r w:rsidRPr="002B1475">
        <w:rPr>
          <w:rFonts w:asciiTheme="minorBidi" w:hAnsiTheme="minorBidi" w:cstheme="minorBidi"/>
          <w:sz w:val="24"/>
          <w:szCs w:val="24"/>
        </w:rPr>
        <w:t>we examined in our previous class, which refers to seventy periods of “</w:t>
      </w:r>
      <w:r w:rsidRPr="002B1475">
        <w:rPr>
          <w:rFonts w:asciiTheme="minorBidi" w:hAnsiTheme="minorBidi" w:cstheme="minorBidi"/>
          <w:i/>
          <w:sz w:val="24"/>
          <w:szCs w:val="24"/>
        </w:rPr>
        <w:t>shavuim</w:t>
      </w:r>
      <w:r w:rsidRPr="002B1475">
        <w:rPr>
          <w:rFonts w:asciiTheme="minorBidi" w:hAnsiTheme="minorBidi" w:cstheme="minorBidi"/>
          <w:sz w:val="24"/>
          <w:szCs w:val="24"/>
        </w:rPr>
        <w:t xml:space="preserve">.” </w:t>
      </w:r>
      <w:r w:rsidRPr="00220BC1">
        <w:rPr>
          <w:rFonts w:asciiTheme="minorBidi" w:hAnsiTheme="minorBidi" w:cstheme="minorBidi"/>
          <w:i/>
          <w:iCs/>
          <w:sz w:val="24"/>
          <w:szCs w:val="24"/>
        </w:rPr>
        <w:t>Chazal</w:t>
      </w:r>
      <w:r w:rsidRPr="002B1475">
        <w:rPr>
          <w:rFonts w:asciiTheme="minorBidi" w:hAnsiTheme="minorBidi" w:cstheme="minorBidi"/>
          <w:sz w:val="24"/>
          <w:szCs w:val="24"/>
        </w:rPr>
        <w:t xml:space="preserve"> (the </w:t>
      </w:r>
      <w:r w:rsidR="009C5962">
        <w:rPr>
          <w:rFonts w:asciiTheme="minorBidi" w:hAnsiTheme="minorBidi" w:cstheme="minorBidi"/>
          <w:sz w:val="24"/>
          <w:szCs w:val="24"/>
        </w:rPr>
        <w:t>sages of the Talmudic period</w:t>
      </w:r>
      <w:r w:rsidRPr="002B1475">
        <w:rPr>
          <w:rFonts w:asciiTheme="minorBidi" w:hAnsiTheme="minorBidi" w:cstheme="minorBidi"/>
          <w:sz w:val="24"/>
          <w:szCs w:val="24"/>
        </w:rPr>
        <w:t xml:space="preserve">) apparently understood this verse as denoting “seventy periods of seven years” (9:24). Moreover, elsewhere </w:t>
      </w:r>
      <w:r w:rsidRPr="002B1475">
        <w:rPr>
          <w:rFonts w:asciiTheme="minorBidi" w:hAnsiTheme="minorBidi" w:cstheme="minorBidi"/>
          <w:i/>
          <w:sz w:val="24"/>
          <w:szCs w:val="24"/>
        </w:rPr>
        <w:t>Daniel</w:t>
      </w:r>
      <w:r w:rsidRPr="002B1475">
        <w:rPr>
          <w:rFonts w:asciiTheme="minorBidi" w:hAnsiTheme="minorBidi" w:cstheme="minorBidi"/>
          <w:sz w:val="24"/>
          <w:szCs w:val="24"/>
        </w:rPr>
        <w:t xml:space="preserve"> </w:t>
      </w:r>
      <w:r w:rsidR="00C02CC2" w:rsidRPr="002B1475">
        <w:rPr>
          <w:rFonts w:asciiTheme="minorBidi" w:hAnsiTheme="minorBidi" w:cstheme="minorBidi"/>
          <w:sz w:val="24"/>
          <w:szCs w:val="24"/>
        </w:rPr>
        <w:t xml:space="preserve">(11:2) </w:t>
      </w:r>
      <w:r w:rsidRPr="002B1475">
        <w:rPr>
          <w:rFonts w:asciiTheme="minorBidi" w:hAnsiTheme="minorBidi" w:cstheme="minorBidi"/>
          <w:sz w:val="24"/>
          <w:szCs w:val="24"/>
        </w:rPr>
        <w:t>seems to explicitly allow for only three or four Persian kings.</w:t>
      </w:r>
      <w:r w:rsidR="00A34930" w:rsidRPr="002B1475">
        <w:rPr>
          <w:rStyle w:val="FootnoteReference"/>
          <w:rFonts w:asciiTheme="minorBidi" w:hAnsiTheme="minorBidi" w:cstheme="minorBidi"/>
          <w:sz w:val="24"/>
          <w:szCs w:val="24"/>
        </w:rPr>
        <w:footnoteReference w:id="2"/>
      </w:r>
      <w:r w:rsidRPr="002B1475">
        <w:rPr>
          <w:rFonts w:asciiTheme="minorBidi" w:hAnsiTheme="minorBidi" w:cstheme="minorBidi"/>
          <w:sz w:val="24"/>
          <w:szCs w:val="24"/>
        </w:rPr>
        <w:t xml:space="preserve"> Thus, according to </w:t>
      </w:r>
      <w:r w:rsidRPr="002B1475">
        <w:rPr>
          <w:rFonts w:asciiTheme="minorBidi" w:hAnsiTheme="minorBidi" w:cstheme="minorBidi"/>
          <w:i/>
          <w:sz w:val="24"/>
          <w:szCs w:val="24"/>
        </w:rPr>
        <w:t>Seder Olam Rabba</w:t>
      </w:r>
      <w:r w:rsidRPr="002B1475">
        <w:rPr>
          <w:rFonts w:asciiTheme="minorBidi" w:hAnsiTheme="minorBidi" w:cstheme="minorBidi"/>
          <w:sz w:val="24"/>
          <w:szCs w:val="24"/>
        </w:rPr>
        <w:t xml:space="preserve">, a highly influential </w:t>
      </w:r>
      <w:r w:rsidR="009C5962" w:rsidRPr="002B1475">
        <w:rPr>
          <w:rFonts w:asciiTheme="minorBidi" w:hAnsiTheme="minorBidi" w:cstheme="minorBidi"/>
          <w:sz w:val="24"/>
          <w:szCs w:val="24"/>
        </w:rPr>
        <w:t>second</w:t>
      </w:r>
      <w:r w:rsidR="009C5962">
        <w:rPr>
          <w:rFonts w:asciiTheme="minorBidi" w:hAnsiTheme="minorBidi" w:cstheme="minorBidi"/>
          <w:sz w:val="24"/>
          <w:szCs w:val="24"/>
        </w:rPr>
        <w:t>-</w:t>
      </w:r>
      <w:r w:rsidRPr="002B1475">
        <w:rPr>
          <w:rFonts w:asciiTheme="minorBidi" w:hAnsiTheme="minorBidi" w:cstheme="minorBidi"/>
          <w:sz w:val="24"/>
          <w:szCs w:val="24"/>
        </w:rPr>
        <w:t xml:space="preserve">century rabbinic chronology, Daniel teaches that 490 years </w:t>
      </w:r>
      <w:r w:rsidR="009C5962">
        <w:rPr>
          <w:rFonts w:asciiTheme="minorBidi" w:hAnsiTheme="minorBidi" w:cstheme="minorBidi"/>
          <w:sz w:val="24"/>
          <w:szCs w:val="24"/>
        </w:rPr>
        <w:t>wi</w:t>
      </w:r>
      <w:r w:rsidR="009C5962" w:rsidRPr="002B1475">
        <w:rPr>
          <w:rFonts w:asciiTheme="minorBidi" w:hAnsiTheme="minorBidi" w:cstheme="minorBidi"/>
          <w:sz w:val="24"/>
          <w:szCs w:val="24"/>
        </w:rPr>
        <w:t xml:space="preserve">ll </w:t>
      </w:r>
      <w:r w:rsidRPr="002B1475">
        <w:rPr>
          <w:rFonts w:asciiTheme="minorBidi" w:hAnsiTheme="minorBidi" w:cstheme="minorBidi"/>
          <w:sz w:val="24"/>
          <w:szCs w:val="24"/>
        </w:rPr>
        <w:t>elapse from the destruction of the First Temple to that of the Second. There were seventy years between the two Temples, leaving 420 years for the duration of the Second.</w:t>
      </w:r>
      <w:r w:rsidRPr="002B1475">
        <w:rPr>
          <w:rFonts w:asciiTheme="minorBidi" w:hAnsiTheme="minorBidi" w:cstheme="minorBidi"/>
          <w:sz w:val="24"/>
          <w:szCs w:val="24"/>
          <w:vertAlign w:val="superscript"/>
        </w:rPr>
        <w:footnoteReference w:id="3"/>
      </w:r>
      <w:r w:rsidRPr="002B1475">
        <w:rPr>
          <w:rFonts w:asciiTheme="minorBidi" w:hAnsiTheme="minorBidi" w:cstheme="minorBidi"/>
          <w:sz w:val="24"/>
          <w:szCs w:val="24"/>
        </w:rPr>
        <w:t xml:space="preserve"> Given that the Second Temple was destroyed in approximately 70 CE, this would place the destruction of the First Temple at 420 BCE and the construction of the latter at 350 BCE. </w:t>
      </w:r>
    </w:p>
    <w:p w14:paraId="3E99C7AE"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2C8E270B" w14:textId="3EEF0C68"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The rabbinic view raised a number of acute difficulties, </w:t>
      </w:r>
      <w:r w:rsidR="00ED6B4B" w:rsidRPr="002B1475">
        <w:rPr>
          <w:rFonts w:asciiTheme="minorBidi" w:hAnsiTheme="minorBidi" w:cstheme="minorBidi"/>
          <w:sz w:val="24"/>
          <w:szCs w:val="24"/>
        </w:rPr>
        <w:t xml:space="preserve">including </w:t>
      </w:r>
      <w:r w:rsidR="00C71ACE" w:rsidRPr="002B1475">
        <w:rPr>
          <w:rFonts w:asciiTheme="minorBidi" w:hAnsiTheme="minorBidi" w:cstheme="minorBidi"/>
          <w:sz w:val="24"/>
          <w:szCs w:val="24"/>
        </w:rPr>
        <w:t xml:space="preserve">the </w:t>
      </w:r>
      <w:r w:rsidRPr="002B1475">
        <w:rPr>
          <w:rFonts w:asciiTheme="minorBidi" w:hAnsiTheme="minorBidi" w:cstheme="minorBidi"/>
          <w:sz w:val="24"/>
          <w:szCs w:val="24"/>
        </w:rPr>
        <w:t>biblical references to a variety of Jewish leaders and Persian monarchs who seemed to live in periods spanning more than 52 years. To resolve these dilemmas, in numerous instances the Talmud conflates seemingly distinct personalities. Malakhi was Ezra or Mordekhai (</w:t>
      </w:r>
      <w:r w:rsidRPr="002B1475">
        <w:rPr>
          <w:rFonts w:asciiTheme="minorBidi" w:hAnsiTheme="minorBidi" w:cstheme="minorBidi"/>
          <w:i/>
          <w:sz w:val="24"/>
          <w:szCs w:val="24"/>
        </w:rPr>
        <w:t xml:space="preserve">Megilla </w:t>
      </w:r>
      <w:r w:rsidRPr="002B1475">
        <w:rPr>
          <w:rFonts w:asciiTheme="minorBidi" w:hAnsiTheme="minorBidi" w:cstheme="minorBidi"/>
          <w:sz w:val="24"/>
          <w:szCs w:val="24"/>
        </w:rPr>
        <w:t xml:space="preserve">15b). Zerubavel, a leader of the first wave of </w:t>
      </w:r>
      <w:r w:rsidRPr="002B1475">
        <w:rPr>
          <w:rFonts w:asciiTheme="minorBidi" w:hAnsiTheme="minorBidi" w:cstheme="minorBidi"/>
          <w:i/>
          <w:sz w:val="24"/>
          <w:szCs w:val="24"/>
        </w:rPr>
        <w:t>aliya</w:t>
      </w:r>
      <w:r w:rsidRPr="002B1475">
        <w:rPr>
          <w:rFonts w:asciiTheme="minorBidi" w:hAnsiTheme="minorBidi" w:cstheme="minorBidi"/>
          <w:sz w:val="24"/>
          <w:szCs w:val="24"/>
        </w:rPr>
        <w:t>, was Nechemia (</w:t>
      </w:r>
      <w:r w:rsidRPr="002B1475">
        <w:rPr>
          <w:rFonts w:asciiTheme="minorBidi" w:hAnsiTheme="minorBidi" w:cstheme="minorBidi"/>
          <w:i/>
          <w:sz w:val="24"/>
          <w:szCs w:val="24"/>
        </w:rPr>
        <w:t>Sanhedrin</w:t>
      </w:r>
      <w:r w:rsidRPr="002B1475">
        <w:rPr>
          <w:rFonts w:asciiTheme="minorBidi" w:hAnsiTheme="minorBidi" w:cstheme="minorBidi"/>
          <w:sz w:val="24"/>
          <w:szCs w:val="24"/>
        </w:rPr>
        <w:t xml:space="preserve"> 38a). Cyrus, Artaxerxes and Darius were one and the same (</w:t>
      </w:r>
      <w:r w:rsidRPr="002B1475">
        <w:rPr>
          <w:rFonts w:asciiTheme="minorBidi" w:hAnsiTheme="minorBidi" w:cstheme="minorBidi"/>
          <w:i/>
          <w:sz w:val="24"/>
          <w:szCs w:val="24"/>
        </w:rPr>
        <w:t>Rosh Hashana</w:t>
      </w:r>
      <w:r w:rsidRPr="002B1475">
        <w:rPr>
          <w:rFonts w:asciiTheme="minorBidi" w:hAnsiTheme="minorBidi" w:cstheme="minorBidi"/>
          <w:sz w:val="24"/>
          <w:szCs w:val="24"/>
        </w:rPr>
        <w:t xml:space="preserve"> 3b). While this</w:t>
      </w:r>
      <w:r w:rsidR="00012EAB" w:rsidRPr="002B1475">
        <w:rPr>
          <w:rFonts w:asciiTheme="minorBidi" w:hAnsiTheme="minorBidi" w:cstheme="minorBidi"/>
          <w:sz w:val="24"/>
          <w:szCs w:val="24"/>
        </w:rPr>
        <w:t xml:space="preserve"> pattern</w:t>
      </w:r>
      <w:r w:rsidRPr="002B1475">
        <w:rPr>
          <w:rFonts w:asciiTheme="minorBidi" w:hAnsiTheme="minorBidi" w:cstheme="minorBidi"/>
          <w:sz w:val="24"/>
          <w:szCs w:val="24"/>
        </w:rPr>
        <w:t xml:space="preserve"> follows the larger midrashic tendency to conflate various biblical personalities, in regard to </w:t>
      </w:r>
      <w:r w:rsidRPr="002B1475">
        <w:rPr>
          <w:rFonts w:asciiTheme="minorBidi" w:hAnsiTheme="minorBidi" w:cstheme="minorBidi"/>
          <w:i/>
          <w:sz w:val="24"/>
          <w:szCs w:val="24"/>
        </w:rPr>
        <w:t xml:space="preserve">Shivat </w:t>
      </w:r>
      <w:r w:rsidR="00FA203C">
        <w:rPr>
          <w:rFonts w:asciiTheme="minorBidi" w:hAnsiTheme="minorBidi" w:cstheme="minorBidi"/>
          <w:i/>
          <w:sz w:val="24"/>
          <w:szCs w:val="24"/>
        </w:rPr>
        <w:t>Tzion</w:t>
      </w:r>
      <w:r w:rsidRPr="002B1475">
        <w:rPr>
          <w:rFonts w:asciiTheme="minorBidi" w:hAnsiTheme="minorBidi" w:cstheme="minorBidi"/>
          <w:sz w:val="24"/>
          <w:szCs w:val="24"/>
        </w:rPr>
        <w:t xml:space="preserve"> the trend is especially pronounced. </w:t>
      </w:r>
    </w:p>
    <w:p w14:paraId="647C99C0"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1B2342E7"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32CA5DD4" w14:textId="77777777"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u w:val="single"/>
        </w:rPr>
        <w:t>Ramifications of the Dispute</w:t>
      </w:r>
    </w:p>
    <w:p w14:paraId="187E538D"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41581147" w14:textId="4C17BF4D"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The chronological dispute has major implications. While the conventional rabbinic chronology places the current Jewish date at 5777, according to the scholarly consensus we find ourselves in approximately 5944. There are considerable ramifications for dating the </w:t>
      </w:r>
      <w:r w:rsidRPr="002B1475">
        <w:rPr>
          <w:rFonts w:asciiTheme="minorBidi" w:hAnsiTheme="minorBidi" w:cstheme="minorBidi"/>
          <w:i/>
          <w:sz w:val="24"/>
          <w:szCs w:val="24"/>
        </w:rPr>
        <w:t>sh</w:t>
      </w:r>
      <w:r w:rsidR="009C5962">
        <w:rPr>
          <w:rFonts w:asciiTheme="minorBidi" w:hAnsiTheme="minorBidi" w:cstheme="minorBidi"/>
          <w:i/>
          <w:sz w:val="24"/>
          <w:szCs w:val="24"/>
        </w:rPr>
        <w:t>e</w:t>
      </w:r>
      <w:r w:rsidRPr="002B1475">
        <w:rPr>
          <w:rFonts w:asciiTheme="minorBidi" w:hAnsiTheme="minorBidi" w:cstheme="minorBidi"/>
          <w:i/>
          <w:sz w:val="24"/>
          <w:szCs w:val="24"/>
        </w:rPr>
        <w:t>mi</w:t>
      </w:r>
      <w:r w:rsidR="009C5962">
        <w:rPr>
          <w:rFonts w:asciiTheme="minorBidi" w:hAnsiTheme="minorBidi" w:cstheme="minorBidi"/>
          <w:i/>
          <w:sz w:val="24"/>
          <w:szCs w:val="24"/>
        </w:rPr>
        <w:t>t</w:t>
      </w:r>
      <w:r w:rsidRPr="002B1475">
        <w:rPr>
          <w:rFonts w:asciiTheme="minorBidi" w:hAnsiTheme="minorBidi" w:cstheme="minorBidi"/>
          <w:i/>
          <w:sz w:val="24"/>
          <w:szCs w:val="24"/>
        </w:rPr>
        <w:t>ta</w:t>
      </w:r>
      <w:r w:rsidRPr="002B1475">
        <w:rPr>
          <w:rFonts w:asciiTheme="minorBidi" w:hAnsiTheme="minorBidi" w:cstheme="minorBidi"/>
          <w:sz w:val="24"/>
          <w:szCs w:val="24"/>
        </w:rPr>
        <w:t xml:space="preserve"> and</w:t>
      </w:r>
      <w:r w:rsidRPr="002B1475">
        <w:rPr>
          <w:rFonts w:asciiTheme="minorBidi" w:hAnsiTheme="minorBidi" w:cstheme="minorBidi"/>
          <w:i/>
          <w:sz w:val="24"/>
          <w:szCs w:val="24"/>
        </w:rPr>
        <w:t xml:space="preserve"> yovel</w:t>
      </w:r>
      <w:r w:rsidRPr="002B1475">
        <w:rPr>
          <w:rFonts w:asciiTheme="minorBidi" w:hAnsiTheme="minorBidi" w:cstheme="minorBidi"/>
          <w:sz w:val="24"/>
          <w:szCs w:val="24"/>
        </w:rPr>
        <w:t xml:space="preserve"> cycles, the </w:t>
      </w:r>
      <w:r w:rsidRPr="002B1475">
        <w:rPr>
          <w:rFonts w:asciiTheme="minorBidi" w:hAnsiTheme="minorBidi" w:cstheme="minorBidi"/>
          <w:i/>
          <w:sz w:val="24"/>
          <w:szCs w:val="24"/>
        </w:rPr>
        <w:t>molad</w:t>
      </w:r>
      <w:r w:rsidRPr="002B1475">
        <w:rPr>
          <w:rFonts w:asciiTheme="minorBidi" w:hAnsiTheme="minorBidi" w:cstheme="minorBidi"/>
          <w:sz w:val="24"/>
          <w:szCs w:val="24"/>
        </w:rPr>
        <w:t xml:space="preserve"> we announce when declaring the new month on </w:t>
      </w:r>
      <w:r w:rsidRPr="00220BC1">
        <w:rPr>
          <w:rFonts w:asciiTheme="minorBidi" w:hAnsiTheme="minorBidi" w:cstheme="minorBidi"/>
          <w:i/>
          <w:iCs/>
          <w:sz w:val="24"/>
          <w:szCs w:val="24"/>
        </w:rPr>
        <w:t>Shabbat Mevarekhim</w:t>
      </w:r>
      <w:r w:rsidRPr="002B1475">
        <w:rPr>
          <w:rFonts w:asciiTheme="minorBidi" w:hAnsiTheme="minorBidi" w:cstheme="minorBidi"/>
          <w:sz w:val="24"/>
          <w:szCs w:val="24"/>
        </w:rPr>
        <w:t xml:space="preserve">, and the </w:t>
      </w:r>
      <w:r w:rsidRPr="002B1475">
        <w:rPr>
          <w:rFonts w:asciiTheme="minorBidi" w:hAnsiTheme="minorBidi" w:cstheme="minorBidi"/>
          <w:i/>
          <w:sz w:val="24"/>
          <w:szCs w:val="24"/>
        </w:rPr>
        <w:t xml:space="preserve">birkat ha-chama </w:t>
      </w:r>
      <w:r w:rsidRPr="002B1475">
        <w:rPr>
          <w:rFonts w:asciiTheme="minorBidi" w:hAnsiTheme="minorBidi" w:cstheme="minorBidi"/>
          <w:sz w:val="24"/>
          <w:szCs w:val="24"/>
        </w:rPr>
        <w:t xml:space="preserve">blessing, recited upon the sun every twenty-eighth year from the fourth day of creation. </w:t>
      </w:r>
    </w:p>
    <w:p w14:paraId="6A9BAE73"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718073ED" w14:textId="4612D905"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The differing chronologies, moreover, carry major consequences for the dating of Purim. Having so dramatically shortened the Persian empire’s span, the rabbis place the Purim story </w:t>
      </w:r>
      <w:r w:rsidRPr="002B1475">
        <w:rPr>
          <w:rFonts w:asciiTheme="minorBidi" w:hAnsiTheme="minorBidi" w:cstheme="minorBidi"/>
          <w:i/>
          <w:sz w:val="24"/>
          <w:szCs w:val="24"/>
        </w:rPr>
        <w:t xml:space="preserve">before </w:t>
      </w:r>
      <w:r w:rsidRPr="002B1475">
        <w:rPr>
          <w:rFonts w:asciiTheme="minorBidi" w:hAnsiTheme="minorBidi" w:cstheme="minorBidi"/>
          <w:sz w:val="24"/>
          <w:szCs w:val="24"/>
        </w:rPr>
        <w:t xml:space="preserve">the Second Temple was built. According to modern scholarly consensus, however, Purim did not take place until some fifty </w:t>
      </w:r>
      <w:r w:rsidRPr="002B1475">
        <w:rPr>
          <w:rFonts w:asciiTheme="minorBidi" w:hAnsiTheme="minorBidi" w:cstheme="minorBidi"/>
          <w:i/>
          <w:sz w:val="24"/>
          <w:szCs w:val="24"/>
        </w:rPr>
        <w:t>years</w:t>
      </w:r>
      <w:r w:rsidRPr="002B1475">
        <w:rPr>
          <w:rFonts w:asciiTheme="minorBidi" w:hAnsiTheme="minorBidi" w:cstheme="minorBidi"/>
          <w:sz w:val="24"/>
          <w:szCs w:val="24"/>
        </w:rPr>
        <w:t xml:space="preserve"> </w:t>
      </w:r>
      <w:r w:rsidRPr="002B1475">
        <w:rPr>
          <w:rFonts w:asciiTheme="minorBidi" w:hAnsiTheme="minorBidi" w:cstheme="minorBidi"/>
          <w:i/>
          <w:sz w:val="24"/>
          <w:szCs w:val="24"/>
        </w:rPr>
        <w:t>after</w:t>
      </w:r>
      <w:r w:rsidRPr="002B1475">
        <w:rPr>
          <w:rFonts w:asciiTheme="minorBidi" w:hAnsiTheme="minorBidi" w:cstheme="minorBidi"/>
          <w:sz w:val="24"/>
          <w:szCs w:val="24"/>
        </w:rPr>
        <w:t xml:space="preserve"> the Second Temple was completed. As Rabbis Yoel Bin-Nun</w:t>
      </w:r>
      <w:r w:rsidR="00074F0D" w:rsidRPr="002B1475">
        <w:rPr>
          <w:rStyle w:val="FootnoteReference"/>
          <w:rFonts w:asciiTheme="minorBidi" w:hAnsiTheme="minorBidi" w:cstheme="minorBidi"/>
          <w:sz w:val="24"/>
          <w:szCs w:val="24"/>
        </w:rPr>
        <w:footnoteReference w:id="4"/>
      </w:r>
      <w:r w:rsidRPr="002B1475">
        <w:rPr>
          <w:rFonts w:asciiTheme="minorBidi" w:hAnsiTheme="minorBidi" w:cstheme="minorBidi"/>
          <w:sz w:val="24"/>
          <w:szCs w:val="24"/>
        </w:rPr>
        <w:t xml:space="preserve"> and Menachem Leibtag</w:t>
      </w:r>
      <w:r w:rsidR="00D04E13" w:rsidRPr="002B1475">
        <w:rPr>
          <w:rStyle w:val="FootnoteReference"/>
          <w:rFonts w:asciiTheme="minorBidi" w:hAnsiTheme="minorBidi" w:cstheme="minorBidi"/>
          <w:sz w:val="24"/>
          <w:szCs w:val="24"/>
        </w:rPr>
        <w:footnoteReference w:id="5"/>
      </w:r>
      <w:r w:rsidRPr="002B1475">
        <w:rPr>
          <w:rFonts w:asciiTheme="minorBidi" w:hAnsiTheme="minorBidi" w:cstheme="minorBidi"/>
          <w:sz w:val="24"/>
          <w:szCs w:val="24"/>
        </w:rPr>
        <w:t xml:space="preserve"> have</w:t>
      </w:r>
      <w:r w:rsidR="00760619" w:rsidRPr="002B1475">
        <w:rPr>
          <w:rFonts w:asciiTheme="minorBidi" w:hAnsiTheme="minorBidi" w:cstheme="minorBidi"/>
          <w:sz w:val="24"/>
          <w:szCs w:val="24"/>
        </w:rPr>
        <w:t xml:space="preserve"> suggested</w:t>
      </w:r>
      <w:r w:rsidRPr="002B1475">
        <w:rPr>
          <w:rFonts w:asciiTheme="minorBidi" w:hAnsiTheme="minorBidi" w:cstheme="minorBidi"/>
          <w:sz w:val="24"/>
          <w:szCs w:val="24"/>
        </w:rPr>
        <w:t xml:space="preserve">, this difference might have profound implications for the meaning of Esther. If the narrative unfolded decades after the Temple had been rebuilt, we might be more </w:t>
      </w:r>
      <w:r w:rsidRPr="002B1475">
        <w:rPr>
          <w:rFonts w:asciiTheme="minorBidi" w:hAnsiTheme="minorBidi" w:cstheme="minorBidi"/>
          <w:sz w:val="24"/>
          <w:szCs w:val="24"/>
        </w:rPr>
        <w:lastRenderedPageBreak/>
        <w:t xml:space="preserve">likely to view the Megilla as a satire castigating the Jews of Shushan for remaining in the </w:t>
      </w:r>
      <w:r w:rsidR="00CB0169">
        <w:rPr>
          <w:rFonts w:asciiTheme="minorBidi" w:hAnsiTheme="minorBidi" w:cstheme="minorBidi"/>
          <w:sz w:val="24"/>
          <w:szCs w:val="24"/>
        </w:rPr>
        <w:t xml:space="preserve">Persian </w:t>
      </w:r>
      <w:r w:rsidRPr="002B1475">
        <w:rPr>
          <w:rFonts w:asciiTheme="minorBidi" w:hAnsiTheme="minorBidi" w:cstheme="minorBidi"/>
          <w:sz w:val="24"/>
          <w:szCs w:val="24"/>
        </w:rPr>
        <w:t xml:space="preserve">capital instead of returning to their </w:t>
      </w:r>
      <w:r w:rsidR="00CB0169">
        <w:rPr>
          <w:rFonts w:asciiTheme="minorBidi" w:hAnsiTheme="minorBidi" w:cstheme="minorBidi"/>
          <w:sz w:val="24"/>
          <w:szCs w:val="24"/>
        </w:rPr>
        <w:t xml:space="preserve">own </w:t>
      </w:r>
      <w:r w:rsidRPr="002B1475">
        <w:rPr>
          <w:rFonts w:asciiTheme="minorBidi" w:hAnsiTheme="minorBidi" w:cstheme="minorBidi"/>
          <w:sz w:val="24"/>
          <w:szCs w:val="24"/>
        </w:rPr>
        <w:t xml:space="preserve">capital Jerusalem. </w:t>
      </w:r>
    </w:p>
    <w:p w14:paraId="67EC387E"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6C401B1A" w14:textId="42ECB62F"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An additional ramification relates to a point we mentioned earlier: a number of </w:t>
      </w:r>
      <w:r w:rsidRPr="002B1475">
        <w:rPr>
          <w:rFonts w:asciiTheme="minorBidi" w:hAnsiTheme="minorBidi" w:cstheme="minorBidi"/>
          <w:i/>
          <w:sz w:val="24"/>
          <w:szCs w:val="24"/>
        </w:rPr>
        <w:t>aggadot</w:t>
      </w:r>
      <w:r w:rsidRPr="002B1475">
        <w:rPr>
          <w:rFonts w:asciiTheme="minorBidi" w:hAnsiTheme="minorBidi" w:cstheme="minorBidi"/>
          <w:sz w:val="24"/>
          <w:szCs w:val="24"/>
        </w:rPr>
        <w:t xml:space="preserve"> may only be understood against the backdrop of the rabbinic chronology. For example, </w:t>
      </w:r>
      <w:r w:rsidR="00760619" w:rsidRPr="002B1475">
        <w:rPr>
          <w:rFonts w:asciiTheme="minorBidi" w:hAnsiTheme="minorBidi" w:cstheme="minorBidi"/>
          <w:sz w:val="24"/>
          <w:szCs w:val="24"/>
        </w:rPr>
        <w:t xml:space="preserve">the rabbis </w:t>
      </w:r>
      <w:r w:rsidRPr="002B1475">
        <w:rPr>
          <w:rFonts w:asciiTheme="minorBidi" w:hAnsiTheme="minorBidi" w:cstheme="minorBidi"/>
          <w:sz w:val="24"/>
          <w:szCs w:val="24"/>
        </w:rPr>
        <w:t>assert that Vashti was the daughter of Belshatzar and granddaughter of Nevuchadnetzar (</w:t>
      </w:r>
      <w:r w:rsidRPr="002B1475">
        <w:rPr>
          <w:rFonts w:asciiTheme="minorBidi" w:hAnsiTheme="minorBidi" w:cstheme="minorBidi"/>
          <w:i/>
          <w:sz w:val="24"/>
          <w:szCs w:val="24"/>
        </w:rPr>
        <w:t xml:space="preserve">Esther Rabba </w:t>
      </w:r>
      <w:r w:rsidRPr="002B1475">
        <w:rPr>
          <w:rFonts w:asciiTheme="minorBidi" w:hAnsiTheme="minorBidi" w:cstheme="minorBidi"/>
          <w:sz w:val="24"/>
          <w:szCs w:val="24"/>
        </w:rPr>
        <w:t>18:1). This is only plausible if the Purim story took place prior to Cyrus’ reign. Similarly, the rabbinic contention that Darius was Esther’s son (</w:t>
      </w:r>
      <w:r w:rsidRPr="002B1475">
        <w:rPr>
          <w:rFonts w:asciiTheme="minorBidi" w:hAnsiTheme="minorBidi" w:cstheme="minorBidi"/>
          <w:i/>
          <w:sz w:val="24"/>
          <w:szCs w:val="24"/>
        </w:rPr>
        <w:t xml:space="preserve">Vayikra Rabba </w:t>
      </w:r>
      <w:r w:rsidRPr="002B1475">
        <w:rPr>
          <w:rFonts w:asciiTheme="minorBidi" w:hAnsiTheme="minorBidi" w:cstheme="minorBidi"/>
          <w:sz w:val="24"/>
          <w:szCs w:val="24"/>
        </w:rPr>
        <w:t xml:space="preserve">13:5; see </w:t>
      </w:r>
      <w:r w:rsidRPr="002B1475">
        <w:rPr>
          <w:rFonts w:asciiTheme="minorBidi" w:hAnsiTheme="minorBidi" w:cstheme="minorBidi"/>
          <w:i/>
          <w:sz w:val="24"/>
          <w:szCs w:val="24"/>
        </w:rPr>
        <w:t xml:space="preserve">Esther Rabba </w:t>
      </w:r>
      <w:r w:rsidRPr="002B1475">
        <w:rPr>
          <w:rFonts w:asciiTheme="minorBidi" w:hAnsiTheme="minorBidi" w:cstheme="minorBidi"/>
          <w:sz w:val="24"/>
          <w:szCs w:val="24"/>
        </w:rPr>
        <w:t>8:3) only works if we follow the rabbinic view.</w:t>
      </w:r>
      <w:r w:rsidRPr="002B1475">
        <w:rPr>
          <w:rFonts w:asciiTheme="minorBidi" w:hAnsiTheme="minorBidi" w:cstheme="minorBidi"/>
          <w:sz w:val="24"/>
          <w:szCs w:val="24"/>
          <w:vertAlign w:val="superscript"/>
        </w:rPr>
        <w:footnoteReference w:id="6"/>
      </w:r>
      <w:r w:rsidRPr="002B1475">
        <w:rPr>
          <w:rFonts w:asciiTheme="minorBidi" w:hAnsiTheme="minorBidi" w:cstheme="minorBidi"/>
          <w:sz w:val="24"/>
          <w:szCs w:val="24"/>
        </w:rPr>
        <w:t xml:space="preserve"> According to this chronology, it turns out that Artaxerxes, the king for whom Nechemia served as cup-bearer, was apparently a Jewish king. </w:t>
      </w:r>
    </w:p>
    <w:p w14:paraId="725CB2C6"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6943395B"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52FC59C2" w14:textId="77777777"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u w:val="single"/>
        </w:rPr>
        <w:t>Traditional Responses</w:t>
      </w:r>
    </w:p>
    <w:p w14:paraId="360C516D"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119C964C" w14:textId="5C1C6BCF"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How is a traditional Jew to deal with the contradiction? Is it possible to maintain the rabbinic view in light of the scholarly consensus? </w:t>
      </w:r>
      <w:r w:rsidR="00E906F7" w:rsidRPr="002B1475">
        <w:rPr>
          <w:rFonts w:asciiTheme="minorBidi" w:hAnsiTheme="minorBidi" w:cstheme="minorBidi"/>
          <w:sz w:val="24"/>
          <w:szCs w:val="24"/>
        </w:rPr>
        <w:t xml:space="preserve">Five </w:t>
      </w:r>
      <w:r w:rsidRPr="002B1475">
        <w:rPr>
          <w:rFonts w:asciiTheme="minorBidi" w:hAnsiTheme="minorBidi" w:cstheme="minorBidi"/>
          <w:sz w:val="24"/>
          <w:szCs w:val="24"/>
        </w:rPr>
        <w:t>major approaches present themselves</w:t>
      </w:r>
      <w:r w:rsidR="00CB0169">
        <w:rPr>
          <w:rFonts w:asciiTheme="minorBidi" w:hAnsiTheme="minorBidi" w:cstheme="minorBidi"/>
          <w:sz w:val="24"/>
          <w:szCs w:val="24"/>
        </w:rPr>
        <w:t>.</w:t>
      </w:r>
    </w:p>
    <w:p w14:paraId="3F3E90F7"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5E4C25C7" w14:textId="23F3D82B"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rPr>
        <w:t>Approach 1</w:t>
      </w:r>
      <w:r w:rsidR="00CB0169">
        <w:rPr>
          <w:rFonts w:asciiTheme="minorBidi" w:hAnsiTheme="minorBidi" w:cstheme="minorBidi"/>
          <w:sz w:val="24"/>
          <w:szCs w:val="24"/>
        </w:rPr>
        <w:t xml:space="preserve"> – </w:t>
      </w:r>
      <w:r w:rsidRPr="002B1475">
        <w:rPr>
          <w:rFonts w:asciiTheme="minorBidi" w:hAnsiTheme="minorBidi" w:cstheme="minorBidi"/>
          <w:sz w:val="24"/>
          <w:szCs w:val="24"/>
        </w:rPr>
        <w:t>Some simply reject secular scholarship in favor of the rabbinic view. This position, adopted by thinkers such as R. Saadia Gaon (</w:t>
      </w:r>
      <w:r w:rsidRPr="002B1475">
        <w:rPr>
          <w:rFonts w:asciiTheme="minorBidi" w:hAnsiTheme="minorBidi" w:cstheme="minorBidi"/>
          <w:i/>
          <w:sz w:val="24"/>
          <w:szCs w:val="24"/>
        </w:rPr>
        <w:t>Emunot Ve-de</w:t>
      </w:r>
      <w:r w:rsidR="00CB0169">
        <w:rPr>
          <w:rFonts w:asciiTheme="minorBidi" w:hAnsiTheme="minorBidi" w:cstheme="minorBidi"/>
          <w:i/>
          <w:sz w:val="24"/>
          <w:szCs w:val="24"/>
        </w:rPr>
        <w:t>’</w:t>
      </w:r>
      <w:r w:rsidRPr="002B1475">
        <w:rPr>
          <w:rFonts w:asciiTheme="minorBidi" w:hAnsiTheme="minorBidi" w:cstheme="minorBidi"/>
          <w:i/>
          <w:sz w:val="24"/>
          <w:szCs w:val="24"/>
        </w:rPr>
        <w:t xml:space="preserve">ot </w:t>
      </w:r>
      <w:r w:rsidRPr="002B1475">
        <w:rPr>
          <w:rFonts w:asciiTheme="minorBidi" w:hAnsiTheme="minorBidi" w:cstheme="minorBidi"/>
          <w:sz w:val="24"/>
          <w:szCs w:val="24"/>
        </w:rPr>
        <w:t>8) and Maharal (</w:t>
      </w:r>
      <w:r w:rsidRPr="002B1475">
        <w:rPr>
          <w:rFonts w:asciiTheme="minorBidi" w:hAnsiTheme="minorBidi" w:cstheme="minorBidi"/>
          <w:i/>
          <w:sz w:val="24"/>
          <w:szCs w:val="24"/>
        </w:rPr>
        <w:t>Be’er Ha-gola</w:t>
      </w:r>
      <w:r w:rsidRPr="002B1475">
        <w:rPr>
          <w:rFonts w:asciiTheme="minorBidi" w:hAnsiTheme="minorBidi" w:cstheme="minorBidi"/>
          <w:sz w:val="24"/>
          <w:szCs w:val="24"/>
        </w:rPr>
        <w:t xml:space="preserve"> 6), maintains that a traditional Jew has no choice but to reject the secular dating. R. Saadia Gaon (ibid.) goes so far as to claim that Christians manipulated the historical data in order to support their assumptions about the time of Jesus’ second coming. While these two thinkers pre</w:t>
      </w:r>
      <w:r w:rsidR="00116AEB" w:rsidRPr="002B1475">
        <w:rPr>
          <w:rFonts w:asciiTheme="minorBidi" w:hAnsiTheme="minorBidi" w:cstheme="minorBidi"/>
          <w:sz w:val="24"/>
          <w:szCs w:val="24"/>
        </w:rPr>
        <w:t>-</w:t>
      </w:r>
      <w:r w:rsidRPr="002B1475">
        <w:rPr>
          <w:rFonts w:asciiTheme="minorBidi" w:hAnsiTheme="minorBidi" w:cstheme="minorBidi"/>
          <w:sz w:val="24"/>
          <w:szCs w:val="24"/>
        </w:rPr>
        <w:t>dated the discovery of much of the evidence in support of the scholarly consensus, many later traditional thinkers clung to this</w:t>
      </w:r>
      <w:r w:rsidR="00116AEB" w:rsidRPr="002B1475">
        <w:rPr>
          <w:rFonts w:asciiTheme="minorBidi" w:hAnsiTheme="minorBidi" w:cstheme="minorBidi"/>
          <w:sz w:val="24"/>
          <w:szCs w:val="24"/>
        </w:rPr>
        <w:t xml:space="preserve"> position</w:t>
      </w:r>
      <w:r w:rsidRPr="002B1475">
        <w:rPr>
          <w:rFonts w:asciiTheme="minorBidi" w:hAnsiTheme="minorBidi" w:cstheme="minorBidi"/>
          <w:sz w:val="24"/>
          <w:szCs w:val="24"/>
        </w:rPr>
        <w:t>. R. Yaakov Emden</w:t>
      </w:r>
      <w:r w:rsidR="00116AEB" w:rsidRPr="002B1475">
        <w:rPr>
          <w:rFonts w:asciiTheme="minorBidi" w:hAnsiTheme="minorBidi" w:cstheme="minorBidi"/>
          <w:sz w:val="24"/>
          <w:szCs w:val="24"/>
        </w:rPr>
        <w:t xml:space="preserve"> (18</w:t>
      </w:r>
      <w:r w:rsidR="00116AEB" w:rsidRPr="002B1475">
        <w:rPr>
          <w:rFonts w:asciiTheme="minorBidi" w:hAnsiTheme="minorBidi" w:cstheme="minorBidi"/>
          <w:sz w:val="24"/>
          <w:szCs w:val="24"/>
          <w:vertAlign w:val="superscript"/>
        </w:rPr>
        <w:t>th</w:t>
      </w:r>
      <w:r w:rsidR="00116AEB" w:rsidRPr="002B1475">
        <w:rPr>
          <w:rFonts w:asciiTheme="minorBidi" w:hAnsiTheme="minorBidi" w:cstheme="minorBidi"/>
          <w:sz w:val="24"/>
          <w:szCs w:val="24"/>
        </w:rPr>
        <w:t xml:space="preserve"> century Germany)</w:t>
      </w:r>
      <w:r w:rsidRPr="002B1475">
        <w:rPr>
          <w:rFonts w:asciiTheme="minorBidi" w:hAnsiTheme="minorBidi" w:cstheme="minorBidi"/>
          <w:sz w:val="24"/>
          <w:szCs w:val="24"/>
        </w:rPr>
        <w:t xml:space="preserve">, for instance, argued that the scholarly view outright contradicts the </w:t>
      </w:r>
      <w:r w:rsidR="00CB0169">
        <w:rPr>
          <w:rFonts w:asciiTheme="minorBidi" w:hAnsiTheme="minorBidi" w:cstheme="minorBidi"/>
          <w:sz w:val="24"/>
          <w:szCs w:val="24"/>
        </w:rPr>
        <w:t xml:space="preserve">above-cited </w:t>
      </w:r>
      <w:r w:rsidRPr="002B1475">
        <w:rPr>
          <w:rFonts w:asciiTheme="minorBidi" w:hAnsiTheme="minorBidi" w:cstheme="minorBidi"/>
          <w:sz w:val="24"/>
          <w:szCs w:val="24"/>
        </w:rPr>
        <w:t xml:space="preserve">verse in </w:t>
      </w:r>
      <w:r w:rsidRPr="00220BC1">
        <w:rPr>
          <w:rFonts w:asciiTheme="minorBidi" w:hAnsiTheme="minorBidi" w:cstheme="minorBidi"/>
          <w:i/>
          <w:iCs/>
          <w:sz w:val="24"/>
          <w:szCs w:val="24"/>
        </w:rPr>
        <w:t>Daniel</w:t>
      </w:r>
      <w:r w:rsidRPr="002B1475">
        <w:rPr>
          <w:rFonts w:asciiTheme="minorBidi" w:hAnsiTheme="minorBidi" w:cstheme="minorBidi"/>
          <w:sz w:val="24"/>
          <w:szCs w:val="24"/>
        </w:rPr>
        <w:t xml:space="preserve"> (11:2):</w:t>
      </w:r>
    </w:p>
    <w:p w14:paraId="2A52192A"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2A9C19E1" w14:textId="345DD800" w:rsidR="009E18A6" w:rsidRPr="002B1475" w:rsidRDefault="001F41D5" w:rsidP="002B1475">
      <w:pPr>
        <w:pStyle w:val="Normal1"/>
        <w:spacing w:line="240" w:lineRule="auto"/>
        <w:ind w:left="720"/>
        <w:jc w:val="both"/>
        <w:rPr>
          <w:rFonts w:asciiTheme="minorBidi" w:hAnsiTheme="minorBidi" w:cstheme="minorBidi"/>
          <w:sz w:val="24"/>
          <w:szCs w:val="24"/>
        </w:rPr>
      </w:pPr>
      <w:r w:rsidRPr="002B1475">
        <w:rPr>
          <w:rFonts w:asciiTheme="minorBidi" w:hAnsiTheme="minorBidi" w:cstheme="minorBidi"/>
          <w:sz w:val="24"/>
          <w:szCs w:val="24"/>
        </w:rPr>
        <w:t>May God save us from the view of those outsiders, who please themselves in the children of strangers, who add many to the number of Persian kings and increase their years greatly. They do not know their way in Jewish learning because they will necessarily be forced to contradict the biblical verses as well… (</w:t>
      </w:r>
      <w:r w:rsidRPr="002B1475">
        <w:rPr>
          <w:rFonts w:asciiTheme="minorBidi" w:hAnsiTheme="minorBidi" w:cstheme="minorBidi"/>
          <w:i/>
          <w:sz w:val="24"/>
          <w:szCs w:val="24"/>
        </w:rPr>
        <w:t>Mi</w:t>
      </w:r>
      <w:r w:rsidR="00305FC0" w:rsidRPr="002B1475">
        <w:rPr>
          <w:rFonts w:asciiTheme="minorBidi" w:hAnsiTheme="minorBidi" w:cstheme="minorBidi"/>
          <w:i/>
          <w:sz w:val="24"/>
          <w:szCs w:val="24"/>
        </w:rPr>
        <w:t>t</w:t>
      </w:r>
      <w:r w:rsidRPr="002B1475">
        <w:rPr>
          <w:rFonts w:asciiTheme="minorBidi" w:hAnsiTheme="minorBidi" w:cstheme="minorBidi"/>
          <w:i/>
          <w:sz w:val="24"/>
          <w:szCs w:val="24"/>
        </w:rPr>
        <w:t>pachat Sefarim</w:t>
      </w:r>
      <w:r w:rsidRPr="002B1475">
        <w:rPr>
          <w:rFonts w:asciiTheme="minorBidi" w:hAnsiTheme="minorBidi" w:cstheme="minorBidi"/>
          <w:sz w:val="24"/>
          <w:szCs w:val="24"/>
        </w:rPr>
        <w:t xml:space="preserve">, </w:t>
      </w:r>
      <w:r w:rsidR="009C5962">
        <w:rPr>
          <w:rFonts w:asciiTheme="minorBidi" w:hAnsiTheme="minorBidi" w:cstheme="minorBidi"/>
          <w:sz w:val="24"/>
          <w:szCs w:val="24"/>
        </w:rPr>
        <w:t>pp</w:t>
      </w:r>
      <w:r w:rsidRPr="002B1475">
        <w:rPr>
          <w:rFonts w:asciiTheme="minorBidi" w:hAnsiTheme="minorBidi" w:cstheme="minorBidi"/>
          <w:sz w:val="24"/>
          <w:szCs w:val="24"/>
        </w:rPr>
        <w:t>. 83-84)</w:t>
      </w:r>
      <w:r w:rsidRPr="002B1475">
        <w:rPr>
          <w:rFonts w:asciiTheme="minorBidi" w:hAnsiTheme="minorBidi" w:cstheme="minorBidi"/>
          <w:sz w:val="24"/>
          <w:szCs w:val="24"/>
          <w:vertAlign w:val="superscript"/>
        </w:rPr>
        <w:footnoteReference w:id="7"/>
      </w:r>
      <w:r w:rsidRPr="002B1475">
        <w:rPr>
          <w:rFonts w:asciiTheme="minorBidi" w:hAnsiTheme="minorBidi" w:cstheme="minorBidi"/>
          <w:sz w:val="24"/>
          <w:szCs w:val="24"/>
        </w:rPr>
        <w:t xml:space="preserve"> </w:t>
      </w:r>
    </w:p>
    <w:p w14:paraId="41999A5D"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3CC3C285" w14:textId="72D32A2C" w:rsidR="009E18A6" w:rsidRPr="002B1475" w:rsidRDefault="006F4A1F"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sz w:val="24"/>
          <w:szCs w:val="24"/>
        </w:rPr>
        <w:t xml:space="preserve">A more recent </w:t>
      </w:r>
      <w:r w:rsidR="001F41D5" w:rsidRPr="002B1475">
        <w:rPr>
          <w:rFonts w:asciiTheme="minorBidi" w:hAnsiTheme="minorBidi" w:cstheme="minorBidi"/>
          <w:sz w:val="24"/>
          <w:szCs w:val="24"/>
        </w:rPr>
        <w:t>exemplar of this traditionalist position is R. Avraham Karelitz, who put it this way: “The years of the Second Temple are certain on the basis of the rabbis… one must distance himself from thoughts that stray from this view. Praiseworthy is one w</w:t>
      </w:r>
      <w:r w:rsidR="000D4423" w:rsidRPr="002B1475">
        <w:rPr>
          <w:rFonts w:asciiTheme="minorBidi" w:hAnsiTheme="minorBidi" w:cstheme="minorBidi"/>
          <w:sz w:val="24"/>
          <w:szCs w:val="24"/>
        </w:rPr>
        <w:t>ho does not read external works</w:t>
      </w:r>
      <w:r w:rsidR="001F41D5" w:rsidRPr="002B1475">
        <w:rPr>
          <w:rFonts w:asciiTheme="minorBidi" w:hAnsiTheme="minorBidi" w:cstheme="minorBidi"/>
          <w:sz w:val="24"/>
          <w:szCs w:val="24"/>
        </w:rPr>
        <w:t>” (</w:t>
      </w:r>
      <w:r w:rsidR="001F41D5" w:rsidRPr="002B1475">
        <w:rPr>
          <w:rFonts w:asciiTheme="minorBidi" w:hAnsiTheme="minorBidi" w:cstheme="minorBidi"/>
          <w:i/>
          <w:sz w:val="24"/>
          <w:szCs w:val="24"/>
        </w:rPr>
        <w:t>Chazon Ish</w:t>
      </w:r>
      <w:r w:rsidR="001F41D5" w:rsidRPr="002B1475">
        <w:rPr>
          <w:rFonts w:asciiTheme="minorBidi" w:hAnsiTheme="minorBidi" w:cstheme="minorBidi"/>
          <w:sz w:val="24"/>
          <w:szCs w:val="24"/>
        </w:rPr>
        <w:t xml:space="preserve">, </w:t>
      </w:r>
      <w:r w:rsidR="001F41D5" w:rsidRPr="002B1475">
        <w:rPr>
          <w:rFonts w:asciiTheme="minorBidi" w:hAnsiTheme="minorBidi" w:cstheme="minorBidi"/>
          <w:i/>
          <w:sz w:val="24"/>
          <w:szCs w:val="24"/>
        </w:rPr>
        <w:t>Letters</w:t>
      </w:r>
      <w:r w:rsidR="001F41D5" w:rsidRPr="002B1475">
        <w:rPr>
          <w:rFonts w:asciiTheme="minorBidi" w:hAnsiTheme="minorBidi" w:cstheme="minorBidi"/>
          <w:sz w:val="24"/>
          <w:szCs w:val="24"/>
        </w:rPr>
        <w:t xml:space="preserve"> 1:206)</w:t>
      </w:r>
      <w:r w:rsidR="000D4423" w:rsidRPr="002B1475">
        <w:rPr>
          <w:rFonts w:asciiTheme="minorBidi" w:hAnsiTheme="minorBidi" w:cstheme="minorBidi"/>
          <w:sz w:val="24"/>
          <w:szCs w:val="24"/>
        </w:rPr>
        <w:t>.</w:t>
      </w:r>
    </w:p>
    <w:p w14:paraId="3D0A2EE6"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4AB60B71" w14:textId="0F344FF8" w:rsidR="009E18A6" w:rsidRPr="002B1475" w:rsidRDefault="001F41D5" w:rsidP="0062564A">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rPr>
        <w:t>Approach 2</w:t>
      </w:r>
      <w:r w:rsidR="00CB0169">
        <w:rPr>
          <w:rFonts w:asciiTheme="minorBidi" w:hAnsiTheme="minorBidi" w:cstheme="minorBidi"/>
          <w:sz w:val="24"/>
          <w:szCs w:val="24"/>
        </w:rPr>
        <w:t xml:space="preserve"> – </w:t>
      </w:r>
      <w:r w:rsidRPr="002B1475">
        <w:rPr>
          <w:rFonts w:asciiTheme="minorBidi" w:hAnsiTheme="minorBidi" w:cstheme="minorBidi"/>
          <w:sz w:val="24"/>
          <w:szCs w:val="24"/>
        </w:rPr>
        <w:t xml:space="preserve">Others take the opposite position, rejecting the rabbinic chronology in favor of the scholarly consensus. Perhaps the best-known advocate for this view is R. </w:t>
      </w:r>
      <w:r w:rsidRPr="002B1475">
        <w:rPr>
          <w:rFonts w:asciiTheme="minorBidi" w:hAnsiTheme="minorBidi" w:cstheme="minorBidi"/>
          <w:sz w:val="24"/>
          <w:szCs w:val="24"/>
        </w:rPr>
        <w:lastRenderedPageBreak/>
        <w:t xml:space="preserve">Zerachia Ha-levi, author of </w:t>
      </w:r>
      <w:r w:rsidRPr="002B1475">
        <w:rPr>
          <w:rFonts w:asciiTheme="minorBidi" w:hAnsiTheme="minorBidi" w:cstheme="minorBidi"/>
          <w:i/>
          <w:sz w:val="24"/>
          <w:szCs w:val="24"/>
        </w:rPr>
        <w:t>Ba’al Ha-maor</w:t>
      </w:r>
      <w:r w:rsidR="00CB0169">
        <w:rPr>
          <w:rFonts w:asciiTheme="minorBidi" w:hAnsiTheme="minorBidi" w:cstheme="minorBidi"/>
          <w:i/>
          <w:sz w:val="24"/>
          <w:szCs w:val="24"/>
        </w:rPr>
        <w:t xml:space="preserve"> </w:t>
      </w:r>
      <w:r w:rsidR="00CB0169">
        <w:rPr>
          <w:rFonts w:asciiTheme="minorBidi" w:hAnsiTheme="minorBidi" w:cstheme="minorBidi"/>
          <w:iCs/>
          <w:sz w:val="24"/>
          <w:szCs w:val="24"/>
        </w:rPr>
        <w:t>(12</w:t>
      </w:r>
      <w:r w:rsidR="00CB0169" w:rsidRPr="00220BC1">
        <w:rPr>
          <w:rFonts w:asciiTheme="minorBidi" w:hAnsiTheme="minorBidi" w:cstheme="minorBidi"/>
          <w:iCs/>
          <w:sz w:val="24"/>
          <w:szCs w:val="24"/>
          <w:vertAlign w:val="superscript"/>
        </w:rPr>
        <w:t>th</w:t>
      </w:r>
      <w:r w:rsidR="00CB0169">
        <w:rPr>
          <w:rFonts w:asciiTheme="minorBidi" w:hAnsiTheme="minorBidi" w:cstheme="minorBidi"/>
          <w:iCs/>
          <w:sz w:val="24"/>
          <w:szCs w:val="24"/>
        </w:rPr>
        <w:t>-century Provence)</w:t>
      </w:r>
      <w:r w:rsidRPr="002B1475">
        <w:rPr>
          <w:rFonts w:asciiTheme="minorBidi" w:hAnsiTheme="minorBidi" w:cstheme="minorBidi"/>
          <w:sz w:val="24"/>
          <w:szCs w:val="24"/>
        </w:rPr>
        <w:t xml:space="preserve">. After citing and discussing the rabbinic viewpoint at length, the Ba’al Ha-maor concludes: </w:t>
      </w:r>
    </w:p>
    <w:p w14:paraId="2A05C895" w14:textId="77777777" w:rsidR="000D4423" w:rsidRPr="002B1475" w:rsidRDefault="000D4423" w:rsidP="002B1475">
      <w:pPr>
        <w:pStyle w:val="Normal1"/>
        <w:spacing w:line="240" w:lineRule="auto"/>
        <w:jc w:val="both"/>
        <w:rPr>
          <w:rFonts w:asciiTheme="minorBidi" w:hAnsiTheme="minorBidi" w:cstheme="minorBidi"/>
          <w:sz w:val="24"/>
          <w:szCs w:val="24"/>
        </w:rPr>
      </w:pPr>
    </w:p>
    <w:p w14:paraId="44E1B861" w14:textId="49425EE3" w:rsidR="009E18A6" w:rsidRPr="002B1475" w:rsidRDefault="001F41D5" w:rsidP="002B1475">
      <w:pPr>
        <w:pStyle w:val="Normal1"/>
        <w:spacing w:line="240" w:lineRule="auto"/>
        <w:ind w:left="720"/>
        <w:jc w:val="both"/>
        <w:rPr>
          <w:rFonts w:asciiTheme="minorBidi" w:hAnsiTheme="minorBidi" w:cstheme="minorBidi"/>
          <w:sz w:val="24"/>
          <w:szCs w:val="24"/>
        </w:rPr>
      </w:pPr>
      <w:r w:rsidRPr="002B1475">
        <w:rPr>
          <w:rFonts w:asciiTheme="minorBidi" w:hAnsiTheme="minorBidi" w:cstheme="minorBidi"/>
          <w:sz w:val="24"/>
          <w:szCs w:val="24"/>
        </w:rPr>
        <w:t xml:space="preserve">This is what emerges from the </w:t>
      </w:r>
      <w:r w:rsidRPr="002B1475">
        <w:rPr>
          <w:rFonts w:asciiTheme="minorBidi" w:hAnsiTheme="minorBidi" w:cstheme="minorBidi"/>
          <w:i/>
          <w:sz w:val="24"/>
          <w:szCs w:val="24"/>
        </w:rPr>
        <w:t xml:space="preserve">midrash </w:t>
      </w:r>
      <w:r w:rsidRPr="002B1475">
        <w:rPr>
          <w:rFonts w:asciiTheme="minorBidi" w:hAnsiTheme="minorBidi" w:cstheme="minorBidi"/>
          <w:sz w:val="24"/>
          <w:szCs w:val="24"/>
        </w:rPr>
        <w:t xml:space="preserve">and analyses of our rabbis. However, the correct interpretation according to </w:t>
      </w:r>
      <w:r w:rsidR="000D4423" w:rsidRPr="002B1475">
        <w:rPr>
          <w:rFonts w:asciiTheme="minorBidi" w:hAnsiTheme="minorBidi" w:cstheme="minorBidi"/>
          <w:sz w:val="24"/>
          <w:szCs w:val="24"/>
        </w:rPr>
        <w:t xml:space="preserve">the literal rendering </w:t>
      </w:r>
      <w:r w:rsidRPr="002B1475">
        <w:rPr>
          <w:rFonts w:asciiTheme="minorBidi" w:hAnsiTheme="minorBidi" w:cstheme="minorBidi"/>
          <w:sz w:val="24"/>
          <w:szCs w:val="24"/>
        </w:rPr>
        <w:t xml:space="preserve">is that… Cyrus, Artaxerxes and Darius were different kings. (Commentary to </w:t>
      </w:r>
      <w:r w:rsidRPr="002B1475">
        <w:rPr>
          <w:rFonts w:asciiTheme="minorBidi" w:hAnsiTheme="minorBidi" w:cstheme="minorBidi"/>
          <w:i/>
          <w:sz w:val="24"/>
          <w:szCs w:val="24"/>
        </w:rPr>
        <w:t>Rif</w:t>
      </w:r>
      <w:r w:rsidRPr="002B1475">
        <w:rPr>
          <w:rFonts w:asciiTheme="minorBidi" w:hAnsiTheme="minorBidi" w:cstheme="minorBidi"/>
          <w:sz w:val="24"/>
          <w:szCs w:val="24"/>
        </w:rPr>
        <w:t xml:space="preserve">, </w:t>
      </w:r>
      <w:r w:rsidRPr="002B1475">
        <w:rPr>
          <w:rFonts w:asciiTheme="minorBidi" w:hAnsiTheme="minorBidi" w:cstheme="minorBidi"/>
          <w:i/>
          <w:sz w:val="24"/>
          <w:szCs w:val="24"/>
        </w:rPr>
        <w:t xml:space="preserve">Rosh Hashana </w:t>
      </w:r>
      <w:r w:rsidRPr="002B1475">
        <w:rPr>
          <w:rFonts w:asciiTheme="minorBidi" w:hAnsiTheme="minorBidi" w:cstheme="minorBidi"/>
          <w:sz w:val="24"/>
          <w:szCs w:val="24"/>
        </w:rPr>
        <w:t>1a)</w:t>
      </w:r>
    </w:p>
    <w:p w14:paraId="3AECB380" w14:textId="77777777" w:rsidR="000D4423" w:rsidRPr="002B1475" w:rsidRDefault="000D4423" w:rsidP="002B1475">
      <w:pPr>
        <w:pStyle w:val="Normal1"/>
        <w:spacing w:line="240" w:lineRule="auto"/>
        <w:ind w:left="720"/>
        <w:jc w:val="both"/>
        <w:rPr>
          <w:rFonts w:asciiTheme="minorBidi" w:hAnsiTheme="minorBidi" w:cstheme="minorBidi"/>
          <w:sz w:val="24"/>
          <w:szCs w:val="24"/>
        </w:rPr>
      </w:pPr>
    </w:p>
    <w:p w14:paraId="226B4246" w14:textId="63DD326A"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sz w:val="24"/>
          <w:szCs w:val="24"/>
        </w:rPr>
        <w:t xml:space="preserve">The implication </w:t>
      </w:r>
      <w:r w:rsidR="000D4423" w:rsidRPr="002B1475">
        <w:rPr>
          <w:rFonts w:asciiTheme="minorBidi" w:hAnsiTheme="minorBidi" w:cstheme="minorBidi"/>
          <w:sz w:val="24"/>
          <w:szCs w:val="24"/>
        </w:rPr>
        <w:t xml:space="preserve">is </w:t>
      </w:r>
      <w:r w:rsidRPr="002B1475">
        <w:rPr>
          <w:rFonts w:asciiTheme="minorBidi" w:hAnsiTheme="minorBidi" w:cstheme="minorBidi"/>
          <w:sz w:val="24"/>
          <w:szCs w:val="24"/>
        </w:rPr>
        <w:t xml:space="preserve">clear. If the three monarchs were different people, it is implausible that the Persian kings ruled for a mere fifty-two years, in which case it is </w:t>
      </w:r>
      <w:r w:rsidR="000D4423" w:rsidRPr="002B1475">
        <w:rPr>
          <w:rFonts w:asciiTheme="minorBidi" w:hAnsiTheme="minorBidi" w:cstheme="minorBidi"/>
          <w:sz w:val="24"/>
          <w:szCs w:val="24"/>
        </w:rPr>
        <w:t xml:space="preserve">nearly impossible </w:t>
      </w:r>
      <w:r w:rsidRPr="002B1475">
        <w:rPr>
          <w:rFonts w:asciiTheme="minorBidi" w:hAnsiTheme="minorBidi" w:cstheme="minorBidi"/>
          <w:sz w:val="24"/>
          <w:szCs w:val="24"/>
        </w:rPr>
        <w:t>to maintain a 420-year period of duration for the Second Temple. Although Ba’al Ha-maor does not directly endorse the scholarly consensus</w:t>
      </w:r>
      <w:r w:rsidR="00CB0169">
        <w:rPr>
          <w:rFonts w:asciiTheme="minorBidi" w:hAnsiTheme="minorBidi" w:cstheme="minorBidi"/>
          <w:sz w:val="24"/>
          <w:szCs w:val="24"/>
        </w:rPr>
        <w:t xml:space="preserve"> – </w:t>
      </w:r>
      <w:r w:rsidRPr="002B1475">
        <w:rPr>
          <w:rFonts w:asciiTheme="minorBidi" w:hAnsiTheme="minorBidi" w:cstheme="minorBidi"/>
          <w:sz w:val="24"/>
          <w:szCs w:val="24"/>
        </w:rPr>
        <w:t>no such thing existed when he wrote in the twelfth century</w:t>
      </w:r>
      <w:r w:rsidR="00CB0169">
        <w:rPr>
          <w:rFonts w:asciiTheme="minorBidi" w:hAnsiTheme="minorBidi" w:cstheme="minorBidi"/>
          <w:sz w:val="24"/>
          <w:szCs w:val="24"/>
        </w:rPr>
        <w:t xml:space="preserve"> – </w:t>
      </w:r>
      <w:r w:rsidRPr="002B1475">
        <w:rPr>
          <w:rFonts w:asciiTheme="minorBidi" w:hAnsiTheme="minorBidi" w:cstheme="minorBidi"/>
          <w:sz w:val="24"/>
          <w:szCs w:val="24"/>
        </w:rPr>
        <w:t>he does reject</w:t>
      </w:r>
      <w:r w:rsidR="000D4423" w:rsidRPr="002B1475">
        <w:rPr>
          <w:rFonts w:asciiTheme="minorBidi" w:hAnsiTheme="minorBidi" w:cstheme="minorBidi"/>
          <w:sz w:val="24"/>
          <w:szCs w:val="24"/>
        </w:rPr>
        <w:t xml:space="preserve"> the rabbinic</w:t>
      </w:r>
      <w:r w:rsidRPr="002B1475">
        <w:rPr>
          <w:rFonts w:asciiTheme="minorBidi" w:hAnsiTheme="minorBidi" w:cstheme="minorBidi"/>
          <w:sz w:val="24"/>
          <w:szCs w:val="24"/>
        </w:rPr>
        <w:t xml:space="preserve"> view conflating the three kings, implicitly scuttling </w:t>
      </w:r>
      <w:r w:rsidRPr="002B1475">
        <w:rPr>
          <w:rFonts w:asciiTheme="minorBidi" w:hAnsiTheme="minorBidi" w:cstheme="minorBidi"/>
          <w:i/>
          <w:sz w:val="24"/>
          <w:szCs w:val="24"/>
        </w:rPr>
        <w:t xml:space="preserve">Seder Olam </w:t>
      </w:r>
      <w:r w:rsidRPr="002B1475">
        <w:rPr>
          <w:rFonts w:asciiTheme="minorBidi" w:hAnsiTheme="minorBidi" w:cstheme="minorBidi"/>
          <w:sz w:val="24"/>
          <w:szCs w:val="24"/>
        </w:rPr>
        <w:t xml:space="preserve">and the Talmud’s thirty-four years. </w:t>
      </w:r>
    </w:p>
    <w:p w14:paraId="07DA3387"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58F76914" w14:textId="3EAC4AB2"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rPr>
        <w:t>Approach 3</w:t>
      </w:r>
      <w:r w:rsidR="00CB0169">
        <w:rPr>
          <w:rFonts w:asciiTheme="minorBidi" w:hAnsiTheme="minorBidi" w:cstheme="minorBidi"/>
          <w:sz w:val="24"/>
          <w:szCs w:val="24"/>
        </w:rPr>
        <w:t xml:space="preserve"> – </w:t>
      </w:r>
      <w:r w:rsidRPr="002B1475">
        <w:rPr>
          <w:rFonts w:asciiTheme="minorBidi" w:hAnsiTheme="minorBidi" w:cstheme="minorBidi"/>
          <w:sz w:val="24"/>
          <w:szCs w:val="24"/>
        </w:rPr>
        <w:t>There are yet others who analyze the issue yet leave the question open. While many scholars take this tack, perhaps most interesting is the analysis of R. Yaakov Medan</w:t>
      </w:r>
      <w:r w:rsidR="00CB0169">
        <w:rPr>
          <w:rFonts w:asciiTheme="minorBidi" w:hAnsiTheme="minorBidi" w:cstheme="minorBidi"/>
          <w:sz w:val="24"/>
          <w:szCs w:val="24"/>
        </w:rPr>
        <w:t>,</w:t>
      </w:r>
      <w:r w:rsidRPr="002B1475">
        <w:rPr>
          <w:rFonts w:asciiTheme="minorBidi" w:hAnsiTheme="minorBidi" w:cstheme="minorBidi"/>
          <w:sz w:val="24"/>
          <w:szCs w:val="24"/>
          <w:vertAlign w:val="superscript"/>
        </w:rPr>
        <w:footnoteReference w:id="8"/>
      </w:r>
      <w:r w:rsidRPr="002B1475">
        <w:rPr>
          <w:rFonts w:asciiTheme="minorBidi" w:hAnsiTheme="minorBidi" w:cstheme="minorBidi"/>
          <w:sz w:val="24"/>
          <w:szCs w:val="24"/>
        </w:rPr>
        <w:t xml:space="preserve"> who rejects the suggestions that the rabbis really accepted the conventional account, instead arguing cogently that the statements in </w:t>
      </w:r>
      <w:r w:rsidRPr="002B1475">
        <w:rPr>
          <w:rFonts w:asciiTheme="minorBidi" w:hAnsiTheme="minorBidi" w:cstheme="minorBidi"/>
          <w:i/>
          <w:sz w:val="24"/>
          <w:szCs w:val="24"/>
        </w:rPr>
        <w:t xml:space="preserve">Seder Olam </w:t>
      </w:r>
      <w:r w:rsidRPr="002B1475">
        <w:rPr>
          <w:rFonts w:asciiTheme="minorBidi" w:hAnsiTheme="minorBidi" w:cstheme="minorBidi"/>
          <w:sz w:val="24"/>
          <w:szCs w:val="24"/>
        </w:rPr>
        <w:t xml:space="preserve">are intended as historical fact and are part and parcel of a wider rabbinic worldview. </w:t>
      </w:r>
      <w:r w:rsidR="00BC4B52">
        <w:rPr>
          <w:rFonts w:asciiTheme="minorBidi" w:hAnsiTheme="minorBidi" w:cstheme="minorBidi"/>
          <w:sz w:val="24"/>
          <w:szCs w:val="24"/>
        </w:rPr>
        <w:t xml:space="preserve">While not deciding between the competing chronologies, R. Medan does make two noteworthy arguments in </w:t>
      </w:r>
      <w:r w:rsidR="008041FF">
        <w:rPr>
          <w:rFonts w:asciiTheme="minorBidi" w:hAnsiTheme="minorBidi" w:cstheme="minorBidi"/>
          <w:sz w:val="24"/>
          <w:szCs w:val="24"/>
        </w:rPr>
        <w:t xml:space="preserve">attempting to </w:t>
      </w:r>
      <w:r w:rsidR="00BC4B52">
        <w:rPr>
          <w:rFonts w:asciiTheme="minorBidi" w:hAnsiTheme="minorBidi" w:cstheme="minorBidi"/>
          <w:sz w:val="24"/>
          <w:szCs w:val="24"/>
        </w:rPr>
        <w:t xml:space="preserve">account for the rabbis’ rejection of the conventional count. First, following R. Saadia Gaon, R. Medan claims that the rabbis might have believed that the conventional chronology was invented in support of the Christian interpretation of the Bible. Second, it is possible that the rabbis viewed the additional 150 years as implying a break in the unbroken chain from Sinai to the rabbinic period. </w:t>
      </w:r>
    </w:p>
    <w:p w14:paraId="26871675"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27755974" w14:textId="13410456" w:rsidR="009E18A6" w:rsidRPr="002B1475" w:rsidRDefault="001F41D5" w:rsidP="00E252B9">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rPr>
        <w:t>Approach 4</w:t>
      </w:r>
      <w:r w:rsidR="00CB0169">
        <w:rPr>
          <w:rFonts w:asciiTheme="minorBidi" w:hAnsiTheme="minorBidi" w:cstheme="minorBidi"/>
          <w:b/>
          <w:sz w:val="24"/>
          <w:szCs w:val="24"/>
        </w:rPr>
        <w:t xml:space="preserve"> – </w:t>
      </w:r>
      <w:r w:rsidRPr="002B1475">
        <w:rPr>
          <w:rFonts w:asciiTheme="minorBidi" w:hAnsiTheme="minorBidi" w:cstheme="minorBidi"/>
          <w:sz w:val="24"/>
          <w:szCs w:val="24"/>
        </w:rPr>
        <w:t xml:space="preserve">Another camp attempts to reconcile the rabbinic approach with the conventional chronology by claiming that rabbis maintained a longer period than </w:t>
      </w:r>
      <w:r w:rsidR="00E252B9">
        <w:rPr>
          <w:rFonts w:asciiTheme="minorBidi" w:hAnsiTheme="minorBidi" w:cstheme="minorBidi"/>
          <w:sz w:val="24"/>
          <w:szCs w:val="24"/>
        </w:rPr>
        <w:t>would</w:t>
      </w:r>
      <w:r w:rsidR="00E252B9" w:rsidRPr="002B1475">
        <w:rPr>
          <w:rFonts w:asciiTheme="minorBidi" w:hAnsiTheme="minorBidi" w:cstheme="minorBidi"/>
          <w:sz w:val="24"/>
          <w:szCs w:val="24"/>
        </w:rPr>
        <w:t xml:space="preserve"> </w:t>
      </w:r>
      <w:r w:rsidRPr="002B1475">
        <w:rPr>
          <w:rFonts w:asciiTheme="minorBidi" w:hAnsiTheme="minorBidi" w:cstheme="minorBidi"/>
          <w:sz w:val="24"/>
          <w:szCs w:val="24"/>
        </w:rPr>
        <w:t>appear at first glance. For instance, R. Chaim Hirschenson</w:t>
      </w:r>
      <w:r w:rsidR="0062564A">
        <w:rPr>
          <w:rFonts w:asciiTheme="minorBidi" w:hAnsiTheme="minorBidi" w:cstheme="minorBidi"/>
          <w:sz w:val="24"/>
          <w:szCs w:val="24"/>
        </w:rPr>
        <w:t>,</w:t>
      </w:r>
      <w:r w:rsidR="00F033CC" w:rsidRPr="002B1475">
        <w:rPr>
          <w:rStyle w:val="FootnoteReference"/>
          <w:rFonts w:asciiTheme="minorBidi" w:hAnsiTheme="minorBidi" w:cstheme="minorBidi"/>
          <w:sz w:val="24"/>
          <w:szCs w:val="24"/>
        </w:rPr>
        <w:footnoteReference w:id="9"/>
      </w:r>
      <w:r w:rsidRPr="002B1475">
        <w:rPr>
          <w:rFonts w:asciiTheme="minorBidi" w:hAnsiTheme="minorBidi" w:cstheme="minorBidi"/>
          <w:sz w:val="24"/>
          <w:szCs w:val="24"/>
        </w:rPr>
        <w:t xml:space="preserve"> noting that other time spans mentioned in the same passage include the word “</w:t>
      </w:r>
      <w:r w:rsidRPr="002B1475">
        <w:rPr>
          <w:rFonts w:asciiTheme="minorBidi" w:hAnsiTheme="minorBidi" w:cstheme="minorBidi"/>
          <w:i/>
          <w:sz w:val="24"/>
          <w:szCs w:val="24"/>
        </w:rPr>
        <w:t>meah</w:t>
      </w:r>
      <w:r w:rsidRPr="002B1475">
        <w:rPr>
          <w:rFonts w:asciiTheme="minorBidi" w:hAnsiTheme="minorBidi" w:cstheme="minorBidi"/>
          <w:sz w:val="24"/>
          <w:szCs w:val="24"/>
        </w:rPr>
        <w:t>,</w:t>
      </w:r>
      <w:r w:rsidR="0062564A">
        <w:rPr>
          <w:rFonts w:asciiTheme="minorBidi" w:hAnsiTheme="minorBidi" w:cstheme="minorBidi"/>
          <w:sz w:val="24"/>
          <w:szCs w:val="24"/>
        </w:rPr>
        <w:t>”</w:t>
      </w:r>
      <w:r w:rsidRPr="002B1475">
        <w:rPr>
          <w:rFonts w:asciiTheme="minorBidi" w:hAnsiTheme="minorBidi" w:cstheme="minorBidi"/>
          <w:sz w:val="24"/>
          <w:szCs w:val="24"/>
        </w:rPr>
        <w:t xml:space="preserve"> 100, maintains that the text of </w:t>
      </w:r>
      <w:r w:rsidRPr="002B1475">
        <w:rPr>
          <w:rFonts w:asciiTheme="minorBidi" w:hAnsiTheme="minorBidi" w:cstheme="minorBidi"/>
          <w:i/>
          <w:sz w:val="24"/>
          <w:szCs w:val="24"/>
        </w:rPr>
        <w:t>Seder Olam</w:t>
      </w:r>
      <w:r w:rsidRPr="002B1475">
        <w:rPr>
          <w:rFonts w:asciiTheme="minorBidi" w:hAnsiTheme="minorBidi" w:cstheme="minorBidi"/>
          <w:sz w:val="24"/>
          <w:szCs w:val="24"/>
        </w:rPr>
        <w:t xml:space="preserve"> must be emended from 34 to 134. While this does not fully resolve the inconsistency, it narrows the gap considerably.</w:t>
      </w:r>
    </w:p>
    <w:p w14:paraId="5BF56D8A"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27D80AAB" w14:textId="4AC7A121" w:rsidR="009E18A6" w:rsidRPr="002B1475" w:rsidRDefault="001F41D5" w:rsidP="00FA203C">
      <w:pPr>
        <w:pStyle w:val="Normal1"/>
        <w:spacing w:line="240" w:lineRule="auto"/>
        <w:jc w:val="both"/>
        <w:rPr>
          <w:rFonts w:asciiTheme="minorBidi" w:hAnsiTheme="minorBidi" w:cstheme="minorBidi"/>
          <w:sz w:val="24"/>
          <w:szCs w:val="24"/>
        </w:rPr>
      </w:pPr>
      <w:r w:rsidRPr="002B1475">
        <w:rPr>
          <w:rFonts w:asciiTheme="minorBidi" w:hAnsiTheme="minorBidi" w:cstheme="minorBidi"/>
          <w:sz w:val="24"/>
          <w:szCs w:val="24"/>
        </w:rPr>
        <w:t>In a different but related vein, R. Mordekhai Breuer</w:t>
      </w:r>
      <w:r w:rsidRPr="002B1475">
        <w:rPr>
          <w:rFonts w:asciiTheme="minorBidi" w:hAnsiTheme="minorBidi" w:cstheme="minorBidi"/>
          <w:sz w:val="24"/>
          <w:szCs w:val="24"/>
          <w:vertAlign w:val="superscript"/>
        </w:rPr>
        <w:footnoteReference w:id="10"/>
      </w:r>
      <w:r w:rsidRPr="002B1475">
        <w:rPr>
          <w:rFonts w:asciiTheme="minorBidi" w:hAnsiTheme="minorBidi" w:cstheme="minorBidi"/>
          <w:sz w:val="24"/>
          <w:szCs w:val="24"/>
        </w:rPr>
        <w:t xml:space="preserve"> maintains that </w:t>
      </w:r>
      <w:r w:rsidRPr="002B1475">
        <w:rPr>
          <w:rFonts w:asciiTheme="minorBidi" w:hAnsiTheme="minorBidi" w:cstheme="minorBidi"/>
          <w:i/>
          <w:sz w:val="24"/>
          <w:szCs w:val="24"/>
        </w:rPr>
        <w:t>Seder Olam</w:t>
      </w:r>
      <w:r w:rsidRPr="002B1475">
        <w:rPr>
          <w:rFonts w:asciiTheme="minorBidi" w:hAnsiTheme="minorBidi" w:cstheme="minorBidi"/>
          <w:sz w:val="24"/>
          <w:szCs w:val="24"/>
        </w:rPr>
        <w:t xml:space="preserve">’s account should not be taken as literal but as metaphorical, and therefore one who accepts the scholarly account </w:t>
      </w:r>
      <w:r w:rsidR="00E252B9">
        <w:rPr>
          <w:rFonts w:asciiTheme="minorBidi" w:hAnsiTheme="minorBidi" w:cstheme="minorBidi"/>
          <w:sz w:val="24"/>
          <w:szCs w:val="24"/>
        </w:rPr>
        <w:t>does</w:t>
      </w:r>
      <w:r w:rsidR="00E252B9" w:rsidRPr="002B1475">
        <w:rPr>
          <w:rFonts w:asciiTheme="minorBidi" w:hAnsiTheme="minorBidi" w:cstheme="minorBidi"/>
          <w:sz w:val="24"/>
          <w:szCs w:val="24"/>
        </w:rPr>
        <w:t xml:space="preserve"> </w:t>
      </w:r>
      <w:r w:rsidRPr="002B1475">
        <w:rPr>
          <w:rFonts w:asciiTheme="minorBidi" w:hAnsiTheme="minorBidi" w:cstheme="minorBidi"/>
          <w:sz w:val="24"/>
          <w:szCs w:val="24"/>
        </w:rPr>
        <w:t xml:space="preserve">not </w:t>
      </w:r>
      <w:r w:rsidR="00E252B9">
        <w:rPr>
          <w:rFonts w:asciiTheme="minorBidi" w:hAnsiTheme="minorBidi" w:cstheme="minorBidi"/>
          <w:sz w:val="24"/>
          <w:szCs w:val="24"/>
        </w:rPr>
        <w:t>thereby</w:t>
      </w:r>
      <w:r w:rsidR="00E252B9" w:rsidRPr="002B1475">
        <w:rPr>
          <w:rFonts w:asciiTheme="minorBidi" w:hAnsiTheme="minorBidi" w:cstheme="minorBidi"/>
          <w:sz w:val="24"/>
          <w:szCs w:val="24"/>
        </w:rPr>
        <w:t xml:space="preserve"> </w:t>
      </w:r>
      <w:r w:rsidR="00E252B9">
        <w:rPr>
          <w:rFonts w:asciiTheme="minorBidi" w:hAnsiTheme="minorBidi" w:cstheme="minorBidi"/>
          <w:sz w:val="24"/>
          <w:szCs w:val="24"/>
        </w:rPr>
        <w:t>display a lack</w:t>
      </w:r>
      <w:r w:rsidRPr="002B1475">
        <w:rPr>
          <w:rFonts w:asciiTheme="minorBidi" w:hAnsiTheme="minorBidi" w:cstheme="minorBidi"/>
          <w:sz w:val="24"/>
          <w:szCs w:val="24"/>
        </w:rPr>
        <w:t xml:space="preserve"> of faith in the </w:t>
      </w:r>
      <w:r w:rsidR="00E252B9">
        <w:rPr>
          <w:rFonts w:asciiTheme="minorBidi" w:hAnsiTheme="minorBidi" w:cstheme="minorBidi"/>
          <w:sz w:val="24"/>
          <w:szCs w:val="24"/>
        </w:rPr>
        <w:t>S</w:t>
      </w:r>
      <w:r w:rsidR="00E252B9" w:rsidRPr="002B1475">
        <w:rPr>
          <w:rFonts w:asciiTheme="minorBidi" w:hAnsiTheme="minorBidi" w:cstheme="minorBidi"/>
          <w:sz w:val="24"/>
          <w:szCs w:val="24"/>
        </w:rPr>
        <w:t>ages</w:t>
      </w:r>
      <w:r w:rsidRPr="002B1475">
        <w:rPr>
          <w:rFonts w:asciiTheme="minorBidi" w:hAnsiTheme="minorBidi" w:cstheme="minorBidi"/>
          <w:sz w:val="24"/>
          <w:szCs w:val="24"/>
        </w:rPr>
        <w:t xml:space="preserve">. </w:t>
      </w:r>
      <w:r w:rsidR="00E252B9">
        <w:rPr>
          <w:rFonts w:asciiTheme="minorBidi" w:hAnsiTheme="minorBidi" w:cstheme="minorBidi"/>
          <w:sz w:val="24"/>
          <w:szCs w:val="24"/>
        </w:rPr>
        <w:t>H</w:t>
      </w:r>
      <w:r w:rsidRPr="002B1475">
        <w:rPr>
          <w:rFonts w:asciiTheme="minorBidi" w:hAnsiTheme="minorBidi" w:cstheme="minorBidi"/>
          <w:sz w:val="24"/>
          <w:szCs w:val="24"/>
        </w:rPr>
        <w:t xml:space="preserve">owever, at least in this article, </w:t>
      </w:r>
      <w:r w:rsidR="00E252B9" w:rsidRPr="002B1475">
        <w:rPr>
          <w:rFonts w:asciiTheme="minorBidi" w:hAnsiTheme="minorBidi" w:cstheme="minorBidi"/>
          <w:sz w:val="24"/>
          <w:szCs w:val="24"/>
        </w:rPr>
        <w:t>R. Breuer</w:t>
      </w:r>
      <w:r w:rsidR="00E252B9">
        <w:rPr>
          <w:rFonts w:asciiTheme="minorBidi" w:hAnsiTheme="minorBidi" w:cstheme="minorBidi"/>
          <w:sz w:val="24"/>
          <w:szCs w:val="24"/>
        </w:rPr>
        <w:t xml:space="preserve"> </w:t>
      </w:r>
      <w:r w:rsidRPr="002B1475">
        <w:rPr>
          <w:rFonts w:asciiTheme="minorBidi" w:hAnsiTheme="minorBidi" w:cstheme="minorBidi"/>
          <w:sz w:val="24"/>
          <w:szCs w:val="24"/>
        </w:rPr>
        <w:t xml:space="preserve">does not explain the deeper meaning of the </w:t>
      </w:r>
      <w:r w:rsidR="00E252B9">
        <w:rPr>
          <w:rFonts w:asciiTheme="minorBidi" w:hAnsiTheme="minorBidi" w:cstheme="minorBidi"/>
          <w:sz w:val="24"/>
          <w:szCs w:val="24"/>
        </w:rPr>
        <w:t>S</w:t>
      </w:r>
      <w:r w:rsidR="00E252B9" w:rsidRPr="002B1475">
        <w:rPr>
          <w:rFonts w:asciiTheme="minorBidi" w:hAnsiTheme="minorBidi" w:cstheme="minorBidi"/>
          <w:sz w:val="24"/>
          <w:szCs w:val="24"/>
        </w:rPr>
        <w:t xml:space="preserve">ages’ </w:t>
      </w:r>
      <w:r w:rsidRPr="002B1475">
        <w:rPr>
          <w:rFonts w:asciiTheme="minorBidi" w:hAnsiTheme="minorBidi" w:cstheme="minorBidi"/>
          <w:sz w:val="24"/>
          <w:szCs w:val="24"/>
        </w:rPr>
        <w:t xml:space="preserve">account. </w:t>
      </w:r>
    </w:p>
    <w:p w14:paraId="261DF899"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66D6BB14" w14:textId="677D5377"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rPr>
        <w:t>Approach 5</w:t>
      </w:r>
      <w:r w:rsidR="00CB0169">
        <w:rPr>
          <w:rFonts w:asciiTheme="minorBidi" w:hAnsiTheme="minorBidi" w:cstheme="minorBidi"/>
          <w:sz w:val="24"/>
          <w:szCs w:val="24"/>
        </w:rPr>
        <w:t xml:space="preserve"> – </w:t>
      </w:r>
      <w:r w:rsidRPr="002B1475">
        <w:rPr>
          <w:rFonts w:asciiTheme="minorBidi" w:hAnsiTheme="minorBidi" w:cstheme="minorBidi"/>
          <w:sz w:val="24"/>
          <w:szCs w:val="24"/>
        </w:rPr>
        <w:t>A number of traditional scholars have proposed that the rabbis knew and accepted the conve</w:t>
      </w:r>
      <w:r w:rsidR="0023200D" w:rsidRPr="002B1475">
        <w:rPr>
          <w:rFonts w:asciiTheme="minorBidi" w:hAnsiTheme="minorBidi" w:cstheme="minorBidi"/>
          <w:sz w:val="24"/>
          <w:szCs w:val="24"/>
        </w:rPr>
        <w:t>ntional chronology</w:t>
      </w:r>
      <w:r w:rsidRPr="002B1475">
        <w:rPr>
          <w:rFonts w:asciiTheme="minorBidi" w:hAnsiTheme="minorBidi" w:cstheme="minorBidi"/>
          <w:sz w:val="24"/>
          <w:szCs w:val="24"/>
        </w:rPr>
        <w:t xml:space="preserve"> but obscured it for some reason. </w:t>
      </w:r>
    </w:p>
    <w:p w14:paraId="56D3E2A1"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19AA17B4" w14:textId="4DF7EC53" w:rsidR="009E18A6" w:rsidRPr="002B1475" w:rsidRDefault="001F41D5" w:rsidP="00FA203C">
      <w:pPr>
        <w:pStyle w:val="Normal1"/>
        <w:spacing w:line="240" w:lineRule="auto"/>
        <w:jc w:val="both"/>
        <w:rPr>
          <w:rFonts w:asciiTheme="minorBidi" w:hAnsiTheme="minorBidi" w:cstheme="minorBidi"/>
          <w:sz w:val="24"/>
          <w:szCs w:val="24"/>
        </w:rPr>
      </w:pPr>
      <w:r w:rsidRPr="002B1475">
        <w:rPr>
          <w:rFonts w:asciiTheme="minorBidi" w:hAnsiTheme="minorBidi" w:cstheme="minorBidi"/>
          <w:sz w:val="24"/>
          <w:szCs w:val="24"/>
        </w:rPr>
        <w:t>This position was perhaps most famously adopted by Rabbi Shimon Schwab, leader of the German Jewish community in Washington Heights, New York</w:t>
      </w:r>
      <w:r w:rsidR="00E252B9">
        <w:rPr>
          <w:rFonts w:asciiTheme="minorBidi" w:hAnsiTheme="minorBidi" w:cstheme="minorBidi"/>
          <w:sz w:val="24"/>
          <w:szCs w:val="24"/>
        </w:rPr>
        <w:t>,</w:t>
      </w:r>
      <w:r w:rsidRPr="002B1475">
        <w:rPr>
          <w:rFonts w:asciiTheme="minorBidi" w:hAnsiTheme="minorBidi" w:cstheme="minorBidi"/>
          <w:sz w:val="24"/>
          <w:szCs w:val="24"/>
        </w:rPr>
        <w:t xml:space="preserve"> until his death in 1995</w:t>
      </w:r>
      <w:r w:rsidR="00E252B9">
        <w:rPr>
          <w:rFonts w:asciiTheme="minorBidi" w:hAnsiTheme="minorBidi" w:cstheme="minorBidi"/>
          <w:sz w:val="24"/>
          <w:szCs w:val="24"/>
        </w:rPr>
        <w:t>. He</w:t>
      </w:r>
      <w:r w:rsidRPr="002B1475">
        <w:rPr>
          <w:rFonts w:asciiTheme="minorBidi" w:hAnsiTheme="minorBidi" w:cstheme="minorBidi"/>
          <w:sz w:val="24"/>
          <w:szCs w:val="24"/>
        </w:rPr>
        <w:t xml:space="preserve"> maintained that the rabbis had intentionally obscured “the missing years” in order to dissuade anyone from calculating the time of the coming of Messiah. This followed the charge laid out in the book of</w:t>
      </w:r>
      <w:r w:rsidRPr="002B1475">
        <w:rPr>
          <w:rFonts w:asciiTheme="minorBidi" w:hAnsiTheme="minorBidi" w:cstheme="minorBidi"/>
          <w:i/>
          <w:sz w:val="24"/>
          <w:szCs w:val="24"/>
        </w:rPr>
        <w:t xml:space="preserve"> Daniel</w:t>
      </w:r>
      <w:r w:rsidRPr="002B1475">
        <w:rPr>
          <w:rFonts w:asciiTheme="minorBidi" w:hAnsiTheme="minorBidi" w:cstheme="minorBidi"/>
          <w:sz w:val="24"/>
          <w:szCs w:val="24"/>
        </w:rPr>
        <w:t xml:space="preserve"> (12:4): “But you, Daniel, keep the words secret, and seal until the time of the end. Many will range far and wide and knowledge will increase.” Toward the end of his life, however, it seems that Rabbi Schwab recanted his position, expressing concern that the masking would have had too great a negative impact on </w:t>
      </w:r>
      <w:r w:rsidRPr="00220BC1">
        <w:rPr>
          <w:rFonts w:asciiTheme="minorBidi" w:hAnsiTheme="minorBidi" w:cstheme="minorBidi"/>
          <w:iCs/>
          <w:sz w:val="24"/>
          <w:szCs w:val="24"/>
        </w:rPr>
        <w:t>halakhic</w:t>
      </w:r>
      <w:r w:rsidRPr="002B1475">
        <w:rPr>
          <w:rFonts w:asciiTheme="minorBidi" w:hAnsiTheme="minorBidi" w:cstheme="minorBidi"/>
          <w:sz w:val="24"/>
          <w:szCs w:val="24"/>
        </w:rPr>
        <w:t xml:space="preserve"> matters such as the </w:t>
      </w:r>
      <w:r w:rsidRPr="002B1475">
        <w:rPr>
          <w:rFonts w:asciiTheme="minorBidi" w:hAnsiTheme="minorBidi" w:cstheme="minorBidi"/>
          <w:i/>
          <w:sz w:val="24"/>
          <w:szCs w:val="24"/>
        </w:rPr>
        <w:t>molad</w:t>
      </w:r>
      <w:r w:rsidR="0023200D" w:rsidRPr="002B1475">
        <w:rPr>
          <w:rFonts w:asciiTheme="minorBidi" w:hAnsiTheme="minorBidi" w:cstheme="minorBidi"/>
          <w:sz w:val="24"/>
          <w:szCs w:val="24"/>
        </w:rPr>
        <w:t>, and therefore the notion that the rabbis would have obscured the actual dates is implausible</w:t>
      </w:r>
      <w:r w:rsidRPr="002B1475">
        <w:rPr>
          <w:rFonts w:asciiTheme="minorBidi" w:hAnsiTheme="minorBidi" w:cstheme="minorBidi"/>
          <w:sz w:val="24"/>
          <w:szCs w:val="24"/>
        </w:rPr>
        <w:t>.</w:t>
      </w:r>
      <w:r w:rsidRPr="002B1475">
        <w:rPr>
          <w:rFonts w:asciiTheme="minorBidi" w:hAnsiTheme="minorBidi" w:cstheme="minorBidi"/>
          <w:sz w:val="24"/>
          <w:szCs w:val="24"/>
          <w:vertAlign w:val="superscript"/>
        </w:rPr>
        <w:footnoteReference w:id="11"/>
      </w:r>
      <w:r w:rsidR="002B1475">
        <w:rPr>
          <w:rFonts w:asciiTheme="minorBidi" w:hAnsiTheme="minorBidi" w:cstheme="minorBidi"/>
          <w:sz w:val="24"/>
          <w:szCs w:val="24"/>
        </w:rPr>
        <w:t xml:space="preserve"> </w:t>
      </w:r>
    </w:p>
    <w:p w14:paraId="2D5C065F"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3E6D23E8" w14:textId="17A1862D"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A second theory, proposed as early as 1852 by R. Solomon Judah Rapoport</w:t>
      </w:r>
      <w:r w:rsidR="00E252B9">
        <w:rPr>
          <w:rFonts w:asciiTheme="minorBidi" w:hAnsiTheme="minorBidi" w:cstheme="minorBidi"/>
          <w:sz w:val="24"/>
          <w:szCs w:val="24"/>
        </w:rPr>
        <w:t>,</w:t>
      </w:r>
      <w:r w:rsidRPr="002B1475">
        <w:rPr>
          <w:rFonts w:asciiTheme="minorBidi" w:hAnsiTheme="minorBidi" w:cstheme="minorBidi"/>
          <w:sz w:val="24"/>
          <w:szCs w:val="24"/>
          <w:vertAlign w:val="superscript"/>
        </w:rPr>
        <w:footnoteReference w:id="12"/>
      </w:r>
      <w:r w:rsidRPr="002B1475">
        <w:rPr>
          <w:rFonts w:asciiTheme="minorBidi" w:hAnsiTheme="minorBidi" w:cstheme="minorBidi"/>
          <w:sz w:val="24"/>
          <w:szCs w:val="24"/>
        </w:rPr>
        <w:t xml:space="preserve"> proposes that the years were omitted so as to align the historical chronology of the Egyptian Exodus with “</w:t>
      </w:r>
      <w:r w:rsidRPr="002B1475">
        <w:rPr>
          <w:rFonts w:asciiTheme="minorBidi" w:hAnsiTheme="minorBidi" w:cstheme="minorBidi"/>
          <w:i/>
          <w:sz w:val="24"/>
          <w:szCs w:val="24"/>
        </w:rPr>
        <w:t>minyan shtarot</w:t>
      </w:r>
      <w:r w:rsidRPr="002B1475">
        <w:rPr>
          <w:rFonts w:asciiTheme="minorBidi" w:hAnsiTheme="minorBidi" w:cstheme="minorBidi"/>
          <w:sz w:val="24"/>
          <w:szCs w:val="24"/>
        </w:rPr>
        <w:t xml:space="preserve">,” a counting system begun in 312 BCE in the wake of the Seleucid conquest of the Babylonian empire. According to </w:t>
      </w:r>
      <w:r w:rsidRPr="002B1475">
        <w:rPr>
          <w:rFonts w:asciiTheme="minorBidi" w:hAnsiTheme="minorBidi" w:cstheme="minorBidi"/>
          <w:i/>
          <w:sz w:val="24"/>
          <w:szCs w:val="24"/>
        </w:rPr>
        <w:t>Seder Olam</w:t>
      </w:r>
      <w:r w:rsidRPr="002B1475">
        <w:rPr>
          <w:rFonts w:asciiTheme="minorBidi" w:hAnsiTheme="minorBidi" w:cstheme="minorBidi"/>
          <w:sz w:val="24"/>
          <w:szCs w:val="24"/>
        </w:rPr>
        <w:t>’s chronology, as noted already by the Talmud (</w:t>
      </w:r>
      <w:r w:rsidRPr="002B1475">
        <w:rPr>
          <w:rFonts w:asciiTheme="minorBidi" w:hAnsiTheme="minorBidi" w:cstheme="minorBidi"/>
          <w:i/>
          <w:sz w:val="24"/>
          <w:szCs w:val="24"/>
        </w:rPr>
        <w:t xml:space="preserve">Avoda Zara </w:t>
      </w:r>
      <w:r w:rsidRPr="002B1475">
        <w:rPr>
          <w:rFonts w:asciiTheme="minorBidi" w:hAnsiTheme="minorBidi" w:cstheme="minorBidi"/>
          <w:sz w:val="24"/>
          <w:szCs w:val="24"/>
        </w:rPr>
        <w:t>10a)</w:t>
      </w:r>
      <w:r w:rsidR="0023200D" w:rsidRPr="002B1475">
        <w:rPr>
          <w:rFonts w:asciiTheme="minorBidi" w:hAnsiTheme="minorBidi" w:cstheme="minorBidi"/>
          <w:sz w:val="24"/>
          <w:szCs w:val="24"/>
        </w:rPr>
        <w:t>,</w:t>
      </w:r>
      <w:r w:rsidRPr="002B1475">
        <w:rPr>
          <w:rFonts w:asciiTheme="minorBidi" w:hAnsiTheme="minorBidi" w:cstheme="minorBidi"/>
          <w:sz w:val="24"/>
          <w:szCs w:val="24"/>
        </w:rPr>
        <w:t xml:space="preserve"> </w:t>
      </w:r>
      <w:r w:rsidRPr="002B1475">
        <w:rPr>
          <w:rFonts w:asciiTheme="minorBidi" w:hAnsiTheme="minorBidi" w:cstheme="minorBidi"/>
          <w:i/>
          <w:sz w:val="24"/>
          <w:szCs w:val="24"/>
        </w:rPr>
        <w:t>minyan shtarot</w:t>
      </w:r>
      <w:r w:rsidRPr="002B1475">
        <w:rPr>
          <w:rFonts w:asciiTheme="minorBidi" w:hAnsiTheme="minorBidi" w:cstheme="minorBidi"/>
          <w:sz w:val="24"/>
          <w:szCs w:val="24"/>
        </w:rPr>
        <w:t xml:space="preserve"> begins precisely 1,000 years after the Exodus. In this way, the rabbi</w:t>
      </w:r>
      <w:r w:rsidR="0023200D" w:rsidRPr="002B1475">
        <w:rPr>
          <w:rFonts w:asciiTheme="minorBidi" w:hAnsiTheme="minorBidi" w:cstheme="minorBidi"/>
          <w:sz w:val="24"/>
          <w:szCs w:val="24"/>
        </w:rPr>
        <w:t>s</w:t>
      </w:r>
      <w:r w:rsidRPr="002B1475">
        <w:rPr>
          <w:rFonts w:asciiTheme="minorBidi" w:hAnsiTheme="minorBidi" w:cstheme="minorBidi"/>
          <w:sz w:val="24"/>
          <w:szCs w:val="24"/>
        </w:rPr>
        <w:t xml:space="preserve"> ensured that even as they were adopting a secular accounting of history, they were simultaneously counting the years in accordance with the Exodus. In doing so, they were following the model of the Bible, which records that Shlomo built the Temple some 480 years after the redemption (</w:t>
      </w:r>
      <w:r w:rsidR="00E252B9">
        <w:rPr>
          <w:rFonts w:asciiTheme="minorBidi" w:hAnsiTheme="minorBidi" w:cstheme="minorBidi"/>
          <w:sz w:val="24"/>
          <w:szCs w:val="24"/>
        </w:rPr>
        <w:t xml:space="preserve">I </w:t>
      </w:r>
      <w:r w:rsidRPr="002B1475">
        <w:rPr>
          <w:rFonts w:asciiTheme="minorBidi" w:hAnsiTheme="minorBidi" w:cstheme="minorBidi"/>
          <w:i/>
          <w:sz w:val="24"/>
          <w:szCs w:val="24"/>
        </w:rPr>
        <w:t xml:space="preserve">Melakhim </w:t>
      </w:r>
      <w:r w:rsidRPr="002B1475">
        <w:rPr>
          <w:rFonts w:asciiTheme="minorBidi" w:hAnsiTheme="minorBidi" w:cstheme="minorBidi"/>
          <w:sz w:val="24"/>
          <w:szCs w:val="24"/>
        </w:rPr>
        <w:t xml:space="preserve">6:1). </w:t>
      </w:r>
    </w:p>
    <w:p w14:paraId="7C075A5D"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41228EE2" w14:textId="01627DE2"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Finally, the authors of a 2006 article in </w:t>
      </w:r>
      <w:r w:rsidRPr="002B1475">
        <w:rPr>
          <w:rFonts w:asciiTheme="minorBidi" w:hAnsiTheme="minorBidi" w:cstheme="minorBidi"/>
          <w:i/>
          <w:sz w:val="24"/>
          <w:szCs w:val="24"/>
        </w:rPr>
        <w:t>Hakira</w:t>
      </w:r>
      <w:r w:rsidR="0062564A">
        <w:rPr>
          <w:rFonts w:asciiTheme="minorBidi" w:hAnsiTheme="minorBidi" w:cstheme="minorBidi"/>
          <w:i/>
          <w:sz w:val="24"/>
          <w:szCs w:val="24"/>
        </w:rPr>
        <w:t>h</w:t>
      </w:r>
      <w:r w:rsidRPr="002B1475">
        <w:rPr>
          <w:rFonts w:asciiTheme="minorBidi" w:hAnsiTheme="minorBidi" w:cstheme="minorBidi"/>
          <w:sz w:val="24"/>
          <w:szCs w:val="24"/>
          <w:vertAlign w:val="superscript"/>
        </w:rPr>
        <w:footnoteReference w:id="13"/>
      </w:r>
      <w:r w:rsidRPr="002B1475">
        <w:rPr>
          <w:rFonts w:asciiTheme="minorBidi" w:hAnsiTheme="minorBidi" w:cstheme="minorBidi"/>
          <w:sz w:val="24"/>
          <w:szCs w:val="24"/>
        </w:rPr>
        <w:t xml:space="preserve"> develop a novel theory. They begin by noting that the Talmud (</w:t>
      </w:r>
      <w:r w:rsidRPr="002B1475">
        <w:rPr>
          <w:rFonts w:asciiTheme="minorBidi" w:hAnsiTheme="minorBidi" w:cstheme="minorBidi"/>
          <w:i/>
          <w:sz w:val="24"/>
          <w:szCs w:val="24"/>
        </w:rPr>
        <w:t xml:space="preserve">Avoda Zara </w:t>
      </w:r>
      <w:r w:rsidRPr="002B1475">
        <w:rPr>
          <w:rFonts w:asciiTheme="minorBidi" w:hAnsiTheme="minorBidi" w:cstheme="minorBidi"/>
          <w:sz w:val="24"/>
          <w:szCs w:val="24"/>
        </w:rPr>
        <w:t xml:space="preserve">8b) divides human history into three epochs: 2,000 years of </w:t>
      </w:r>
      <w:r w:rsidRPr="002B1475">
        <w:rPr>
          <w:rFonts w:asciiTheme="minorBidi" w:hAnsiTheme="minorBidi" w:cstheme="minorBidi"/>
          <w:i/>
          <w:sz w:val="24"/>
          <w:szCs w:val="24"/>
        </w:rPr>
        <w:t>tohu</w:t>
      </w:r>
      <w:r w:rsidRPr="002B1475">
        <w:rPr>
          <w:rFonts w:asciiTheme="minorBidi" w:hAnsiTheme="minorBidi" w:cstheme="minorBidi"/>
          <w:sz w:val="24"/>
          <w:szCs w:val="24"/>
        </w:rPr>
        <w:t xml:space="preserve"> (chaos), 2,000 years of Torah and 2,000 years of the messiah. The meaning of the years of Torah and those of </w:t>
      </w:r>
      <w:r w:rsidRPr="002B1475">
        <w:rPr>
          <w:rFonts w:asciiTheme="minorBidi" w:hAnsiTheme="minorBidi" w:cstheme="minorBidi"/>
          <w:i/>
          <w:sz w:val="24"/>
          <w:szCs w:val="24"/>
        </w:rPr>
        <w:t>tohu</w:t>
      </w:r>
      <w:r w:rsidRPr="002B1475">
        <w:rPr>
          <w:rFonts w:asciiTheme="minorBidi" w:hAnsiTheme="minorBidi" w:cstheme="minorBidi"/>
          <w:sz w:val="24"/>
          <w:szCs w:val="24"/>
        </w:rPr>
        <w:t xml:space="preserve"> and messiah is</w:t>
      </w:r>
      <w:r w:rsidR="0023200D" w:rsidRPr="002B1475">
        <w:rPr>
          <w:rFonts w:asciiTheme="minorBidi" w:hAnsiTheme="minorBidi" w:cstheme="minorBidi"/>
          <w:sz w:val="24"/>
          <w:szCs w:val="24"/>
        </w:rPr>
        <w:t xml:space="preserve"> unclear</w:t>
      </w:r>
      <w:r w:rsidRPr="002B1475">
        <w:rPr>
          <w:rFonts w:asciiTheme="minorBidi" w:hAnsiTheme="minorBidi" w:cstheme="minorBidi"/>
          <w:sz w:val="24"/>
          <w:szCs w:val="24"/>
        </w:rPr>
        <w:t xml:space="preserve">. </w:t>
      </w:r>
      <w:r w:rsidR="0023200D" w:rsidRPr="002B1475">
        <w:rPr>
          <w:rFonts w:asciiTheme="minorBidi" w:hAnsiTheme="minorBidi" w:cstheme="minorBidi"/>
          <w:sz w:val="24"/>
          <w:szCs w:val="24"/>
        </w:rPr>
        <w:t>T</w:t>
      </w:r>
      <w:r w:rsidRPr="002B1475">
        <w:rPr>
          <w:rFonts w:asciiTheme="minorBidi" w:hAnsiTheme="minorBidi" w:cstheme="minorBidi"/>
          <w:sz w:val="24"/>
          <w:szCs w:val="24"/>
        </w:rPr>
        <w:t>he authors propose that the rabbis sought to situate the publication of the Mishna toward the conclusion of the 2,000 years corresponding to the era of “Torah.” In its time, the Mishnah was a highly controversial work looking to position itself as a definitive summary of the Oral Law</w:t>
      </w:r>
      <w:r w:rsidR="0023200D" w:rsidRPr="002B1475">
        <w:rPr>
          <w:rFonts w:asciiTheme="minorBidi" w:hAnsiTheme="minorBidi" w:cstheme="minorBidi"/>
          <w:sz w:val="24"/>
          <w:szCs w:val="24"/>
        </w:rPr>
        <w:t xml:space="preserve">, much as Maimonides’ publication of </w:t>
      </w:r>
      <w:r w:rsidR="0023200D" w:rsidRPr="002B1475">
        <w:rPr>
          <w:rFonts w:asciiTheme="minorBidi" w:hAnsiTheme="minorBidi" w:cstheme="minorBidi"/>
          <w:i/>
          <w:sz w:val="24"/>
          <w:szCs w:val="24"/>
        </w:rPr>
        <w:t>Mishne</w:t>
      </w:r>
      <w:r w:rsidR="00E252B9">
        <w:rPr>
          <w:rFonts w:asciiTheme="minorBidi" w:hAnsiTheme="minorBidi" w:cstheme="minorBidi"/>
          <w:i/>
          <w:sz w:val="24"/>
          <w:szCs w:val="24"/>
        </w:rPr>
        <w:t>h</w:t>
      </w:r>
      <w:r w:rsidR="0023200D" w:rsidRPr="002B1475">
        <w:rPr>
          <w:rFonts w:asciiTheme="minorBidi" w:hAnsiTheme="minorBidi" w:cstheme="minorBidi"/>
          <w:i/>
          <w:sz w:val="24"/>
          <w:szCs w:val="24"/>
        </w:rPr>
        <w:t xml:space="preserve"> Torah </w:t>
      </w:r>
      <w:r w:rsidR="0023200D" w:rsidRPr="002B1475">
        <w:rPr>
          <w:rFonts w:asciiTheme="minorBidi" w:hAnsiTheme="minorBidi" w:cstheme="minorBidi"/>
          <w:sz w:val="24"/>
          <w:szCs w:val="24"/>
        </w:rPr>
        <w:t>was a highly controversial attempt to become the final word of Jewish law</w:t>
      </w:r>
      <w:r w:rsidRPr="002B1475">
        <w:rPr>
          <w:rFonts w:asciiTheme="minorBidi" w:hAnsiTheme="minorBidi" w:cstheme="minorBidi"/>
          <w:sz w:val="24"/>
          <w:szCs w:val="24"/>
        </w:rPr>
        <w:t xml:space="preserve">. To implicitly establish its legitimacy, the rabbis “shortened” the Persian period, placing the publication of the Mishnah </w:t>
      </w:r>
      <w:r w:rsidR="0023200D" w:rsidRPr="002B1475">
        <w:rPr>
          <w:rFonts w:asciiTheme="minorBidi" w:hAnsiTheme="minorBidi" w:cstheme="minorBidi"/>
          <w:sz w:val="24"/>
          <w:szCs w:val="24"/>
        </w:rPr>
        <w:t xml:space="preserve">toward </w:t>
      </w:r>
      <w:r w:rsidRPr="002B1475">
        <w:rPr>
          <w:rFonts w:asciiTheme="minorBidi" w:hAnsiTheme="minorBidi" w:cstheme="minorBidi"/>
          <w:sz w:val="24"/>
          <w:szCs w:val="24"/>
        </w:rPr>
        <w:t xml:space="preserve">the </w:t>
      </w:r>
      <w:r w:rsidR="0023200D" w:rsidRPr="002B1475">
        <w:rPr>
          <w:rFonts w:asciiTheme="minorBidi" w:hAnsiTheme="minorBidi" w:cstheme="minorBidi"/>
          <w:sz w:val="24"/>
          <w:szCs w:val="24"/>
        </w:rPr>
        <w:t xml:space="preserve">end of </w:t>
      </w:r>
      <w:r w:rsidRPr="002B1475">
        <w:rPr>
          <w:rFonts w:asciiTheme="minorBidi" w:hAnsiTheme="minorBidi" w:cstheme="minorBidi"/>
          <w:sz w:val="24"/>
          <w:szCs w:val="24"/>
        </w:rPr>
        <w:t>2,000 year</w:t>
      </w:r>
      <w:r w:rsidR="0023200D" w:rsidRPr="002B1475">
        <w:rPr>
          <w:rFonts w:asciiTheme="minorBidi" w:hAnsiTheme="minorBidi" w:cstheme="minorBidi"/>
          <w:sz w:val="24"/>
          <w:szCs w:val="24"/>
        </w:rPr>
        <w:t>s</w:t>
      </w:r>
      <w:r w:rsidRPr="002B1475">
        <w:rPr>
          <w:rFonts w:asciiTheme="minorBidi" w:hAnsiTheme="minorBidi" w:cstheme="minorBidi"/>
          <w:sz w:val="24"/>
          <w:szCs w:val="24"/>
        </w:rPr>
        <w:t xml:space="preserve"> of Torah. </w:t>
      </w:r>
    </w:p>
    <w:p w14:paraId="65D0398F"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003D0B67" w14:textId="77777777"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b/>
          <w:sz w:val="24"/>
          <w:szCs w:val="24"/>
          <w:u w:val="single"/>
        </w:rPr>
        <w:t>Conclusion</w:t>
      </w:r>
    </w:p>
    <w:p w14:paraId="40EB29D6"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18B0D229" w14:textId="08AD0B59" w:rsidR="009E18A6" w:rsidRPr="002B1475" w:rsidRDefault="001F41D5" w:rsidP="00FA203C">
      <w:pPr>
        <w:pStyle w:val="Normal1"/>
        <w:spacing w:line="240" w:lineRule="auto"/>
        <w:ind w:firstLine="720"/>
        <w:jc w:val="both"/>
        <w:rPr>
          <w:rFonts w:asciiTheme="minorBidi" w:hAnsiTheme="minorBidi" w:cstheme="minorBidi"/>
          <w:sz w:val="24"/>
          <w:szCs w:val="24"/>
        </w:rPr>
      </w:pPr>
      <w:r w:rsidRPr="002B1475">
        <w:rPr>
          <w:rFonts w:asciiTheme="minorBidi" w:hAnsiTheme="minorBidi" w:cstheme="minorBidi"/>
          <w:sz w:val="24"/>
          <w:szCs w:val="24"/>
        </w:rPr>
        <w:t xml:space="preserve">While we have offered </w:t>
      </w:r>
      <w:r w:rsidR="00E252B9" w:rsidRPr="002B1475">
        <w:rPr>
          <w:rFonts w:asciiTheme="minorBidi" w:hAnsiTheme="minorBidi" w:cstheme="minorBidi"/>
          <w:sz w:val="24"/>
          <w:szCs w:val="24"/>
        </w:rPr>
        <w:t xml:space="preserve">only </w:t>
      </w:r>
      <w:r w:rsidRPr="002B1475">
        <w:rPr>
          <w:rFonts w:asciiTheme="minorBidi" w:hAnsiTheme="minorBidi" w:cstheme="minorBidi"/>
          <w:sz w:val="24"/>
          <w:szCs w:val="24"/>
        </w:rPr>
        <w:t xml:space="preserve">a bare-bones outline of the controversy, it is evident that the dispute concerning the chronology of the Persian kings carries significant theological, historical and exegetical implications. Throughout our treatment of </w:t>
      </w:r>
      <w:r w:rsidRPr="002B1475">
        <w:rPr>
          <w:rFonts w:asciiTheme="minorBidi" w:hAnsiTheme="minorBidi" w:cstheme="minorBidi"/>
          <w:i/>
          <w:sz w:val="24"/>
          <w:szCs w:val="24"/>
        </w:rPr>
        <w:t xml:space="preserve">Shivat </w:t>
      </w:r>
      <w:r w:rsidR="00FA203C">
        <w:rPr>
          <w:rFonts w:asciiTheme="minorBidi" w:hAnsiTheme="minorBidi" w:cstheme="minorBidi"/>
          <w:i/>
          <w:sz w:val="24"/>
          <w:szCs w:val="24"/>
        </w:rPr>
        <w:t>Tzion</w:t>
      </w:r>
      <w:r w:rsidRPr="002B1475">
        <w:rPr>
          <w:rFonts w:asciiTheme="minorBidi" w:hAnsiTheme="minorBidi" w:cstheme="minorBidi"/>
          <w:sz w:val="24"/>
          <w:szCs w:val="24"/>
        </w:rPr>
        <w:t xml:space="preserve"> we will be operating within the framework of the scholarly consensus. This view </w:t>
      </w:r>
      <w:r w:rsidRPr="002B1475">
        <w:rPr>
          <w:rFonts w:asciiTheme="minorBidi" w:hAnsiTheme="minorBidi" w:cstheme="minorBidi"/>
          <w:sz w:val="24"/>
          <w:szCs w:val="24"/>
        </w:rPr>
        <w:lastRenderedPageBreak/>
        <w:t xml:space="preserve">most easily accounts for the evidence and is endorsed by traditional thinkers such as Ba’al Ha-maor. Still, when a particular interpretive question hinges on the dispute, we will make note of how </w:t>
      </w:r>
      <w:r w:rsidR="001827D7" w:rsidRPr="002B1475">
        <w:rPr>
          <w:rFonts w:asciiTheme="minorBidi" w:hAnsiTheme="minorBidi" w:cstheme="minorBidi"/>
          <w:sz w:val="24"/>
          <w:szCs w:val="24"/>
        </w:rPr>
        <w:t xml:space="preserve">a devotee of </w:t>
      </w:r>
      <w:r w:rsidRPr="002B1475">
        <w:rPr>
          <w:rFonts w:asciiTheme="minorBidi" w:hAnsiTheme="minorBidi" w:cstheme="minorBidi"/>
          <w:sz w:val="24"/>
          <w:szCs w:val="24"/>
        </w:rPr>
        <w:t xml:space="preserve">the </w:t>
      </w:r>
      <w:r w:rsidR="00613AFF" w:rsidRPr="002B1475">
        <w:rPr>
          <w:rFonts w:asciiTheme="minorBidi" w:hAnsiTheme="minorBidi" w:cstheme="minorBidi"/>
          <w:sz w:val="24"/>
          <w:szCs w:val="24"/>
        </w:rPr>
        <w:t xml:space="preserve">rabbinic view might </w:t>
      </w:r>
      <w:r w:rsidRPr="002B1475">
        <w:rPr>
          <w:rFonts w:asciiTheme="minorBidi" w:hAnsiTheme="minorBidi" w:cstheme="minorBidi"/>
          <w:sz w:val="24"/>
          <w:szCs w:val="24"/>
        </w:rPr>
        <w:t xml:space="preserve">tackle the question at hand. </w:t>
      </w:r>
    </w:p>
    <w:p w14:paraId="527B2178" w14:textId="77777777" w:rsidR="009E18A6" w:rsidRPr="002B1475" w:rsidRDefault="009E18A6" w:rsidP="002B1475">
      <w:pPr>
        <w:pStyle w:val="Normal1"/>
        <w:spacing w:line="240" w:lineRule="auto"/>
        <w:jc w:val="both"/>
        <w:rPr>
          <w:rFonts w:asciiTheme="minorBidi" w:hAnsiTheme="minorBidi" w:cstheme="minorBidi"/>
          <w:sz w:val="24"/>
          <w:szCs w:val="24"/>
        </w:rPr>
      </w:pPr>
    </w:p>
    <w:p w14:paraId="58BFE9BC" w14:textId="7609E2EB" w:rsidR="009E18A6" w:rsidRPr="002B1475" w:rsidRDefault="001F41D5" w:rsidP="002B1475">
      <w:pPr>
        <w:pStyle w:val="Normal1"/>
        <w:spacing w:line="240" w:lineRule="auto"/>
        <w:jc w:val="both"/>
        <w:rPr>
          <w:rFonts w:asciiTheme="minorBidi" w:hAnsiTheme="minorBidi" w:cstheme="minorBidi"/>
          <w:sz w:val="24"/>
          <w:szCs w:val="24"/>
        </w:rPr>
      </w:pPr>
      <w:r w:rsidRPr="002B1475">
        <w:rPr>
          <w:rFonts w:asciiTheme="minorBidi" w:hAnsiTheme="minorBidi" w:cstheme="minorBidi"/>
          <w:sz w:val="24"/>
          <w:szCs w:val="24"/>
        </w:rPr>
        <w:t xml:space="preserve">Having reviewed the historical background to </w:t>
      </w:r>
      <w:r w:rsidRPr="002B1475">
        <w:rPr>
          <w:rFonts w:asciiTheme="minorBidi" w:hAnsiTheme="minorBidi" w:cstheme="minorBidi"/>
          <w:i/>
          <w:sz w:val="24"/>
          <w:szCs w:val="24"/>
        </w:rPr>
        <w:t xml:space="preserve">Shivat </w:t>
      </w:r>
      <w:r w:rsidR="00FA203C">
        <w:rPr>
          <w:rFonts w:asciiTheme="minorBidi" w:hAnsiTheme="minorBidi" w:cstheme="minorBidi"/>
          <w:i/>
          <w:sz w:val="24"/>
          <w:szCs w:val="24"/>
        </w:rPr>
        <w:t>Tzion</w:t>
      </w:r>
      <w:r w:rsidRPr="002B1475">
        <w:rPr>
          <w:rFonts w:asciiTheme="minorBidi" w:hAnsiTheme="minorBidi" w:cstheme="minorBidi"/>
          <w:sz w:val="24"/>
          <w:szCs w:val="24"/>
        </w:rPr>
        <w:t xml:space="preserve"> and the chronology of the Persian kings, we turn to the books of </w:t>
      </w:r>
      <w:r w:rsidRPr="002B1475">
        <w:rPr>
          <w:rFonts w:asciiTheme="minorBidi" w:hAnsiTheme="minorBidi" w:cstheme="minorBidi"/>
          <w:i/>
          <w:sz w:val="24"/>
          <w:szCs w:val="24"/>
        </w:rPr>
        <w:t xml:space="preserve">Ezra-Nechemia </w:t>
      </w:r>
      <w:r w:rsidRPr="002B1475">
        <w:rPr>
          <w:rFonts w:asciiTheme="minorBidi" w:hAnsiTheme="minorBidi" w:cstheme="minorBidi"/>
          <w:sz w:val="24"/>
          <w:szCs w:val="24"/>
        </w:rPr>
        <w:t xml:space="preserve">in our next class. </w:t>
      </w:r>
    </w:p>
    <w:p w14:paraId="5576B5C6" w14:textId="77777777" w:rsidR="009E18A6" w:rsidRPr="002B1475" w:rsidRDefault="009E18A6" w:rsidP="002B1475">
      <w:pPr>
        <w:pStyle w:val="Normal1"/>
        <w:spacing w:line="240" w:lineRule="auto"/>
        <w:jc w:val="both"/>
        <w:rPr>
          <w:rFonts w:asciiTheme="minorBidi" w:hAnsiTheme="minorBidi" w:cstheme="minorBidi"/>
          <w:sz w:val="24"/>
          <w:szCs w:val="24"/>
        </w:rPr>
      </w:pPr>
    </w:p>
    <w:sectPr w:rsidR="009E18A6" w:rsidRPr="002B147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C1DD8" w14:textId="77777777" w:rsidR="00DB346E" w:rsidRDefault="00DB346E">
      <w:pPr>
        <w:spacing w:line="240" w:lineRule="auto"/>
      </w:pPr>
      <w:r>
        <w:separator/>
      </w:r>
    </w:p>
  </w:endnote>
  <w:endnote w:type="continuationSeparator" w:id="0">
    <w:p w14:paraId="48580BE5" w14:textId="77777777" w:rsidR="00DB346E" w:rsidRDefault="00DB34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D4A9" w14:textId="77777777" w:rsidR="00DB346E" w:rsidRDefault="00DB346E">
      <w:pPr>
        <w:spacing w:line="240" w:lineRule="auto"/>
      </w:pPr>
      <w:r>
        <w:separator/>
      </w:r>
    </w:p>
  </w:footnote>
  <w:footnote w:type="continuationSeparator" w:id="0">
    <w:p w14:paraId="715AA7CA" w14:textId="77777777" w:rsidR="00DB346E" w:rsidRDefault="00DB346E">
      <w:pPr>
        <w:spacing w:line="240" w:lineRule="auto"/>
      </w:pPr>
      <w:r>
        <w:continuationSeparator/>
      </w:r>
    </w:p>
  </w:footnote>
  <w:footnote w:id="1">
    <w:p w14:paraId="75C3DC90" w14:textId="77777777" w:rsidR="001F41D5"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For a comprehensive survey of rabbinic responses to the contradiction see Mitchell First, </w:t>
      </w:r>
      <w:r w:rsidRPr="00FA203C">
        <w:rPr>
          <w:i/>
          <w:sz w:val="20"/>
          <w:szCs w:val="20"/>
        </w:rPr>
        <w:t>Jewish History in Conflict</w:t>
      </w:r>
      <w:r w:rsidRPr="00FA203C">
        <w:rPr>
          <w:sz w:val="20"/>
          <w:szCs w:val="20"/>
        </w:rPr>
        <w:t xml:space="preserve">, 1997. </w:t>
      </w:r>
    </w:p>
  </w:footnote>
  <w:footnote w:id="2">
    <w:p w14:paraId="2B130BFB" w14:textId="3E109CAB" w:rsidR="00A34930" w:rsidRPr="00FA203C" w:rsidRDefault="00A34930" w:rsidP="00220BC1">
      <w:pPr>
        <w:pStyle w:val="FootnoteText"/>
        <w:jc w:val="both"/>
        <w:rPr>
          <w:sz w:val="20"/>
          <w:szCs w:val="20"/>
        </w:rPr>
      </w:pPr>
      <w:r w:rsidRPr="00FA203C">
        <w:rPr>
          <w:rStyle w:val="FootnoteReference"/>
          <w:sz w:val="20"/>
          <w:szCs w:val="20"/>
        </w:rPr>
        <w:footnoteRef/>
      </w:r>
      <w:r w:rsidRPr="00FA203C">
        <w:rPr>
          <w:sz w:val="20"/>
          <w:szCs w:val="20"/>
        </w:rPr>
        <w:t xml:space="preserve"> The rabbis interpreted the verse as a reference to three Persian kings and Darius the Mede. See Rashi s.v. </w:t>
      </w:r>
      <w:r w:rsidRPr="00FA203C">
        <w:rPr>
          <w:i/>
          <w:sz w:val="20"/>
          <w:szCs w:val="20"/>
        </w:rPr>
        <w:t>hinei</w:t>
      </w:r>
      <w:r w:rsidRPr="00FA203C">
        <w:rPr>
          <w:sz w:val="20"/>
          <w:szCs w:val="20"/>
        </w:rPr>
        <w:t xml:space="preserve">. </w:t>
      </w:r>
    </w:p>
  </w:footnote>
  <w:footnote w:id="3">
    <w:p w14:paraId="4913655B" w14:textId="71902FB3" w:rsidR="001F41D5"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The number 420 also leads the rabbis to a particular interpretation of the verse in Chagai, “The glory of this latter house shall be greater than that of the former” (2:9). According to rabbinic tradition (</w:t>
      </w:r>
      <w:r w:rsidRPr="00FA203C">
        <w:rPr>
          <w:i/>
          <w:sz w:val="20"/>
          <w:szCs w:val="20"/>
        </w:rPr>
        <w:t xml:space="preserve">Arakhin </w:t>
      </w:r>
      <w:r w:rsidRPr="00FA203C">
        <w:rPr>
          <w:sz w:val="20"/>
          <w:szCs w:val="20"/>
        </w:rPr>
        <w:t xml:space="preserve">12b), this refers to the longevity of the Second Temple, which stood for 420 years, as opposed to the First, which stood for only 410. </w:t>
      </w:r>
    </w:p>
  </w:footnote>
  <w:footnote w:id="4">
    <w:p w14:paraId="6E8E1C45" w14:textId="0ADA5A82" w:rsidR="00074F0D" w:rsidRPr="00FA203C" w:rsidRDefault="00074F0D" w:rsidP="00220BC1">
      <w:pPr>
        <w:pStyle w:val="FootnoteText"/>
        <w:jc w:val="both"/>
        <w:rPr>
          <w:sz w:val="20"/>
          <w:szCs w:val="20"/>
        </w:rPr>
      </w:pPr>
      <w:r w:rsidRPr="00FA203C">
        <w:rPr>
          <w:rStyle w:val="FootnoteReference"/>
          <w:sz w:val="20"/>
          <w:szCs w:val="20"/>
        </w:rPr>
        <w:footnoteRef/>
      </w:r>
      <w:r w:rsidRPr="00FA203C">
        <w:rPr>
          <w:sz w:val="20"/>
          <w:szCs w:val="20"/>
        </w:rPr>
        <w:t xml:space="preserve"> </w:t>
      </w:r>
      <w:hyperlink r:id="rId1" w:history="1">
        <w:r w:rsidR="009C5962" w:rsidRPr="00FA203C">
          <w:rPr>
            <w:rStyle w:val="Hyperlink"/>
            <w:sz w:val="20"/>
            <w:szCs w:val="20"/>
          </w:rPr>
          <w:t>http://etzion.org.il/vbm/english/purim/pur-ybn.htm</w:t>
        </w:r>
      </w:hyperlink>
      <w:r w:rsidR="009C5962" w:rsidRPr="00FA203C">
        <w:rPr>
          <w:sz w:val="20"/>
          <w:szCs w:val="20"/>
        </w:rPr>
        <w:t>.</w:t>
      </w:r>
    </w:p>
  </w:footnote>
  <w:footnote w:id="5">
    <w:p w14:paraId="12DDC6FA" w14:textId="4A6B4ED7" w:rsidR="00D04E13" w:rsidRPr="00FA203C" w:rsidRDefault="00D04E13" w:rsidP="00220BC1">
      <w:pPr>
        <w:pStyle w:val="FootnoteText"/>
        <w:jc w:val="both"/>
        <w:rPr>
          <w:sz w:val="20"/>
          <w:szCs w:val="20"/>
        </w:rPr>
      </w:pPr>
      <w:r w:rsidRPr="00FA203C">
        <w:rPr>
          <w:rStyle w:val="FootnoteReference"/>
          <w:sz w:val="20"/>
          <w:szCs w:val="20"/>
        </w:rPr>
        <w:footnoteRef/>
      </w:r>
      <w:r w:rsidRPr="00FA203C">
        <w:rPr>
          <w:sz w:val="20"/>
          <w:szCs w:val="20"/>
        </w:rPr>
        <w:t xml:space="preserve"> </w:t>
      </w:r>
      <w:hyperlink r:id="rId2" w:history="1">
        <w:r w:rsidR="009C5962" w:rsidRPr="00FA203C">
          <w:rPr>
            <w:rStyle w:val="Hyperlink"/>
            <w:sz w:val="20"/>
            <w:szCs w:val="20"/>
          </w:rPr>
          <w:t>http://tanach.org/special/purim/purims1.htm</w:t>
        </w:r>
      </w:hyperlink>
      <w:r w:rsidR="009C5962" w:rsidRPr="00FA203C">
        <w:rPr>
          <w:sz w:val="20"/>
          <w:szCs w:val="20"/>
        </w:rPr>
        <w:t>.</w:t>
      </w:r>
    </w:p>
  </w:footnote>
  <w:footnote w:id="6">
    <w:p w14:paraId="0824432E" w14:textId="77777777" w:rsidR="001F41D5"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Malbim (</w:t>
      </w:r>
      <w:r w:rsidRPr="00FA203C">
        <w:rPr>
          <w:i/>
          <w:sz w:val="20"/>
          <w:szCs w:val="20"/>
        </w:rPr>
        <w:t>Nechemia</w:t>
      </w:r>
      <w:r w:rsidRPr="00FA203C">
        <w:rPr>
          <w:sz w:val="20"/>
          <w:szCs w:val="20"/>
        </w:rPr>
        <w:t xml:space="preserve"> 2:6), building on the rabbinic exegesis, claims that the woman sitting next to Artaxerxes when Nechemia approached the king was none other than Esther, the king’s mother. This surprising suggestion is a non-starter for one who follows the scholarly consensus. </w:t>
      </w:r>
    </w:p>
  </w:footnote>
  <w:footnote w:id="7">
    <w:p w14:paraId="7231FD7F" w14:textId="4382D020" w:rsidR="001F41D5"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Translation adapted from First, </w:t>
      </w:r>
      <w:r w:rsidR="009C5962" w:rsidRPr="00FA203C">
        <w:rPr>
          <w:sz w:val="20"/>
          <w:szCs w:val="20"/>
        </w:rPr>
        <w:t>p</w:t>
      </w:r>
      <w:r w:rsidRPr="00FA203C">
        <w:rPr>
          <w:sz w:val="20"/>
          <w:szCs w:val="20"/>
        </w:rPr>
        <w:t xml:space="preserve">. 30. </w:t>
      </w:r>
    </w:p>
  </w:footnote>
  <w:footnote w:id="8">
    <w:p w14:paraId="02D6DD6A" w14:textId="254A66F0" w:rsidR="001F41D5"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w:t>
      </w:r>
      <w:r w:rsidRPr="00FA203C">
        <w:rPr>
          <w:i/>
          <w:sz w:val="20"/>
          <w:szCs w:val="20"/>
        </w:rPr>
        <w:t xml:space="preserve">Mavo le-Ma’amaro shel </w:t>
      </w:r>
      <w:r w:rsidR="000F531B" w:rsidRPr="00FA203C">
        <w:rPr>
          <w:i/>
          <w:sz w:val="20"/>
          <w:szCs w:val="20"/>
        </w:rPr>
        <w:t>Chaim Chefetz al Malchut Paras U</w:t>
      </w:r>
      <w:r w:rsidRPr="00FA203C">
        <w:rPr>
          <w:i/>
          <w:sz w:val="20"/>
          <w:szCs w:val="20"/>
        </w:rPr>
        <w:t>-Madai</w:t>
      </w:r>
      <w:r w:rsidRPr="00FA203C">
        <w:rPr>
          <w:sz w:val="20"/>
          <w:szCs w:val="20"/>
        </w:rPr>
        <w:t xml:space="preserve">,” </w:t>
      </w:r>
      <w:r w:rsidR="00E252B9" w:rsidRPr="00FA203C">
        <w:rPr>
          <w:i/>
          <w:sz w:val="20"/>
          <w:szCs w:val="20"/>
        </w:rPr>
        <w:t xml:space="preserve">Megadim </w:t>
      </w:r>
      <w:r w:rsidR="00E252B9" w:rsidRPr="00FA203C">
        <w:rPr>
          <w:sz w:val="20"/>
          <w:szCs w:val="20"/>
        </w:rPr>
        <w:t xml:space="preserve">14 (1991), </w:t>
      </w:r>
      <w:r w:rsidR="009C5962" w:rsidRPr="00FA203C">
        <w:rPr>
          <w:sz w:val="20"/>
          <w:szCs w:val="20"/>
        </w:rPr>
        <w:t>pp</w:t>
      </w:r>
      <w:r w:rsidRPr="00FA203C">
        <w:rPr>
          <w:sz w:val="20"/>
          <w:szCs w:val="20"/>
        </w:rPr>
        <w:t xml:space="preserve">. 47-77. </w:t>
      </w:r>
    </w:p>
  </w:footnote>
  <w:footnote w:id="9">
    <w:p w14:paraId="1D439F80" w14:textId="01BA294E" w:rsidR="00F033CC" w:rsidRPr="00FA203C" w:rsidRDefault="00F033CC" w:rsidP="00220BC1">
      <w:pPr>
        <w:pStyle w:val="FootnoteText"/>
        <w:jc w:val="both"/>
        <w:rPr>
          <w:sz w:val="20"/>
          <w:szCs w:val="20"/>
        </w:rPr>
      </w:pPr>
      <w:r w:rsidRPr="00FA203C">
        <w:rPr>
          <w:rStyle w:val="FootnoteReference"/>
          <w:sz w:val="20"/>
          <w:szCs w:val="20"/>
        </w:rPr>
        <w:footnoteRef/>
      </w:r>
      <w:r w:rsidRPr="00FA203C">
        <w:rPr>
          <w:sz w:val="20"/>
          <w:szCs w:val="20"/>
        </w:rPr>
        <w:t xml:space="preserve"> </w:t>
      </w:r>
      <w:r w:rsidRPr="00FA203C">
        <w:rPr>
          <w:i/>
          <w:sz w:val="20"/>
          <w:szCs w:val="20"/>
        </w:rPr>
        <w:t>Sefer Yamim Mi-kedem</w:t>
      </w:r>
      <w:r w:rsidRPr="00FA203C">
        <w:rPr>
          <w:sz w:val="20"/>
          <w:szCs w:val="20"/>
        </w:rPr>
        <w:t xml:space="preserve">, </w:t>
      </w:r>
      <w:r w:rsidR="00220BC1" w:rsidRPr="00FA203C">
        <w:rPr>
          <w:sz w:val="20"/>
          <w:szCs w:val="20"/>
        </w:rPr>
        <w:t xml:space="preserve">Jerusalem, 1908, </w:t>
      </w:r>
      <w:r w:rsidR="009C5962" w:rsidRPr="00FA203C">
        <w:rPr>
          <w:sz w:val="20"/>
          <w:szCs w:val="20"/>
        </w:rPr>
        <w:t>pp</w:t>
      </w:r>
      <w:r w:rsidRPr="00FA203C">
        <w:rPr>
          <w:sz w:val="20"/>
          <w:szCs w:val="20"/>
        </w:rPr>
        <w:t xml:space="preserve">. 226-230 and 233-45. </w:t>
      </w:r>
    </w:p>
  </w:footnote>
  <w:footnote w:id="10">
    <w:p w14:paraId="07F8CAC2" w14:textId="07E1543B" w:rsidR="001F41D5"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w:t>
      </w:r>
      <w:r w:rsidRPr="00FA203C">
        <w:rPr>
          <w:i/>
          <w:sz w:val="20"/>
          <w:szCs w:val="20"/>
        </w:rPr>
        <w:t>Hora’at Ha-historya Ve-emunat Chachamim</w:t>
      </w:r>
      <w:r w:rsidRPr="00FA203C">
        <w:rPr>
          <w:sz w:val="20"/>
          <w:szCs w:val="20"/>
        </w:rPr>
        <w:t xml:space="preserve">,” </w:t>
      </w:r>
      <w:r w:rsidRPr="00FA203C">
        <w:rPr>
          <w:i/>
          <w:sz w:val="20"/>
          <w:szCs w:val="20"/>
        </w:rPr>
        <w:t>Shema’atin</w:t>
      </w:r>
      <w:r w:rsidRPr="00FA203C">
        <w:rPr>
          <w:sz w:val="20"/>
          <w:szCs w:val="20"/>
        </w:rPr>
        <w:t xml:space="preserve"> 10 (1973), </w:t>
      </w:r>
      <w:r w:rsidR="009C5962" w:rsidRPr="00FA203C">
        <w:rPr>
          <w:sz w:val="20"/>
          <w:szCs w:val="20"/>
        </w:rPr>
        <w:t>pp</w:t>
      </w:r>
      <w:r w:rsidRPr="00FA203C">
        <w:rPr>
          <w:sz w:val="20"/>
          <w:szCs w:val="20"/>
        </w:rPr>
        <w:t xml:space="preserve">. 52-62. </w:t>
      </w:r>
    </w:p>
  </w:footnote>
  <w:footnote w:id="11">
    <w:p w14:paraId="223A9BF4" w14:textId="77777777" w:rsidR="00E252B9"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Both relev</w:t>
      </w:r>
      <w:r w:rsidR="0023200D" w:rsidRPr="00FA203C">
        <w:rPr>
          <w:sz w:val="20"/>
          <w:szCs w:val="20"/>
        </w:rPr>
        <w:t xml:space="preserve">ant statements of Rabbi Schwab </w:t>
      </w:r>
      <w:r w:rsidRPr="00FA203C">
        <w:rPr>
          <w:sz w:val="20"/>
          <w:szCs w:val="20"/>
        </w:rPr>
        <w:t>are available at:</w:t>
      </w:r>
    </w:p>
    <w:p w14:paraId="6E871E23" w14:textId="6A690671" w:rsidR="001F41D5" w:rsidRPr="00FA203C" w:rsidRDefault="00FA203C" w:rsidP="00220BC1">
      <w:pPr>
        <w:pStyle w:val="Normal1"/>
        <w:spacing w:line="240" w:lineRule="auto"/>
        <w:jc w:val="both"/>
        <w:rPr>
          <w:sz w:val="20"/>
          <w:szCs w:val="20"/>
        </w:rPr>
      </w:pPr>
      <w:hyperlink r:id="rId3" w:history="1">
        <w:r w:rsidR="002B1475" w:rsidRPr="00FA203C">
          <w:rPr>
            <w:rStyle w:val="Hyperlink"/>
            <w:sz w:val="20"/>
            <w:szCs w:val="20"/>
          </w:rPr>
          <w:t>http://www.rabbimanning.com/wp-content/uploads/2016/04/Controversial-Issues-from-the-Second-Temple-Shiur-2-The-Missing-168-Years.pdf</w:t>
        </w:r>
      </w:hyperlink>
      <w:r w:rsidR="002B1475" w:rsidRPr="00FA203C">
        <w:rPr>
          <w:sz w:val="20"/>
          <w:szCs w:val="20"/>
        </w:rPr>
        <w:t xml:space="preserve">. </w:t>
      </w:r>
    </w:p>
  </w:footnote>
  <w:footnote w:id="12">
    <w:p w14:paraId="509C153F" w14:textId="3F3C273D" w:rsidR="001F41D5"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w:t>
      </w:r>
      <w:r w:rsidRPr="00FA203C">
        <w:rPr>
          <w:i/>
          <w:sz w:val="20"/>
          <w:szCs w:val="20"/>
        </w:rPr>
        <w:t>Erekh Milin</w:t>
      </w:r>
      <w:r w:rsidRPr="00FA203C">
        <w:rPr>
          <w:sz w:val="20"/>
          <w:szCs w:val="20"/>
        </w:rPr>
        <w:t xml:space="preserve">, </w:t>
      </w:r>
      <w:r w:rsidR="009C5962" w:rsidRPr="00FA203C">
        <w:rPr>
          <w:sz w:val="20"/>
          <w:szCs w:val="20"/>
        </w:rPr>
        <w:t>p</w:t>
      </w:r>
      <w:r w:rsidRPr="00FA203C">
        <w:rPr>
          <w:sz w:val="20"/>
          <w:szCs w:val="20"/>
        </w:rPr>
        <w:t xml:space="preserve">. 74. For a discussion, see First, </w:t>
      </w:r>
      <w:r w:rsidR="009C5962" w:rsidRPr="00FA203C">
        <w:rPr>
          <w:sz w:val="20"/>
          <w:szCs w:val="20"/>
        </w:rPr>
        <w:t>p</w:t>
      </w:r>
      <w:r w:rsidRPr="00FA203C">
        <w:rPr>
          <w:sz w:val="20"/>
          <w:szCs w:val="20"/>
        </w:rPr>
        <w:t xml:space="preserve">. 51 and </w:t>
      </w:r>
      <w:r w:rsidR="009C5962" w:rsidRPr="00FA203C">
        <w:rPr>
          <w:sz w:val="20"/>
          <w:szCs w:val="20"/>
        </w:rPr>
        <w:t>pp</w:t>
      </w:r>
      <w:r w:rsidRPr="00FA203C">
        <w:rPr>
          <w:sz w:val="20"/>
          <w:szCs w:val="20"/>
        </w:rPr>
        <w:t>. 125-129.</w:t>
      </w:r>
    </w:p>
  </w:footnote>
  <w:footnote w:id="13">
    <w:p w14:paraId="0EE7FC37" w14:textId="21FC2F38" w:rsidR="001F41D5" w:rsidRPr="00FA203C" w:rsidRDefault="001F41D5" w:rsidP="00220BC1">
      <w:pPr>
        <w:pStyle w:val="Normal1"/>
        <w:spacing w:line="240" w:lineRule="auto"/>
        <w:jc w:val="both"/>
        <w:rPr>
          <w:sz w:val="20"/>
          <w:szCs w:val="20"/>
        </w:rPr>
      </w:pPr>
      <w:r w:rsidRPr="00FA203C">
        <w:rPr>
          <w:sz w:val="20"/>
          <w:szCs w:val="20"/>
          <w:vertAlign w:val="superscript"/>
        </w:rPr>
        <w:footnoteRef/>
      </w:r>
      <w:r w:rsidRPr="00FA203C">
        <w:rPr>
          <w:sz w:val="20"/>
          <w:szCs w:val="20"/>
        </w:rPr>
        <w:t xml:space="preserve"> </w:t>
      </w:r>
      <w:hyperlink r:id="rId4" w:history="1">
        <w:r w:rsidR="002B1475" w:rsidRPr="00FA203C">
          <w:rPr>
            <w:rStyle w:val="Hyperlink"/>
            <w:sz w:val="20"/>
            <w:szCs w:val="20"/>
          </w:rPr>
          <w:t>http://www.hakirah.org/Vol%203%20Epstein.pdf</w:t>
        </w:r>
      </w:hyperlink>
      <w:r w:rsidR="002B1475" w:rsidRPr="00FA203C">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9E18A6"/>
    <w:rsid w:val="00012EAB"/>
    <w:rsid w:val="00074F0D"/>
    <w:rsid w:val="000C4C05"/>
    <w:rsid w:val="000D4423"/>
    <w:rsid w:val="000F531B"/>
    <w:rsid w:val="00116AEB"/>
    <w:rsid w:val="001827D7"/>
    <w:rsid w:val="001F41D5"/>
    <w:rsid w:val="00220BC1"/>
    <w:rsid w:val="0023200D"/>
    <w:rsid w:val="0028314D"/>
    <w:rsid w:val="002B1475"/>
    <w:rsid w:val="002B5583"/>
    <w:rsid w:val="002C68E9"/>
    <w:rsid w:val="002F0BE9"/>
    <w:rsid w:val="00305FC0"/>
    <w:rsid w:val="0034024C"/>
    <w:rsid w:val="00410B49"/>
    <w:rsid w:val="004F23B4"/>
    <w:rsid w:val="005B4DAB"/>
    <w:rsid w:val="00613AFF"/>
    <w:rsid w:val="0062564A"/>
    <w:rsid w:val="006C2D90"/>
    <w:rsid w:val="006F30B6"/>
    <w:rsid w:val="006F4A1F"/>
    <w:rsid w:val="007119A6"/>
    <w:rsid w:val="00713B0B"/>
    <w:rsid w:val="00721F22"/>
    <w:rsid w:val="00721FD9"/>
    <w:rsid w:val="00760619"/>
    <w:rsid w:val="00781256"/>
    <w:rsid w:val="008041FF"/>
    <w:rsid w:val="008F03FF"/>
    <w:rsid w:val="0091228C"/>
    <w:rsid w:val="009C5962"/>
    <w:rsid w:val="009E18A6"/>
    <w:rsid w:val="00A34930"/>
    <w:rsid w:val="00A7289E"/>
    <w:rsid w:val="00BC4B52"/>
    <w:rsid w:val="00C02CC2"/>
    <w:rsid w:val="00C03D96"/>
    <w:rsid w:val="00C71ACE"/>
    <w:rsid w:val="00CB0169"/>
    <w:rsid w:val="00CB4BBF"/>
    <w:rsid w:val="00CF4EA4"/>
    <w:rsid w:val="00D04E13"/>
    <w:rsid w:val="00DB346E"/>
    <w:rsid w:val="00E1336C"/>
    <w:rsid w:val="00E252B9"/>
    <w:rsid w:val="00E67521"/>
    <w:rsid w:val="00E906F7"/>
    <w:rsid w:val="00ED6B4B"/>
    <w:rsid w:val="00F02486"/>
    <w:rsid w:val="00F033CC"/>
    <w:rsid w:val="00F679A1"/>
    <w:rsid w:val="00FA203C"/>
    <w:rsid w:val="00FE148A"/>
    <w:rsid w:val="00FF13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C1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A34930"/>
    <w:pPr>
      <w:spacing w:line="240" w:lineRule="auto"/>
    </w:pPr>
    <w:rPr>
      <w:sz w:val="24"/>
      <w:szCs w:val="24"/>
    </w:rPr>
  </w:style>
  <w:style w:type="character" w:customStyle="1" w:styleId="FootnoteTextChar">
    <w:name w:val="Footnote Text Char"/>
    <w:basedOn w:val="DefaultParagraphFont"/>
    <w:link w:val="FootnoteText"/>
    <w:uiPriority w:val="99"/>
    <w:rsid w:val="00A34930"/>
    <w:rPr>
      <w:sz w:val="24"/>
      <w:szCs w:val="24"/>
    </w:rPr>
  </w:style>
  <w:style w:type="character" w:styleId="FootnoteReference">
    <w:name w:val="footnote reference"/>
    <w:basedOn w:val="DefaultParagraphFont"/>
    <w:uiPriority w:val="99"/>
    <w:unhideWhenUsed/>
    <w:rsid w:val="00A34930"/>
    <w:rPr>
      <w:vertAlign w:val="superscript"/>
    </w:rPr>
  </w:style>
  <w:style w:type="character" w:styleId="Hyperlink">
    <w:name w:val="Hyperlink"/>
    <w:basedOn w:val="DefaultParagraphFont"/>
    <w:uiPriority w:val="99"/>
    <w:unhideWhenUsed/>
    <w:rsid w:val="00D04E13"/>
    <w:rPr>
      <w:color w:val="0000FF" w:themeColor="hyperlink"/>
      <w:u w:val="single"/>
    </w:rPr>
  </w:style>
  <w:style w:type="character" w:customStyle="1" w:styleId="BlockTextChar">
    <w:name w:val="Block Text Char"/>
    <w:link w:val="BlockText"/>
    <w:uiPriority w:val="99"/>
    <w:semiHidden/>
    <w:locked/>
    <w:rsid w:val="002B1475"/>
    <w:rPr>
      <w:rFonts w:eastAsia="Times New Roman" w:cs="Narkisim"/>
      <w:sz w:val="24"/>
      <w:szCs w:val="24"/>
    </w:rPr>
  </w:style>
  <w:style w:type="paragraph" w:styleId="BlockText">
    <w:name w:val="Block Text"/>
    <w:basedOn w:val="Normal"/>
    <w:link w:val="BlockTextChar"/>
    <w:uiPriority w:val="99"/>
    <w:semiHidden/>
    <w:unhideWhenUsed/>
    <w:rsid w:val="002B1475"/>
    <w:pPr>
      <w:autoSpaceDE w:val="0"/>
      <w:autoSpaceDN w:val="0"/>
      <w:bidi/>
      <w:spacing w:after="120" w:line="240" w:lineRule="auto"/>
      <w:ind w:left="720"/>
      <w:jc w:val="both"/>
    </w:pPr>
    <w:rPr>
      <w:rFonts w:eastAsia="Times New Roman" w:cs="Narkisim"/>
      <w:sz w:val="24"/>
      <w:szCs w:val="24"/>
    </w:rPr>
  </w:style>
  <w:style w:type="character" w:styleId="CommentReference">
    <w:name w:val="annotation reference"/>
    <w:basedOn w:val="DefaultParagraphFont"/>
    <w:uiPriority w:val="99"/>
    <w:semiHidden/>
    <w:unhideWhenUsed/>
    <w:rsid w:val="0062564A"/>
    <w:rPr>
      <w:sz w:val="16"/>
      <w:szCs w:val="16"/>
    </w:rPr>
  </w:style>
  <w:style w:type="paragraph" w:styleId="CommentText">
    <w:name w:val="annotation text"/>
    <w:basedOn w:val="Normal"/>
    <w:link w:val="CommentTextChar"/>
    <w:uiPriority w:val="99"/>
    <w:semiHidden/>
    <w:unhideWhenUsed/>
    <w:rsid w:val="0062564A"/>
    <w:pPr>
      <w:spacing w:line="240" w:lineRule="auto"/>
    </w:pPr>
    <w:rPr>
      <w:sz w:val="20"/>
      <w:szCs w:val="20"/>
    </w:rPr>
  </w:style>
  <w:style w:type="character" w:customStyle="1" w:styleId="CommentTextChar">
    <w:name w:val="Comment Text Char"/>
    <w:basedOn w:val="DefaultParagraphFont"/>
    <w:link w:val="CommentText"/>
    <w:uiPriority w:val="99"/>
    <w:semiHidden/>
    <w:rsid w:val="0062564A"/>
    <w:rPr>
      <w:sz w:val="20"/>
      <w:szCs w:val="20"/>
    </w:rPr>
  </w:style>
  <w:style w:type="paragraph" w:styleId="CommentSubject">
    <w:name w:val="annotation subject"/>
    <w:basedOn w:val="CommentText"/>
    <w:next w:val="CommentText"/>
    <w:link w:val="CommentSubjectChar"/>
    <w:uiPriority w:val="99"/>
    <w:semiHidden/>
    <w:unhideWhenUsed/>
    <w:rsid w:val="0062564A"/>
    <w:rPr>
      <w:b/>
      <w:bCs/>
    </w:rPr>
  </w:style>
  <w:style w:type="character" w:customStyle="1" w:styleId="CommentSubjectChar">
    <w:name w:val="Comment Subject Char"/>
    <w:basedOn w:val="CommentTextChar"/>
    <w:link w:val="CommentSubject"/>
    <w:uiPriority w:val="99"/>
    <w:semiHidden/>
    <w:rsid w:val="0062564A"/>
    <w:rPr>
      <w:b/>
      <w:bCs/>
      <w:sz w:val="20"/>
      <w:szCs w:val="20"/>
    </w:rPr>
  </w:style>
  <w:style w:type="paragraph" w:styleId="Revision">
    <w:name w:val="Revision"/>
    <w:hidden/>
    <w:uiPriority w:val="99"/>
    <w:semiHidden/>
    <w:rsid w:val="0062564A"/>
    <w:pPr>
      <w:spacing w:line="240" w:lineRule="auto"/>
    </w:pPr>
  </w:style>
  <w:style w:type="paragraph" w:styleId="BalloonText">
    <w:name w:val="Balloon Text"/>
    <w:basedOn w:val="Normal"/>
    <w:link w:val="BalloonTextChar"/>
    <w:uiPriority w:val="99"/>
    <w:semiHidden/>
    <w:unhideWhenUsed/>
    <w:rsid w:val="00625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4A"/>
    <w:rPr>
      <w:rFonts w:ascii="Tahoma" w:hAnsi="Tahoma" w:cs="Tahoma"/>
      <w:sz w:val="16"/>
      <w:szCs w:val="16"/>
    </w:rPr>
  </w:style>
  <w:style w:type="paragraph" w:styleId="Header">
    <w:name w:val="header"/>
    <w:basedOn w:val="Normal"/>
    <w:link w:val="HeaderChar"/>
    <w:uiPriority w:val="99"/>
    <w:unhideWhenUsed/>
    <w:rsid w:val="00721F22"/>
    <w:pPr>
      <w:tabs>
        <w:tab w:val="center" w:pos="4320"/>
        <w:tab w:val="right" w:pos="8640"/>
      </w:tabs>
      <w:spacing w:line="240" w:lineRule="auto"/>
    </w:pPr>
  </w:style>
  <w:style w:type="character" w:customStyle="1" w:styleId="HeaderChar">
    <w:name w:val="Header Char"/>
    <w:basedOn w:val="DefaultParagraphFont"/>
    <w:link w:val="Header"/>
    <w:uiPriority w:val="99"/>
    <w:rsid w:val="00721F22"/>
  </w:style>
  <w:style w:type="paragraph" w:styleId="Footer">
    <w:name w:val="footer"/>
    <w:basedOn w:val="Normal"/>
    <w:link w:val="FooterChar"/>
    <w:uiPriority w:val="99"/>
    <w:unhideWhenUsed/>
    <w:rsid w:val="00721F22"/>
    <w:pPr>
      <w:tabs>
        <w:tab w:val="center" w:pos="4320"/>
        <w:tab w:val="right" w:pos="8640"/>
      </w:tabs>
      <w:spacing w:line="240" w:lineRule="auto"/>
    </w:pPr>
  </w:style>
  <w:style w:type="character" w:customStyle="1" w:styleId="FooterChar">
    <w:name w:val="Footer Char"/>
    <w:basedOn w:val="DefaultParagraphFont"/>
    <w:link w:val="Footer"/>
    <w:uiPriority w:val="99"/>
    <w:rsid w:val="0072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noteText">
    <w:name w:val="footnote text"/>
    <w:basedOn w:val="Normal"/>
    <w:link w:val="FootnoteTextChar"/>
    <w:uiPriority w:val="99"/>
    <w:unhideWhenUsed/>
    <w:rsid w:val="00A34930"/>
    <w:pPr>
      <w:spacing w:line="240" w:lineRule="auto"/>
    </w:pPr>
    <w:rPr>
      <w:sz w:val="24"/>
      <w:szCs w:val="24"/>
    </w:rPr>
  </w:style>
  <w:style w:type="character" w:customStyle="1" w:styleId="FootnoteTextChar">
    <w:name w:val="Footnote Text Char"/>
    <w:basedOn w:val="DefaultParagraphFont"/>
    <w:link w:val="FootnoteText"/>
    <w:uiPriority w:val="99"/>
    <w:rsid w:val="00A34930"/>
    <w:rPr>
      <w:sz w:val="24"/>
      <w:szCs w:val="24"/>
    </w:rPr>
  </w:style>
  <w:style w:type="character" w:styleId="FootnoteReference">
    <w:name w:val="footnote reference"/>
    <w:basedOn w:val="DefaultParagraphFont"/>
    <w:uiPriority w:val="99"/>
    <w:unhideWhenUsed/>
    <w:rsid w:val="00A34930"/>
    <w:rPr>
      <w:vertAlign w:val="superscript"/>
    </w:rPr>
  </w:style>
  <w:style w:type="character" w:styleId="Hyperlink">
    <w:name w:val="Hyperlink"/>
    <w:basedOn w:val="DefaultParagraphFont"/>
    <w:uiPriority w:val="99"/>
    <w:unhideWhenUsed/>
    <w:rsid w:val="00D04E13"/>
    <w:rPr>
      <w:color w:val="0000FF" w:themeColor="hyperlink"/>
      <w:u w:val="single"/>
    </w:rPr>
  </w:style>
  <w:style w:type="character" w:customStyle="1" w:styleId="BlockTextChar">
    <w:name w:val="Block Text Char"/>
    <w:link w:val="BlockText"/>
    <w:uiPriority w:val="99"/>
    <w:semiHidden/>
    <w:locked/>
    <w:rsid w:val="002B1475"/>
    <w:rPr>
      <w:rFonts w:eastAsia="Times New Roman" w:cs="Narkisim"/>
      <w:sz w:val="24"/>
      <w:szCs w:val="24"/>
    </w:rPr>
  </w:style>
  <w:style w:type="paragraph" w:styleId="BlockText">
    <w:name w:val="Block Text"/>
    <w:basedOn w:val="Normal"/>
    <w:link w:val="BlockTextChar"/>
    <w:uiPriority w:val="99"/>
    <w:semiHidden/>
    <w:unhideWhenUsed/>
    <w:rsid w:val="002B1475"/>
    <w:pPr>
      <w:autoSpaceDE w:val="0"/>
      <w:autoSpaceDN w:val="0"/>
      <w:bidi/>
      <w:spacing w:after="120" w:line="240" w:lineRule="auto"/>
      <w:ind w:left="720"/>
      <w:jc w:val="both"/>
    </w:pPr>
    <w:rPr>
      <w:rFonts w:eastAsia="Times New Roman" w:cs="Narkisim"/>
      <w:sz w:val="24"/>
      <w:szCs w:val="24"/>
    </w:rPr>
  </w:style>
  <w:style w:type="character" w:styleId="CommentReference">
    <w:name w:val="annotation reference"/>
    <w:basedOn w:val="DefaultParagraphFont"/>
    <w:uiPriority w:val="99"/>
    <w:semiHidden/>
    <w:unhideWhenUsed/>
    <w:rsid w:val="0062564A"/>
    <w:rPr>
      <w:sz w:val="16"/>
      <w:szCs w:val="16"/>
    </w:rPr>
  </w:style>
  <w:style w:type="paragraph" w:styleId="CommentText">
    <w:name w:val="annotation text"/>
    <w:basedOn w:val="Normal"/>
    <w:link w:val="CommentTextChar"/>
    <w:uiPriority w:val="99"/>
    <w:semiHidden/>
    <w:unhideWhenUsed/>
    <w:rsid w:val="0062564A"/>
    <w:pPr>
      <w:spacing w:line="240" w:lineRule="auto"/>
    </w:pPr>
    <w:rPr>
      <w:sz w:val="20"/>
      <w:szCs w:val="20"/>
    </w:rPr>
  </w:style>
  <w:style w:type="character" w:customStyle="1" w:styleId="CommentTextChar">
    <w:name w:val="Comment Text Char"/>
    <w:basedOn w:val="DefaultParagraphFont"/>
    <w:link w:val="CommentText"/>
    <w:uiPriority w:val="99"/>
    <w:semiHidden/>
    <w:rsid w:val="0062564A"/>
    <w:rPr>
      <w:sz w:val="20"/>
      <w:szCs w:val="20"/>
    </w:rPr>
  </w:style>
  <w:style w:type="paragraph" w:styleId="CommentSubject">
    <w:name w:val="annotation subject"/>
    <w:basedOn w:val="CommentText"/>
    <w:next w:val="CommentText"/>
    <w:link w:val="CommentSubjectChar"/>
    <w:uiPriority w:val="99"/>
    <w:semiHidden/>
    <w:unhideWhenUsed/>
    <w:rsid w:val="0062564A"/>
    <w:rPr>
      <w:b/>
      <w:bCs/>
    </w:rPr>
  </w:style>
  <w:style w:type="character" w:customStyle="1" w:styleId="CommentSubjectChar">
    <w:name w:val="Comment Subject Char"/>
    <w:basedOn w:val="CommentTextChar"/>
    <w:link w:val="CommentSubject"/>
    <w:uiPriority w:val="99"/>
    <w:semiHidden/>
    <w:rsid w:val="0062564A"/>
    <w:rPr>
      <w:b/>
      <w:bCs/>
      <w:sz w:val="20"/>
      <w:szCs w:val="20"/>
    </w:rPr>
  </w:style>
  <w:style w:type="paragraph" w:styleId="Revision">
    <w:name w:val="Revision"/>
    <w:hidden/>
    <w:uiPriority w:val="99"/>
    <w:semiHidden/>
    <w:rsid w:val="0062564A"/>
    <w:pPr>
      <w:spacing w:line="240" w:lineRule="auto"/>
    </w:pPr>
  </w:style>
  <w:style w:type="paragraph" w:styleId="BalloonText">
    <w:name w:val="Balloon Text"/>
    <w:basedOn w:val="Normal"/>
    <w:link w:val="BalloonTextChar"/>
    <w:uiPriority w:val="99"/>
    <w:semiHidden/>
    <w:unhideWhenUsed/>
    <w:rsid w:val="006256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64A"/>
    <w:rPr>
      <w:rFonts w:ascii="Tahoma" w:hAnsi="Tahoma" w:cs="Tahoma"/>
      <w:sz w:val="16"/>
      <w:szCs w:val="16"/>
    </w:rPr>
  </w:style>
  <w:style w:type="paragraph" w:styleId="Header">
    <w:name w:val="header"/>
    <w:basedOn w:val="Normal"/>
    <w:link w:val="HeaderChar"/>
    <w:uiPriority w:val="99"/>
    <w:unhideWhenUsed/>
    <w:rsid w:val="00721F22"/>
    <w:pPr>
      <w:tabs>
        <w:tab w:val="center" w:pos="4320"/>
        <w:tab w:val="right" w:pos="8640"/>
      </w:tabs>
      <w:spacing w:line="240" w:lineRule="auto"/>
    </w:pPr>
  </w:style>
  <w:style w:type="character" w:customStyle="1" w:styleId="HeaderChar">
    <w:name w:val="Header Char"/>
    <w:basedOn w:val="DefaultParagraphFont"/>
    <w:link w:val="Header"/>
    <w:uiPriority w:val="99"/>
    <w:rsid w:val="00721F22"/>
  </w:style>
  <w:style w:type="paragraph" w:styleId="Footer">
    <w:name w:val="footer"/>
    <w:basedOn w:val="Normal"/>
    <w:link w:val="FooterChar"/>
    <w:uiPriority w:val="99"/>
    <w:unhideWhenUsed/>
    <w:rsid w:val="00721F22"/>
    <w:pPr>
      <w:tabs>
        <w:tab w:val="center" w:pos="4320"/>
        <w:tab w:val="right" w:pos="8640"/>
      </w:tabs>
      <w:spacing w:line="240" w:lineRule="auto"/>
    </w:pPr>
  </w:style>
  <w:style w:type="character" w:customStyle="1" w:styleId="FooterChar">
    <w:name w:val="Footer Char"/>
    <w:basedOn w:val="DefaultParagraphFont"/>
    <w:link w:val="Footer"/>
    <w:uiPriority w:val="99"/>
    <w:rsid w:val="0072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rabbimanning.com/wp-content/uploads/2016/04/Controversial-Issues-from-the-Second-Temple-Shiur-2-The-Missing-168-Years.pdf" TargetMode="External"/><Relationship Id="rId2" Type="http://schemas.openxmlformats.org/officeDocument/2006/relationships/hyperlink" Target="http://tanach.org/special/purim/purims1.htm" TargetMode="External"/><Relationship Id="rId1" Type="http://schemas.openxmlformats.org/officeDocument/2006/relationships/hyperlink" Target="http://etzion.org.il/vbm/english/purim/pur-ybn.htm" TargetMode="External"/><Relationship Id="rId4" Type="http://schemas.openxmlformats.org/officeDocument/2006/relationships/hyperlink" Target="http://www.hakirah.org/Vol%203%20Epstei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2060</Words>
  <Characters>11743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2016-10-30T09:51:00Z</dcterms:created>
  <dcterms:modified xsi:type="dcterms:W3CDTF">2016-11-09T09:21:00Z</dcterms:modified>
</cp:coreProperties>
</file>