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4EFB" w14:textId="77777777" w:rsidR="003E7A6F" w:rsidRDefault="003E7A6F" w:rsidP="003E7A6F">
      <w:pPr>
        <w:pStyle w:val="a"/>
        <w:rPr>
          <w:rtl/>
        </w:rPr>
      </w:pPr>
      <w:r>
        <w:rPr>
          <w:rtl/>
        </w:rPr>
        <w:t>הרב אהרן ליכטנשטיין</w:t>
      </w:r>
      <w:r w:rsidR="00E85B25">
        <w:rPr>
          <w:rFonts w:hint="cs"/>
          <w:rtl/>
        </w:rPr>
        <w:t xml:space="preserve"> זצ"ל</w:t>
      </w:r>
    </w:p>
    <w:p w14:paraId="13F6AC2B" w14:textId="77777777" w:rsidR="003E7A6F" w:rsidRDefault="003E7A6F" w:rsidP="003E7A6F">
      <w:pPr>
        <w:pStyle w:val="a"/>
        <w:rPr>
          <w:rtl/>
        </w:rPr>
      </w:pPr>
      <w:r>
        <w:rPr>
          <w:rtl/>
        </w:rPr>
        <w:t>פרשת מטות-מסעי</w:t>
      </w:r>
    </w:p>
    <w:p w14:paraId="7937B98F" w14:textId="77777777" w:rsidR="003E7A6F" w:rsidRDefault="003E7A6F" w:rsidP="003E7A6F">
      <w:pPr>
        <w:pStyle w:val="Heading1"/>
        <w:rPr>
          <w:rtl/>
        </w:rPr>
      </w:pPr>
      <w:r>
        <w:rPr>
          <w:rtl/>
        </w:rPr>
        <w:t>טבילת כלים – טהרה וקדושה</w:t>
      </w:r>
      <w:r>
        <w:rPr>
          <w:rStyle w:val="FootnoteReference"/>
          <w:rFonts w:ascii="Arial" w:eastAsiaTheme="majorEastAsia" w:hAnsi="Arial"/>
          <w:rtl/>
        </w:rPr>
        <w:footnoteReference w:customMarkFollows="1" w:id="1"/>
        <w:t>*</w:t>
      </w:r>
    </w:p>
    <w:p w14:paraId="69D69387" w14:textId="77777777" w:rsidR="003E7A6F" w:rsidRDefault="003E7A6F" w:rsidP="003E7A6F">
      <w:pPr>
        <w:pStyle w:val="Quote"/>
        <w:rPr>
          <w:noProof/>
          <w:rtl/>
          <w:lang w:eastAsia="he-IL"/>
        </w:rPr>
      </w:pPr>
      <w:bookmarkStart w:id="0" w:name="OLE_LINK1"/>
      <w:r>
        <w:rPr>
          <w:noProof/>
          <w:rtl/>
          <w:lang w:eastAsia="he-IL"/>
        </w:rPr>
        <w:t>"</w:t>
      </w:r>
      <w:r w:rsidRPr="006D5307">
        <w:rPr>
          <w:noProof/>
          <w:rtl/>
          <w:lang w:eastAsia="he-IL"/>
        </w:rPr>
        <w:t>כָּל דָּבָר אֲשֶׁר יָבֹא בָאֵשׁ תַּעֲבִירוּ בָא</w:t>
      </w:r>
      <w:r>
        <w:rPr>
          <w:noProof/>
          <w:rtl/>
          <w:lang w:eastAsia="he-IL"/>
        </w:rPr>
        <w:t>ֵשׁ וְטָהֵר, אַךְ בְּמֵי נִדָּה</w:t>
      </w:r>
      <w:r>
        <w:rPr>
          <w:rFonts w:hint="cs"/>
          <w:noProof/>
          <w:rtl/>
          <w:lang w:eastAsia="he-IL"/>
        </w:rPr>
        <w:t xml:space="preserve"> </w:t>
      </w:r>
      <w:r w:rsidRPr="006D5307">
        <w:rPr>
          <w:noProof/>
          <w:rtl/>
          <w:lang w:eastAsia="he-IL"/>
        </w:rPr>
        <w:t>יִתְחַטָּא</w:t>
      </w:r>
      <w:r>
        <w:rPr>
          <w:rFonts w:hint="cs"/>
          <w:noProof/>
          <w:rtl/>
          <w:lang w:eastAsia="he-IL"/>
        </w:rPr>
        <w:t>.</w:t>
      </w:r>
      <w:r>
        <w:rPr>
          <w:noProof/>
          <w:rtl/>
          <w:lang w:eastAsia="he-IL"/>
        </w:rPr>
        <w:t>"</w:t>
      </w:r>
      <w:r w:rsidRPr="006D5307">
        <w:rPr>
          <w:noProof/>
          <w:rtl/>
          <w:lang w:eastAsia="he-IL"/>
        </w:rPr>
        <w:t xml:space="preserve"> </w:t>
      </w:r>
    </w:p>
    <w:p w14:paraId="67E68BEA" w14:textId="77777777" w:rsidR="003E7A6F" w:rsidRPr="006D5307" w:rsidRDefault="003E7A6F" w:rsidP="003E7A6F">
      <w:pPr>
        <w:pStyle w:val="Heading5"/>
        <w:rPr>
          <w:noProof/>
          <w:rtl/>
          <w:lang w:eastAsia="he-IL"/>
        </w:rPr>
      </w:pPr>
      <w:r w:rsidRPr="006D5307">
        <w:rPr>
          <w:noProof/>
          <w:rtl/>
          <w:lang w:eastAsia="he-IL"/>
        </w:rPr>
        <w:t>(במדבר ל"א כג)</w:t>
      </w:r>
    </w:p>
    <w:p w14:paraId="1292831A" w14:textId="77777777" w:rsidR="003E7A6F" w:rsidRDefault="003E7A6F" w:rsidP="003E7A6F">
      <w:pPr>
        <w:rPr>
          <w:rtl/>
        </w:rPr>
      </w:pPr>
      <w:r>
        <w:rPr>
          <w:rtl/>
        </w:rPr>
        <w:t xml:space="preserve">פסוק זה שבפרשת השבוע, המשמש כמקור לחובת טבילת כלים </w:t>
      </w:r>
      <w:proofErr w:type="spellStart"/>
      <w:r>
        <w:rPr>
          <w:rtl/>
        </w:rPr>
        <w:t>הנִקַּחִים</w:t>
      </w:r>
      <w:proofErr w:type="spellEnd"/>
      <w:r>
        <w:rPr>
          <w:rtl/>
        </w:rPr>
        <w:t xml:space="preserve"> מגוי, נאמר על ידי אלעזר הכהן </w:t>
      </w:r>
      <w:r>
        <w:rPr>
          <w:rFonts w:hint="cs"/>
          <w:rtl/>
        </w:rPr>
        <w:t xml:space="preserve">ויועד </w:t>
      </w:r>
      <w:r>
        <w:rPr>
          <w:rtl/>
        </w:rPr>
        <w:t>"</w:t>
      </w:r>
      <w:r w:rsidRPr="008117D6">
        <w:rPr>
          <w:rtl/>
        </w:rPr>
        <w:t xml:space="preserve">אֶל </w:t>
      </w:r>
      <w:r w:rsidRPr="00721A67">
        <w:rPr>
          <w:rtl/>
        </w:rPr>
        <w:t>אַנְשֵׁי הַצָּבָא הַבָּאִים לַמִּלְחָמָה</w:t>
      </w:r>
      <w:r>
        <w:rPr>
          <w:rtl/>
        </w:rPr>
        <w:t xml:space="preserve">" (שם </w:t>
      </w:r>
      <w:proofErr w:type="spellStart"/>
      <w:r>
        <w:rPr>
          <w:rtl/>
        </w:rPr>
        <w:t>כא</w:t>
      </w:r>
      <w:proofErr w:type="spellEnd"/>
      <w:r>
        <w:rPr>
          <w:rtl/>
        </w:rPr>
        <w:t xml:space="preserve">); אך האם נקבעו מסמרות לדורות בנידון? האם מעשה הטבילה חייב להתבצע </w:t>
      </w:r>
      <w:proofErr w:type="spellStart"/>
      <w:r>
        <w:rPr>
          <w:rtl/>
        </w:rPr>
        <w:t>דוקא</w:t>
      </w:r>
      <w:proofErr w:type="spellEnd"/>
      <w:r>
        <w:rPr>
          <w:rtl/>
        </w:rPr>
        <w:t xml:space="preserve"> על ידי ישראל? או שמא, כפי שברור שאין הכשר הטבילה מותנה בהיות המטביל איש צבא, הוא הדין שאף טבילת עכו"ם כשרה? ואם אמנם טבילת ישראל מעכבת, האם קיימת הבחנה בין גדול לקטן? האם יש צורך בכוונה בטבילת כלים?</w:t>
      </w:r>
    </w:p>
    <w:p w14:paraId="19BC2FEC" w14:textId="77777777" w:rsidR="003E7A6F" w:rsidRDefault="003E7A6F" w:rsidP="003E7A6F">
      <w:pPr>
        <w:rPr>
          <w:rtl/>
        </w:rPr>
      </w:pPr>
      <w:r>
        <w:rPr>
          <w:rtl/>
        </w:rPr>
        <w:t xml:space="preserve">שאלות אלו לא נידונו על ידי חז"ל, אך התלבנו בשאלות ותשובות ראשונים וקדמונים, ודרכם השתלשלו לשולחן ערוך ולפוסקים בעקבותיו. אין מעניינו במסגרת זו לדון במשא ומתן ההלכתי, אך נראה שיש בדברי הראשונים  הנוגעים לעניין בכדי להקיש אל עיסוקינו בישיבה.  </w:t>
      </w:r>
    </w:p>
    <w:p w14:paraId="63874268" w14:textId="77777777" w:rsidR="003E7A6F" w:rsidRDefault="003E7A6F" w:rsidP="003E7A6F">
      <w:pPr>
        <w:pStyle w:val="Heading2"/>
        <w:rPr>
          <w:rtl/>
        </w:rPr>
      </w:pPr>
      <w:r>
        <w:rPr>
          <w:rtl/>
        </w:rPr>
        <w:t>א</w:t>
      </w:r>
    </w:p>
    <w:p w14:paraId="570B692B" w14:textId="77777777" w:rsidR="003E7A6F" w:rsidRDefault="003E7A6F" w:rsidP="003E7A6F">
      <w:pPr>
        <w:rPr>
          <w:rtl/>
        </w:rPr>
      </w:pPr>
      <w:r>
        <w:rPr>
          <w:rtl/>
        </w:rPr>
        <w:t xml:space="preserve">בירושלמי מסופר כי רבי ירמיה נשאל לגבי הצורך להטביל כלים שנשאלו מגוי, וענה: </w:t>
      </w:r>
    </w:p>
    <w:p w14:paraId="6BCE8B35" w14:textId="77777777" w:rsidR="003E7A6F" w:rsidRDefault="003E7A6F" w:rsidP="003E7A6F">
      <w:pPr>
        <w:pStyle w:val="Quote"/>
        <w:rPr>
          <w:noProof/>
          <w:rtl/>
          <w:lang w:eastAsia="he-IL"/>
        </w:rPr>
      </w:pPr>
      <w:r>
        <w:rPr>
          <w:noProof/>
          <w:rtl/>
          <w:lang w:eastAsia="he-IL"/>
        </w:rPr>
        <w:t>"</w:t>
      </w:r>
      <w:r w:rsidRPr="00E07F3C">
        <w:rPr>
          <w:noProof/>
          <w:rtl/>
          <w:lang w:eastAsia="he-IL"/>
        </w:rPr>
        <w:t>צריך להטביל לפי שיצאו מטומאת הנכרי ונכנס לקדושת ישראל</w:t>
      </w:r>
      <w:r>
        <w:rPr>
          <w:rFonts w:hint="cs"/>
          <w:noProof/>
          <w:rtl/>
          <w:lang w:eastAsia="he-IL"/>
        </w:rPr>
        <w:t>.</w:t>
      </w:r>
      <w:r>
        <w:rPr>
          <w:noProof/>
          <w:rtl/>
          <w:lang w:eastAsia="he-IL"/>
        </w:rPr>
        <w:t>"</w:t>
      </w:r>
      <w:r w:rsidRPr="00E07F3C">
        <w:rPr>
          <w:noProof/>
          <w:rtl/>
          <w:lang w:eastAsia="he-IL"/>
        </w:rPr>
        <w:t xml:space="preserve"> </w:t>
      </w:r>
    </w:p>
    <w:p w14:paraId="6DBF625E" w14:textId="77777777" w:rsidR="003E7A6F" w:rsidRPr="00E07F3C" w:rsidRDefault="003E7A6F" w:rsidP="003E7A6F">
      <w:pPr>
        <w:pStyle w:val="Heading5"/>
        <w:rPr>
          <w:noProof/>
          <w:rtl/>
          <w:lang w:eastAsia="he-IL"/>
        </w:rPr>
      </w:pPr>
      <w:r>
        <w:rPr>
          <w:noProof/>
          <w:rtl/>
          <w:lang w:eastAsia="he-IL"/>
        </w:rPr>
        <w:t>(עבודה זרה פ</w:t>
      </w:r>
      <w:r>
        <w:rPr>
          <w:rFonts w:hint="cs"/>
          <w:noProof/>
          <w:rtl/>
          <w:lang w:eastAsia="he-IL"/>
        </w:rPr>
        <w:t>"</w:t>
      </w:r>
      <w:r>
        <w:rPr>
          <w:noProof/>
          <w:rtl/>
          <w:lang w:eastAsia="he-IL"/>
        </w:rPr>
        <w:t>ה הל' טו)</w:t>
      </w:r>
    </w:p>
    <w:p w14:paraId="622DA290" w14:textId="77777777" w:rsidR="003E7A6F" w:rsidRDefault="003E7A6F" w:rsidP="003E7A6F">
      <w:pPr>
        <w:rPr>
          <w:rtl/>
        </w:rPr>
      </w:pPr>
      <w:r>
        <w:rPr>
          <w:rtl/>
        </w:rPr>
        <w:t>המאמר צוטט על ידי ראשונים למכביר. יש לציין, אמנם, כי הרמב"ם צמצם את משמעות הלימוד, והסתפק בקביעה כי הטבילה והשלכותיה להתיר תשמיש הכלי</w:t>
      </w:r>
      <w:r>
        <w:rPr>
          <w:rFonts w:hint="cs"/>
          <w:rtl/>
        </w:rPr>
        <w:t>:</w:t>
      </w:r>
      <w:r>
        <w:rPr>
          <w:rtl/>
        </w:rPr>
        <w:t xml:space="preserve"> </w:t>
      </w:r>
    </w:p>
    <w:p w14:paraId="0BC2563E" w14:textId="77777777" w:rsidR="003E7A6F" w:rsidRDefault="003E7A6F" w:rsidP="003E7A6F">
      <w:pPr>
        <w:pStyle w:val="Quote"/>
        <w:rPr>
          <w:noProof/>
          <w:rtl/>
          <w:lang w:eastAsia="he-IL"/>
        </w:rPr>
      </w:pPr>
      <w:r>
        <w:rPr>
          <w:noProof/>
          <w:rtl/>
          <w:lang w:eastAsia="he-IL"/>
        </w:rPr>
        <w:t>"</w:t>
      </w:r>
      <w:r w:rsidRPr="00E335A2">
        <w:rPr>
          <w:noProof/>
          <w:rtl/>
          <w:lang w:eastAsia="he-IL"/>
        </w:rPr>
        <w:t>אינן לענין טומאה וטהרה, אלא מדברי סופרים... ומפי השמועה למדו שאינו מדבר אלא בטהרתן מידי גיעולי עכו"ם, לא מידי טו</w:t>
      </w:r>
      <w:r>
        <w:rPr>
          <w:noProof/>
          <w:rtl/>
          <w:lang w:eastAsia="he-IL"/>
        </w:rPr>
        <w:t>מאה..."</w:t>
      </w:r>
      <w:r>
        <w:rPr>
          <w:noProof/>
          <w:rtl/>
          <w:lang w:eastAsia="he-IL"/>
        </w:rPr>
        <w:tab/>
      </w:r>
    </w:p>
    <w:p w14:paraId="39733987" w14:textId="77777777" w:rsidR="003E7A6F" w:rsidRPr="002E2BFA" w:rsidRDefault="003E7A6F" w:rsidP="003E7A6F">
      <w:pPr>
        <w:pStyle w:val="Heading5"/>
        <w:rPr>
          <w:noProof/>
          <w:rtl/>
          <w:lang w:eastAsia="he-IL"/>
        </w:rPr>
      </w:pPr>
      <w:r w:rsidRPr="00E335A2">
        <w:rPr>
          <w:noProof/>
          <w:rtl/>
          <w:lang w:eastAsia="he-IL"/>
        </w:rPr>
        <w:t>(</w:t>
      </w:r>
      <w:r>
        <w:rPr>
          <w:rFonts w:hint="cs"/>
          <w:noProof/>
          <w:rtl/>
          <w:lang w:eastAsia="he-IL"/>
        </w:rPr>
        <w:t xml:space="preserve">רמב"ם </w:t>
      </w:r>
      <w:r w:rsidRPr="00E335A2">
        <w:rPr>
          <w:noProof/>
          <w:rtl/>
          <w:lang w:eastAsia="he-IL"/>
        </w:rPr>
        <w:t>מאכלות אסורות פי"ז הל' ח)</w:t>
      </w:r>
    </w:p>
    <w:p w14:paraId="1472C1F1" w14:textId="77777777" w:rsidR="003E7A6F" w:rsidRDefault="003E7A6F" w:rsidP="003E7A6F">
      <w:pPr>
        <w:rPr>
          <w:rtl/>
        </w:rPr>
      </w:pPr>
      <w:r>
        <w:rPr>
          <w:rtl/>
        </w:rPr>
        <w:t xml:space="preserve">אך ראשונים אחרים, לעומתו, הדגישו גם את הפן החיובי שבדברי רבי ירמיה. כך, לדוגמא, הרמב"ן, בבואו לאמץ דעה שלגבי כלים ישנים </w:t>
      </w:r>
      <w:proofErr w:type="spellStart"/>
      <w:r>
        <w:rPr>
          <w:rtl/>
        </w:rPr>
        <w:t>הנִקַּחִים</w:t>
      </w:r>
      <w:proofErr w:type="spellEnd"/>
      <w:r>
        <w:rPr>
          <w:rtl/>
        </w:rPr>
        <w:t xml:space="preserve"> יש לבצע הגעלה או ליבון טרם הטבילה, מנמק: </w:t>
      </w:r>
    </w:p>
    <w:p w14:paraId="1187027C" w14:textId="77777777" w:rsidR="003E7A6F" w:rsidRDefault="003E7A6F" w:rsidP="003E7A6F">
      <w:pPr>
        <w:pStyle w:val="Quote"/>
        <w:rPr>
          <w:noProof/>
          <w:rtl/>
          <w:lang w:eastAsia="he-IL"/>
        </w:rPr>
      </w:pPr>
      <w:r>
        <w:rPr>
          <w:noProof/>
          <w:rtl/>
          <w:lang w:eastAsia="he-IL"/>
        </w:rPr>
        <w:t>"</w:t>
      </w:r>
      <w:r w:rsidRPr="004F219F">
        <w:rPr>
          <w:noProof/>
          <w:rtl/>
          <w:lang w:eastAsia="he-IL"/>
        </w:rPr>
        <w:t xml:space="preserve">והטעם לזה שהצריך הכתוב טבילה זו, לפי שיצאו מטומאת הגוי ונכנסו לקדושת ישראל, </w:t>
      </w:r>
      <w:r w:rsidRPr="00D7424E">
        <w:rPr>
          <w:noProof/>
          <w:rtl/>
          <w:lang w:eastAsia="he-IL"/>
        </w:rPr>
        <w:t>[והרי לא יצאו מטומאת הגוים]</w:t>
      </w:r>
      <w:r w:rsidRPr="004F219F">
        <w:rPr>
          <w:noProof/>
          <w:szCs w:val="18"/>
          <w:rtl/>
          <w:lang w:eastAsia="he-IL"/>
        </w:rPr>
        <w:t xml:space="preserve"> </w:t>
      </w:r>
      <w:r w:rsidRPr="004F219F">
        <w:rPr>
          <w:noProof/>
          <w:rtl/>
          <w:lang w:eastAsia="he-IL"/>
        </w:rPr>
        <w:t>עד שפלטו גיעולי הגוים</w:t>
      </w:r>
      <w:r>
        <w:rPr>
          <w:noProof/>
          <w:rtl/>
          <w:lang w:eastAsia="he-IL"/>
        </w:rPr>
        <w:t>".</w:t>
      </w:r>
      <w:r w:rsidRPr="004F219F">
        <w:rPr>
          <w:noProof/>
          <w:rtl/>
          <w:lang w:eastAsia="he-IL"/>
        </w:rPr>
        <w:t xml:space="preserve"> </w:t>
      </w:r>
    </w:p>
    <w:p w14:paraId="037710EA" w14:textId="77777777" w:rsidR="003E7A6F" w:rsidRDefault="003E7A6F" w:rsidP="003E7A6F">
      <w:pPr>
        <w:pStyle w:val="Heading5"/>
        <w:rPr>
          <w:noProof/>
          <w:rtl/>
          <w:lang w:eastAsia="he-IL"/>
        </w:rPr>
      </w:pPr>
      <w:r>
        <w:rPr>
          <w:rFonts w:hint="cs"/>
          <w:rtl/>
        </w:rPr>
        <w:t xml:space="preserve">(חידושי הרמב"ן </w:t>
      </w:r>
      <w:r>
        <w:rPr>
          <w:rtl/>
        </w:rPr>
        <w:t xml:space="preserve">עבודה זרה </w:t>
      </w:r>
      <w:proofErr w:type="spellStart"/>
      <w:r>
        <w:rPr>
          <w:rtl/>
        </w:rPr>
        <w:t>עה</w:t>
      </w:r>
      <w:proofErr w:type="spellEnd"/>
      <w:r>
        <w:rPr>
          <w:rtl/>
        </w:rPr>
        <w:t>:</w:t>
      </w:r>
      <w:r>
        <w:rPr>
          <w:rFonts w:hint="cs"/>
          <w:noProof/>
          <w:rtl/>
          <w:lang w:eastAsia="he-IL"/>
        </w:rPr>
        <w:t xml:space="preserve"> ד"ה 'גמ'')</w:t>
      </w:r>
    </w:p>
    <w:p w14:paraId="09D08786" w14:textId="77777777" w:rsidR="003E7A6F" w:rsidRDefault="003E7A6F" w:rsidP="003E7A6F">
      <w:pPr>
        <w:rPr>
          <w:rtl/>
        </w:rPr>
      </w:pPr>
      <w:r>
        <w:rPr>
          <w:rtl/>
        </w:rPr>
        <w:t xml:space="preserve">מעין זה מצינו גם </w:t>
      </w:r>
      <w:proofErr w:type="spellStart"/>
      <w:r>
        <w:rPr>
          <w:rtl/>
        </w:rPr>
        <w:t>בשו"ת</w:t>
      </w:r>
      <w:proofErr w:type="spellEnd"/>
      <w:r>
        <w:rPr>
          <w:rtl/>
        </w:rPr>
        <w:t xml:space="preserve"> </w:t>
      </w:r>
      <w:proofErr w:type="spellStart"/>
      <w:r>
        <w:rPr>
          <w:rtl/>
        </w:rPr>
        <w:t>מהר"ח</w:t>
      </w:r>
      <w:proofErr w:type="spellEnd"/>
      <w:r>
        <w:rPr>
          <w:rtl/>
        </w:rPr>
        <w:t xml:space="preserve"> אור זרוע, במרוצת דיון אודות היתר תשמיש בכלי הניקח טרם טבילתו: </w:t>
      </w:r>
    </w:p>
    <w:p w14:paraId="1FEBE118" w14:textId="77777777" w:rsidR="003E7A6F" w:rsidRDefault="003E7A6F" w:rsidP="003E7A6F">
      <w:pPr>
        <w:pStyle w:val="Quote"/>
        <w:rPr>
          <w:noProof/>
          <w:rtl/>
          <w:lang w:eastAsia="he-IL"/>
        </w:rPr>
      </w:pPr>
      <w:r>
        <w:rPr>
          <w:noProof/>
          <w:rtl/>
          <w:lang w:eastAsia="he-IL"/>
        </w:rPr>
        <w:t>"</w:t>
      </w:r>
      <w:r w:rsidRPr="00677A68">
        <w:rPr>
          <w:noProof/>
          <w:rtl/>
          <w:lang w:eastAsia="he-IL"/>
        </w:rPr>
        <w:t>ובירושלמי מפרש, מפני שיצאו מטומאת גוים ונכנסו לקדשות ישראל. מדמה אותו לגר שנכנס לקדושה על ידי טבילה, אף על פי שקודם ללקחו היה מותר להשתמש בו</w:t>
      </w:r>
      <w:r>
        <w:rPr>
          <w:rFonts w:hint="cs"/>
          <w:noProof/>
          <w:rtl/>
          <w:lang w:eastAsia="he-IL"/>
        </w:rPr>
        <w:t>.</w:t>
      </w:r>
      <w:r>
        <w:rPr>
          <w:noProof/>
          <w:rtl/>
          <w:lang w:eastAsia="he-IL"/>
        </w:rPr>
        <w:t>"</w:t>
      </w:r>
      <w:r w:rsidRPr="00677A68">
        <w:rPr>
          <w:noProof/>
          <w:rtl/>
          <w:lang w:eastAsia="he-IL"/>
        </w:rPr>
        <w:t xml:space="preserve"> </w:t>
      </w:r>
    </w:p>
    <w:p w14:paraId="37271F26" w14:textId="77777777" w:rsidR="003E7A6F" w:rsidRPr="00677A68" w:rsidRDefault="003E7A6F" w:rsidP="003E7A6F">
      <w:pPr>
        <w:pStyle w:val="Heading5"/>
        <w:rPr>
          <w:noProof/>
          <w:rtl/>
          <w:lang w:eastAsia="he-IL"/>
        </w:rPr>
      </w:pPr>
      <w:r w:rsidRPr="00677A68">
        <w:rPr>
          <w:noProof/>
          <w:rtl/>
          <w:lang w:eastAsia="he-IL"/>
        </w:rPr>
        <w:t>(</w:t>
      </w:r>
      <w:r>
        <w:rPr>
          <w:rFonts w:hint="cs"/>
          <w:noProof/>
          <w:rtl/>
          <w:lang w:eastAsia="he-IL"/>
        </w:rPr>
        <w:t xml:space="preserve">שו"ת מהר"ח אור זרוע </w:t>
      </w:r>
      <w:r>
        <w:rPr>
          <w:noProof/>
          <w:rtl/>
          <w:lang w:eastAsia="he-IL"/>
        </w:rPr>
        <w:t>סי' סג)</w:t>
      </w:r>
      <w:r w:rsidRPr="00677A68">
        <w:rPr>
          <w:noProof/>
          <w:rtl/>
          <w:lang w:eastAsia="he-IL"/>
        </w:rPr>
        <w:t xml:space="preserve"> </w:t>
      </w:r>
    </w:p>
    <w:p w14:paraId="72E2CEF1" w14:textId="77777777" w:rsidR="003E7A6F" w:rsidRDefault="003E7A6F" w:rsidP="003E7A6F">
      <w:pPr>
        <w:rPr>
          <w:rtl/>
        </w:rPr>
      </w:pPr>
      <w:r>
        <w:rPr>
          <w:rtl/>
        </w:rPr>
        <w:t xml:space="preserve">והרחיב בנידון בעל "איסור והיתר", בבואו להסביר למה אין תבשיל שנתבשל בכלי שלא נטבל נאסר: </w:t>
      </w:r>
    </w:p>
    <w:p w14:paraId="0229E11A" w14:textId="77777777" w:rsidR="003E7A6F" w:rsidRDefault="003E7A6F" w:rsidP="003E7A6F">
      <w:pPr>
        <w:pStyle w:val="Quote"/>
        <w:rPr>
          <w:noProof/>
          <w:rtl/>
          <w:lang w:eastAsia="he-IL"/>
        </w:rPr>
      </w:pPr>
      <w:r>
        <w:rPr>
          <w:noProof/>
          <w:rtl/>
          <w:lang w:eastAsia="he-IL"/>
        </w:rPr>
        <w:t>"</w:t>
      </w:r>
      <w:r w:rsidRPr="00FA38F4">
        <w:rPr>
          <w:noProof/>
          <w:rtl/>
          <w:lang w:eastAsia="he-IL"/>
        </w:rPr>
        <w:t>שהטבילה אינה מחמת פליטת איסור</w:t>
      </w:r>
      <w:r w:rsidRPr="00CD4564">
        <w:rPr>
          <w:noProof/>
          <w:rtl/>
          <w:lang w:eastAsia="he-IL"/>
        </w:rPr>
        <w:t xml:space="preserve">, </w:t>
      </w:r>
      <w:r w:rsidRPr="00FA38F4">
        <w:rPr>
          <w:noProof/>
          <w:rtl/>
          <w:lang w:eastAsia="he-IL"/>
        </w:rPr>
        <w:t>דהא צריכים לטבול אפילו כלי חדש, אלא רק להעב</w:t>
      </w:r>
      <w:r w:rsidRPr="00CD4564">
        <w:rPr>
          <w:noProof/>
          <w:rtl/>
          <w:lang w:eastAsia="he-IL"/>
        </w:rPr>
        <w:t>י</w:t>
      </w:r>
      <w:r w:rsidRPr="00FA38F4">
        <w:rPr>
          <w:noProof/>
          <w:rtl/>
          <w:lang w:eastAsia="he-IL"/>
        </w:rPr>
        <w:t>ר ממנו רוח טומאה ושם עכו"ם, ולהכניסו בקדושה של ישראל, לפי שבחרנו ה' א-לוקים לנחלתו</w:t>
      </w:r>
      <w:r w:rsidRPr="00CD4564">
        <w:rPr>
          <w:noProof/>
          <w:rtl/>
          <w:lang w:eastAsia="he-IL"/>
        </w:rPr>
        <w:t xml:space="preserve">, </w:t>
      </w:r>
      <w:r w:rsidRPr="00FA38F4">
        <w:rPr>
          <w:noProof/>
          <w:rtl/>
          <w:lang w:eastAsia="he-IL"/>
        </w:rPr>
        <w:t>והבדילנו מן התועים</w:t>
      </w:r>
      <w:r w:rsidRPr="00CD4564">
        <w:rPr>
          <w:noProof/>
          <w:rtl/>
          <w:lang w:eastAsia="he-IL"/>
        </w:rPr>
        <w:t xml:space="preserve">, </w:t>
      </w:r>
      <w:r w:rsidRPr="00FA38F4">
        <w:rPr>
          <w:noProof/>
          <w:rtl/>
          <w:lang w:eastAsia="he-IL"/>
        </w:rPr>
        <w:t>וקדשנו בקדושתו</w:t>
      </w:r>
      <w:r w:rsidRPr="00CD4564">
        <w:rPr>
          <w:noProof/>
          <w:rtl/>
          <w:lang w:eastAsia="he-IL"/>
        </w:rPr>
        <w:t xml:space="preserve">, </w:t>
      </w:r>
      <w:r w:rsidRPr="00FA38F4">
        <w:rPr>
          <w:noProof/>
          <w:rtl/>
          <w:lang w:eastAsia="he-IL"/>
        </w:rPr>
        <w:t xml:space="preserve">שנאמר </w:t>
      </w:r>
      <w:r w:rsidRPr="00CD4564">
        <w:rPr>
          <w:noProof/>
          <w:rtl/>
          <w:lang w:eastAsia="he-IL"/>
        </w:rPr>
        <w:t>'</w:t>
      </w:r>
      <w:r w:rsidRPr="00FA38F4">
        <w:rPr>
          <w:noProof/>
          <w:rtl/>
          <w:lang w:eastAsia="he-IL"/>
        </w:rPr>
        <w:t>ואבדיל אתכם מן העמים להיות לי</w:t>
      </w:r>
      <w:r w:rsidRPr="00CD4564">
        <w:rPr>
          <w:noProof/>
          <w:rtl/>
          <w:lang w:eastAsia="he-IL"/>
        </w:rPr>
        <w:t>'</w:t>
      </w:r>
      <w:r w:rsidRPr="00FA38F4">
        <w:rPr>
          <w:noProof/>
          <w:rtl/>
          <w:lang w:eastAsia="he-IL"/>
        </w:rPr>
        <w:t xml:space="preserve">, וכתיב </w:t>
      </w:r>
      <w:r w:rsidRPr="00CD4564">
        <w:rPr>
          <w:noProof/>
          <w:rtl/>
          <w:lang w:eastAsia="he-IL"/>
        </w:rPr>
        <w:t>'</w:t>
      </w:r>
      <w:r w:rsidRPr="00FA38F4">
        <w:rPr>
          <w:noProof/>
          <w:rtl/>
          <w:lang w:eastAsia="he-IL"/>
        </w:rPr>
        <w:t>והתקדשתם והייתם קדושים כי קדוש אני ה' א-לוהיכם</w:t>
      </w:r>
      <w:r w:rsidRPr="00CD4564">
        <w:rPr>
          <w:noProof/>
          <w:rtl/>
          <w:lang w:eastAsia="he-IL"/>
        </w:rPr>
        <w:t>'</w:t>
      </w:r>
      <w:r>
        <w:rPr>
          <w:noProof/>
          <w:rtl/>
          <w:lang w:eastAsia="he-IL"/>
        </w:rPr>
        <w:t>"</w:t>
      </w:r>
      <w:r w:rsidRPr="00FA38F4">
        <w:rPr>
          <w:noProof/>
          <w:rtl/>
          <w:lang w:eastAsia="he-IL"/>
        </w:rPr>
        <w:t xml:space="preserve"> </w:t>
      </w:r>
    </w:p>
    <w:p w14:paraId="1BAD4524" w14:textId="77777777" w:rsidR="003E7A6F" w:rsidRPr="00FA38F4" w:rsidRDefault="003E7A6F" w:rsidP="003E7A6F">
      <w:pPr>
        <w:pStyle w:val="Heading5"/>
        <w:rPr>
          <w:noProof/>
          <w:rtl/>
          <w:lang w:eastAsia="he-IL"/>
        </w:rPr>
      </w:pPr>
      <w:r w:rsidRPr="00FA38F4">
        <w:rPr>
          <w:noProof/>
          <w:rtl/>
          <w:lang w:eastAsia="he-IL"/>
        </w:rPr>
        <w:t>(</w:t>
      </w:r>
      <w:r>
        <w:rPr>
          <w:rFonts w:hint="cs"/>
          <w:noProof/>
          <w:rtl/>
          <w:lang w:eastAsia="he-IL"/>
        </w:rPr>
        <w:t xml:space="preserve">'איסור והיתר' </w:t>
      </w:r>
      <w:r>
        <w:rPr>
          <w:noProof/>
          <w:rtl/>
          <w:lang w:eastAsia="he-IL"/>
        </w:rPr>
        <w:t>כלל נ"ח סי' קי)</w:t>
      </w:r>
      <w:r w:rsidRPr="00FA38F4">
        <w:rPr>
          <w:noProof/>
          <w:rtl/>
          <w:lang w:eastAsia="he-IL"/>
        </w:rPr>
        <w:t xml:space="preserve"> </w:t>
      </w:r>
    </w:p>
    <w:p w14:paraId="61422D60" w14:textId="77777777" w:rsidR="003E7A6F" w:rsidRDefault="003E7A6F" w:rsidP="003E7A6F">
      <w:pPr>
        <w:rPr>
          <w:rtl/>
        </w:rPr>
      </w:pPr>
      <w:r>
        <w:rPr>
          <w:rtl/>
        </w:rPr>
        <w:t xml:space="preserve">ובכן, לכאורה פשוט שקיים יעוד עליו ניתן לתת את הדעת בטבילת כלים </w:t>
      </w:r>
      <w:proofErr w:type="spellStart"/>
      <w:r>
        <w:rPr>
          <w:rtl/>
        </w:rPr>
        <w:t>הנִקַּחִים</w:t>
      </w:r>
      <w:proofErr w:type="spellEnd"/>
      <w:r>
        <w:rPr>
          <w:rtl/>
        </w:rPr>
        <w:t xml:space="preserve">. והרי הדברים קל וחומר: אם לגבי המעבר מטומאה לטהרה תתּכן כוונה - לגבי מעבר מטומאה לקדושה, על אחת כמה וכמה! והרי בדירוגי קדושה וטהרה, אם </w:t>
      </w:r>
      <w:proofErr w:type="spellStart"/>
      <w:r>
        <w:rPr>
          <w:rtl/>
        </w:rPr>
        <w:t>בברייתא</w:t>
      </w:r>
      <w:proofErr w:type="spellEnd"/>
      <w:r>
        <w:rPr>
          <w:rtl/>
        </w:rPr>
        <w:t xml:space="preserve"> דרבי פנחס בן יאיר (עבודה זרה כ:) ואם ב"בעלי הנפש" </w:t>
      </w:r>
      <w:proofErr w:type="spellStart"/>
      <w:r>
        <w:rPr>
          <w:rtl/>
        </w:rPr>
        <w:t>להראב"ד</w:t>
      </w:r>
      <w:proofErr w:type="spellEnd"/>
      <w:r>
        <w:rPr>
          <w:rtl/>
        </w:rPr>
        <w:t xml:space="preserve"> ("שער הקדושה") קדושה נתפסת </w:t>
      </w:r>
      <w:r>
        <w:rPr>
          <w:rFonts w:hint="cs"/>
          <w:rtl/>
        </w:rPr>
        <w:t>כ</w:t>
      </w:r>
      <w:r>
        <w:rPr>
          <w:rtl/>
        </w:rPr>
        <w:t>מעלה יותר נשגבה. ובכן, מה הפלא שהמעבר לקדושת ישראל אף י</w:t>
      </w:r>
      <w:r>
        <w:rPr>
          <w:rFonts w:hint="cs"/>
          <w:rtl/>
        </w:rPr>
        <w:t>שמש</w:t>
      </w:r>
      <w:r>
        <w:rPr>
          <w:rtl/>
        </w:rPr>
        <w:t xml:space="preserve"> </w:t>
      </w:r>
      <w:r>
        <w:rPr>
          <w:rFonts w:hint="cs"/>
          <w:rtl/>
        </w:rPr>
        <w:t>כ</w:t>
      </w:r>
      <w:r>
        <w:rPr>
          <w:rtl/>
        </w:rPr>
        <w:t xml:space="preserve">נושא כוונת הטבילה? </w:t>
      </w:r>
    </w:p>
    <w:p w14:paraId="42D3AEAA" w14:textId="77777777" w:rsidR="003E7A6F" w:rsidRDefault="003E7A6F" w:rsidP="003E7A6F">
      <w:pPr>
        <w:rPr>
          <w:rtl/>
        </w:rPr>
      </w:pPr>
      <w:r>
        <w:rPr>
          <w:rtl/>
        </w:rPr>
        <w:lastRenderedPageBreak/>
        <w:t xml:space="preserve">יתכן, אם כן, להלכה, שאמנם אין צורך בכוונה בטבילה זו, כדעת </w:t>
      </w:r>
      <w:r>
        <w:rPr>
          <w:rFonts w:hint="cs"/>
          <w:rtl/>
        </w:rPr>
        <w:t>כ</w:t>
      </w:r>
      <w:r>
        <w:rPr>
          <w:rtl/>
        </w:rPr>
        <w:t xml:space="preserve">רב וכפסק המחבר (ק"כ טו), אך זאת לא מפאת הפקעה </w:t>
      </w:r>
      <w:proofErr w:type="spellStart"/>
      <w:r>
        <w:rPr>
          <w:rtl/>
        </w:rPr>
        <w:t>יחודית</w:t>
      </w:r>
      <w:proofErr w:type="spellEnd"/>
      <w:r>
        <w:rPr>
          <w:rtl/>
        </w:rPr>
        <w:t xml:space="preserve">. </w:t>
      </w:r>
    </w:p>
    <w:p w14:paraId="4DE09416" w14:textId="77777777" w:rsidR="003E7A6F" w:rsidRDefault="003E7A6F" w:rsidP="003E7A6F">
      <w:pPr>
        <w:pStyle w:val="Heading2"/>
        <w:rPr>
          <w:rtl/>
        </w:rPr>
      </w:pPr>
      <w:r>
        <w:rPr>
          <w:rtl/>
        </w:rPr>
        <w:t>ב</w:t>
      </w:r>
    </w:p>
    <w:p w14:paraId="3B9DF226" w14:textId="77777777" w:rsidR="003E7A6F" w:rsidRDefault="003E7A6F" w:rsidP="00E35D6C">
      <w:pPr>
        <w:rPr>
          <w:rtl/>
        </w:rPr>
      </w:pPr>
      <w:r>
        <w:rPr>
          <w:rtl/>
        </w:rPr>
        <w:t xml:space="preserve">ברצוני להיעזר במושגי יסוד </w:t>
      </w:r>
      <w:proofErr w:type="spellStart"/>
      <w:r>
        <w:rPr>
          <w:rtl/>
        </w:rPr>
        <w:t>שצויינו</w:t>
      </w:r>
      <w:proofErr w:type="spellEnd"/>
      <w:r>
        <w:rPr>
          <w:rtl/>
        </w:rPr>
        <w:t xml:space="preserve"> לעיל, כדי להעלות במפורש היבטים ברי משמעות לכל בן תורה, ובמציאות שלנו, לבן ישיבת ההסדר במיוחד. </w:t>
      </w:r>
    </w:p>
    <w:p w14:paraId="355F73B2" w14:textId="77777777" w:rsidR="003E7A6F" w:rsidRDefault="003E7A6F" w:rsidP="00E35D6C">
      <w:pPr>
        <w:rPr>
          <w:rtl/>
        </w:rPr>
      </w:pPr>
      <w:r>
        <w:rPr>
          <w:rtl/>
        </w:rPr>
        <w:t xml:space="preserve">אני רגיל לקדם את פני הבאים בשערי הישיבה במאמר חז"ל יסודי בנידון. ביחס לקביעת המשנה (יומא ב.) "שבעת ימים קודם יום הכפורים </w:t>
      </w:r>
      <w:proofErr w:type="spellStart"/>
      <w:r>
        <w:rPr>
          <w:rtl/>
        </w:rPr>
        <w:t>מפרישין</w:t>
      </w:r>
      <w:proofErr w:type="spellEnd"/>
      <w:r>
        <w:rPr>
          <w:rtl/>
        </w:rPr>
        <w:t xml:space="preserve"> כהן גדול מביתו ללשכת </w:t>
      </w:r>
      <w:proofErr w:type="spellStart"/>
      <w:r>
        <w:rPr>
          <w:rtl/>
        </w:rPr>
        <w:t>פרהדרין</w:t>
      </w:r>
      <w:proofErr w:type="spellEnd"/>
      <w:r>
        <w:rPr>
          <w:rtl/>
        </w:rPr>
        <w:t xml:space="preserve">", מטעימה הגמרא: </w:t>
      </w:r>
    </w:p>
    <w:p w14:paraId="29E64FFA" w14:textId="77777777" w:rsidR="00E35D6C" w:rsidRDefault="003E7A6F" w:rsidP="00E35D6C">
      <w:pPr>
        <w:pStyle w:val="Quote"/>
        <w:rPr>
          <w:rtl/>
        </w:rPr>
      </w:pPr>
      <w:r>
        <w:rPr>
          <w:rtl/>
        </w:rPr>
        <w:t>"</w:t>
      </w:r>
      <w:r w:rsidRPr="00A06A2A">
        <w:rPr>
          <w:rtl/>
        </w:rPr>
        <w:t xml:space="preserve">תנו רבנן: אין בין כהן השורף את הפרה לכהן גדול ביום הכפורים, אלא שזה פרישתו לקדושה ואחיו </w:t>
      </w:r>
      <w:proofErr w:type="spellStart"/>
      <w:r w:rsidRPr="00A06A2A">
        <w:rPr>
          <w:rtl/>
        </w:rPr>
        <w:t>הכהנים</w:t>
      </w:r>
      <w:proofErr w:type="spellEnd"/>
      <w:r w:rsidRPr="00A06A2A">
        <w:rPr>
          <w:rtl/>
        </w:rPr>
        <w:t xml:space="preserve"> נוגעים</w:t>
      </w:r>
      <w:r w:rsidRPr="00D4198F">
        <w:rPr>
          <w:rFonts w:cs="Koren"/>
          <w:b/>
          <w:noProof/>
          <w:sz w:val="200"/>
          <w:rtl/>
          <w:lang w:eastAsia="he-IL"/>
        </w:rPr>
        <w:t xml:space="preserve"> </w:t>
      </w:r>
      <w:r w:rsidRPr="00A06A2A">
        <w:rPr>
          <w:rtl/>
        </w:rPr>
        <w:t xml:space="preserve">בו, וזה פרישתו לטהרה ואין אחיו </w:t>
      </w:r>
      <w:proofErr w:type="spellStart"/>
      <w:r w:rsidRPr="00A06A2A">
        <w:rPr>
          <w:rtl/>
        </w:rPr>
        <w:t>הכהנים</w:t>
      </w:r>
      <w:proofErr w:type="spellEnd"/>
      <w:r w:rsidRPr="00A06A2A">
        <w:rPr>
          <w:rtl/>
        </w:rPr>
        <w:t xml:space="preserve"> נוגעים בו</w:t>
      </w:r>
      <w:r>
        <w:rPr>
          <w:rtl/>
        </w:rPr>
        <w:t>"</w:t>
      </w:r>
      <w:r w:rsidRPr="00A06A2A">
        <w:rPr>
          <w:rtl/>
        </w:rPr>
        <w:t xml:space="preserve"> </w:t>
      </w:r>
    </w:p>
    <w:p w14:paraId="0396FB45" w14:textId="77777777" w:rsidR="003E7A6F" w:rsidRPr="00A06A2A" w:rsidRDefault="003E7A6F" w:rsidP="00E35D6C">
      <w:pPr>
        <w:pStyle w:val="Heading5"/>
        <w:rPr>
          <w:rtl/>
        </w:rPr>
      </w:pPr>
      <w:r w:rsidRPr="00A06A2A">
        <w:rPr>
          <w:rtl/>
        </w:rPr>
        <w:t>(</w:t>
      </w:r>
      <w:r w:rsidR="00E35D6C">
        <w:rPr>
          <w:rFonts w:hint="cs"/>
          <w:rtl/>
        </w:rPr>
        <w:t xml:space="preserve">יומא </w:t>
      </w:r>
      <w:r w:rsidR="00E35D6C">
        <w:rPr>
          <w:rtl/>
        </w:rPr>
        <w:t>ח.)</w:t>
      </w:r>
      <w:r w:rsidRPr="00A06A2A">
        <w:rPr>
          <w:rtl/>
        </w:rPr>
        <w:t xml:space="preserve"> </w:t>
      </w:r>
    </w:p>
    <w:p w14:paraId="52324A8D" w14:textId="77777777" w:rsidR="003E7A6F" w:rsidRDefault="003E7A6F" w:rsidP="00E35D6C">
      <w:pPr>
        <w:rPr>
          <w:rtl/>
        </w:rPr>
      </w:pPr>
      <w:r>
        <w:rPr>
          <w:rtl/>
        </w:rPr>
        <w:t xml:space="preserve">האבחנה ברורה. </w:t>
      </w:r>
      <w:proofErr w:type="spellStart"/>
      <w:r>
        <w:rPr>
          <w:rtl/>
        </w:rPr>
        <w:t>הברייתא</w:t>
      </w:r>
      <w:proofErr w:type="spellEnd"/>
      <w:r>
        <w:rPr>
          <w:rtl/>
        </w:rPr>
        <w:t xml:space="preserve"> מעמתת פרישה משני זנים. האחת, הנעוצה בהכנה והכשרה לקראת הכניסה למקדש לפני ולפנים, והמפגש וההתוועדות עם </w:t>
      </w:r>
      <w:proofErr w:type="spellStart"/>
      <w:r>
        <w:rPr>
          <w:rtl/>
        </w:rPr>
        <w:t>קודשא</w:t>
      </w:r>
      <w:proofErr w:type="spellEnd"/>
      <w:r>
        <w:rPr>
          <w:rtl/>
        </w:rPr>
        <w:t xml:space="preserve"> </w:t>
      </w:r>
      <w:proofErr w:type="spellStart"/>
      <w:r>
        <w:rPr>
          <w:rtl/>
        </w:rPr>
        <w:t>בריך</w:t>
      </w:r>
      <w:proofErr w:type="spellEnd"/>
      <w:r>
        <w:rPr>
          <w:rtl/>
        </w:rPr>
        <w:t xml:space="preserve"> הוא בהיכלא; </w:t>
      </w:r>
      <w:proofErr w:type="spellStart"/>
      <w:r>
        <w:rPr>
          <w:rtl/>
        </w:rPr>
        <w:t>ופירש"י</w:t>
      </w:r>
      <w:proofErr w:type="spellEnd"/>
      <w:r>
        <w:rPr>
          <w:rtl/>
        </w:rPr>
        <w:t xml:space="preserve">, "להיכנס למחנה שכינה, ולא יהא לבו זחה עליו, ויהא נבדל מכל קלות ראש, שחלה עליו אימה </w:t>
      </w:r>
      <w:proofErr w:type="spellStart"/>
      <w:r>
        <w:rPr>
          <w:rtl/>
        </w:rPr>
        <w:t>בהבדלתו</w:t>
      </w:r>
      <w:proofErr w:type="spellEnd"/>
      <w:r>
        <w:rPr>
          <w:rtl/>
        </w:rPr>
        <w:t xml:space="preserve"> מן הבריות". לעומתה, ניצבת פרישה בעלת אופי שונה, אופי אשר מצד אחד </w:t>
      </w:r>
      <w:proofErr w:type="spellStart"/>
      <w:r>
        <w:rPr>
          <w:rtl/>
        </w:rPr>
        <w:t>מתוה</w:t>
      </w:r>
      <w:proofErr w:type="spellEnd"/>
      <w:r>
        <w:rPr>
          <w:rtl/>
        </w:rPr>
        <w:t xml:space="preserve"> רף הלכתי תובעני יותר, אך אשר, בשורשו, הינו הרבה יותר מצומצם. </w:t>
      </w:r>
    </w:p>
    <w:p w14:paraId="6E62DDCF" w14:textId="77777777" w:rsidR="003E7A6F" w:rsidRDefault="003E7A6F" w:rsidP="00E35D6C">
      <w:pPr>
        <w:rPr>
          <w:rtl/>
        </w:rPr>
      </w:pPr>
      <w:r>
        <w:rPr>
          <w:rtl/>
        </w:rPr>
        <w:t xml:space="preserve">עיקר השוני כרוך במטרה, אשר, מן הסתם, גם משפיעה על הצביון. לפרישה לטהרה יש יעד פסיבי, קביעת משטר 'שב ואל תעשה' האמור לשמר את הכהן הפורש מכל פגע טומאה רע. מאידך, משימת פרישה לקדושה מיועדת לא רק להגן על הקיים, אלא, ברוח 'קום ועשה', גם לבנות עליו, ובשפתו של הרמח"ל ב"מסילת ישרים" - הזהירות מול הזריזות. </w:t>
      </w:r>
    </w:p>
    <w:p w14:paraId="61E43F30" w14:textId="77777777" w:rsidR="003E7A6F" w:rsidRDefault="003E7A6F" w:rsidP="00E35D6C">
      <w:pPr>
        <w:rPr>
          <w:rtl/>
        </w:rPr>
      </w:pPr>
      <w:r>
        <w:rPr>
          <w:rtl/>
        </w:rPr>
        <w:t xml:space="preserve">קונספטואלית ומעשית, יש ושתי הפרישות, אפשרות הבחירה ביניהן, עומדות בפני אדם או ציבור אחד. לעתים, זאת המציאות הקיימת ביחס לפנייה לישיבת הסדר. בחור יכול להגיע מתוך פרישה לטהרה: אין לו בראשית הדרך, חשק רב להתמיד בלימוד תורה, ואולי גם לא היכולת להצליח במשימה זו. אך הוא בחור ירא שמים, השואף להמשיך בדרך זו, וכאשר הוריו או רבותיו מצביעים על הסכנה הגלומה בהליכה לצבא, בו - ללא מעטפת חברת הישיבה וללא חישוקים שיקבל </w:t>
      </w:r>
      <w:r>
        <w:rPr>
          <w:rtl/>
        </w:rPr>
        <w:t xml:space="preserve">באמצעות תקופת הלימוד - זהותו הדתית עלולה להתנדנד או להתמוטט (תחזית אשר, למגינת לבנו, לעתים מגשימה את עצמה), אזנו כרויה כאפרכסת, והוא מקבל את המלצת מורי דרכו. </w:t>
      </w:r>
    </w:p>
    <w:p w14:paraId="0C591159" w14:textId="77777777" w:rsidR="003E7A6F" w:rsidRDefault="003E7A6F" w:rsidP="00E35D6C">
      <w:pPr>
        <w:rPr>
          <w:rtl/>
        </w:rPr>
      </w:pPr>
      <w:r>
        <w:rPr>
          <w:rtl/>
        </w:rPr>
        <w:t>לעומת מקרים כאלה, מתייצבים</w:t>
      </w:r>
      <w:r w:rsidR="00E35D6C">
        <w:rPr>
          <w:rtl/>
        </w:rPr>
        <w:t xml:space="preserve"> הפורשים לקדושה - בחורים אשר גם</w:t>
      </w:r>
      <w:r>
        <w:rPr>
          <w:rtl/>
        </w:rPr>
        <w:t xml:space="preserve"> לוּ היה מובטח להם שרמתם הדתית הנוכחית תישאר איתנה עד </w:t>
      </w:r>
      <w:proofErr w:type="spellStart"/>
      <w:r>
        <w:rPr>
          <w:rtl/>
        </w:rPr>
        <w:t>זיבולא</w:t>
      </w:r>
      <w:proofErr w:type="spellEnd"/>
      <w:r>
        <w:rPr>
          <w:rtl/>
        </w:rPr>
        <w:t xml:space="preserve"> </w:t>
      </w:r>
      <w:proofErr w:type="spellStart"/>
      <w:r>
        <w:rPr>
          <w:rtl/>
        </w:rPr>
        <w:t>בתרייתא</w:t>
      </w:r>
      <w:proofErr w:type="spellEnd"/>
      <w:r>
        <w:rPr>
          <w:rtl/>
        </w:rPr>
        <w:t xml:space="preserve">, לא היו הופכים עורף לבית המדרש, מפני שאינם הם מסתפקים באותה רמה. בכל תחום אחר - בגרות נפשית, השכלה כללית, התקדמות מקצועית, רגישות מוסרית, כושר חשיבה והתבטאות, מעמד חברתי, יציבות כלכלית - הם שואפים להתעלות ולהתפתח; וכיצד יעלה על הדעת, </w:t>
      </w:r>
      <w:proofErr w:type="spellStart"/>
      <w:r>
        <w:rPr>
          <w:rtl/>
        </w:rPr>
        <w:t>שדוקא</w:t>
      </w:r>
      <w:proofErr w:type="spellEnd"/>
      <w:r>
        <w:rPr>
          <w:rtl/>
        </w:rPr>
        <w:t xml:space="preserve"> ביחס לידיעת תורה ואהבת תורה, שְיקרה מפנינים וטובה מאלפי זהב וכסף, יסתפקו במועט שברמה אליה הגיעו עם סיום הישיבה התיכונית? שכאשר בידיהם המפתח והתנאים להעצים ולהעמיק את זהותם כעובדי ה', ירגישו שיצאו ידי חובתם אם יעמדו בדרישת "</w:t>
      </w:r>
      <w:r w:rsidRPr="003E1FDC">
        <w:rPr>
          <w:rtl/>
        </w:rPr>
        <w:t xml:space="preserve">וּזְכֹר אֶת </w:t>
      </w:r>
      <w:proofErr w:type="spellStart"/>
      <w:r w:rsidRPr="003E1FDC">
        <w:rPr>
          <w:rtl/>
        </w:rPr>
        <w:t>בּוֹרְאֶיך</w:t>
      </w:r>
      <w:proofErr w:type="spellEnd"/>
      <w:r w:rsidRPr="003E1FDC">
        <w:rPr>
          <w:rtl/>
        </w:rPr>
        <w:t xml:space="preserve">ָ בִּימֵי </w:t>
      </w:r>
      <w:proofErr w:type="spellStart"/>
      <w:r w:rsidRPr="003E1FDC">
        <w:rPr>
          <w:rtl/>
        </w:rPr>
        <w:t>בְּחוּרֹתֶיך</w:t>
      </w:r>
      <w:proofErr w:type="spellEnd"/>
      <w:r w:rsidRPr="003E1FDC">
        <w:rPr>
          <w:rtl/>
        </w:rPr>
        <w:t>ָ</w:t>
      </w:r>
      <w:r>
        <w:rPr>
          <w:rtl/>
        </w:rPr>
        <w:t>"? תְאבים הם, "</w:t>
      </w:r>
      <w:r w:rsidRPr="00AA0AF2">
        <w:rPr>
          <w:rtl/>
        </w:rPr>
        <w:t xml:space="preserve">לֹא רָעָב לַלֶּחֶם וְלֹא צָמָא לַמַּיִם כִּי אִם לִשְׁמֹעַ אֵת דִּבְרֵי </w:t>
      </w:r>
      <w:r>
        <w:rPr>
          <w:rtl/>
        </w:rPr>
        <w:t xml:space="preserve">ה'"; והם נוהרים לבית המדרש לא מפני אימת הקלקול, אלא מפני שהם מקוים, מצפים ומתפללים שבבית היוצר הזה הם יבַּנו כבני אדם וכבני תורה. הם אינם משלים את עצמם, שבעוד מספר שנים הם יצאו ממנו </w:t>
      </w:r>
      <w:proofErr w:type="spellStart"/>
      <w:r>
        <w:rPr>
          <w:rtl/>
        </w:rPr>
        <w:t>ככהנים</w:t>
      </w:r>
      <w:proofErr w:type="spellEnd"/>
      <w:r>
        <w:rPr>
          <w:rtl/>
        </w:rPr>
        <w:t xml:space="preserve"> גדולים החודרים, אם כיחידים ואם כמנהיגים, לפני ולפנים. אך על התפתחות עד מקום שנפשם מגעת - אינם בשום פנים ואופן מוכנים לוותר; ומה שהתנאים - כולל </w:t>
      </w:r>
      <w:proofErr w:type="spellStart"/>
      <w:r>
        <w:rPr>
          <w:rtl/>
        </w:rPr>
        <w:t>המחוייבות</w:t>
      </w:r>
      <w:proofErr w:type="spellEnd"/>
      <w:r>
        <w:rPr>
          <w:rtl/>
        </w:rPr>
        <w:t xml:space="preserve"> להגנת העם והארץ - והיכולת מאפשרים, כשלעצמו, לא יסולא בפז. </w:t>
      </w:r>
    </w:p>
    <w:p w14:paraId="4FFB2EF1" w14:textId="77777777" w:rsidR="003E7A6F" w:rsidRDefault="003E7A6F" w:rsidP="00E35D6C">
      <w:pPr>
        <w:rPr>
          <w:b/>
          <w:bCs/>
          <w:rtl/>
        </w:rPr>
      </w:pPr>
      <w:r>
        <w:rPr>
          <w:rtl/>
        </w:rPr>
        <w:t>אינני סבור, שיש לזלז</w:t>
      </w:r>
      <w:r w:rsidR="00E35D6C">
        <w:rPr>
          <w:rFonts w:hint="cs"/>
          <w:rtl/>
        </w:rPr>
        <w:t>ל</w:t>
      </w:r>
      <w:r>
        <w:rPr>
          <w:rtl/>
        </w:rPr>
        <w:t xml:space="preserve"> בפורשים לטהרה. כאשר יתכן שעתידו של אדם, בזה ובבא, במישור חיי שעה כבחיי עולם, על כף המאזניים, יש לעודד אף השואף "</w:t>
      </w:r>
      <w:r w:rsidRPr="00814E13">
        <w:rPr>
          <w:rtl/>
        </w:rPr>
        <w:t>לְצֵל יוֹמָם מֵחֹרֶב וּלְמַחְסֶה וּלְמִסְתּוֹר מִזֶּרֶם וּמִמָּטָר</w:t>
      </w:r>
      <w:r>
        <w:rPr>
          <w:rtl/>
        </w:rPr>
        <w:t>". אך יש להדגיש שתי נקודות. ראשית, על הפורש לטהרה להבין ולקבל שמלוא דרישת בית המדרש, כמותיות ואיכותיות, ערכי</w:t>
      </w:r>
      <w:r w:rsidR="00E35D6C">
        <w:rPr>
          <w:rtl/>
        </w:rPr>
        <w:t xml:space="preserve">ות ותפקודיות, מופנות כלפיו </w:t>
      </w:r>
      <w:proofErr w:type="spellStart"/>
      <w:r w:rsidR="00E35D6C">
        <w:rPr>
          <w:rtl/>
        </w:rPr>
        <w:t>כְּל</w:t>
      </w:r>
      <w:r>
        <w:rPr>
          <w:rtl/>
        </w:rPr>
        <w:t>כְלַפֵּי</w:t>
      </w:r>
      <w:proofErr w:type="spellEnd"/>
      <w:r>
        <w:rPr>
          <w:rtl/>
        </w:rPr>
        <w:t xml:space="preserve"> כל עמיתיו, ושחובתו להשקיע, לעמול ולעת הצורך להזיע, כדי לעמוד בהן. שנית, על בית המדרש, מצידו, ועל מעצביו ומנהיגיו, להפנים כי חובתם המוסדית והמוסרית, לדאוג לכך שתשרור בו אוירה ויושקע בו מאמץ, שיאיצו לחנך את הפורשים לטהרה, ולכוון אותם </w:t>
      </w:r>
      <w:proofErr w:type="spellStart"/>
      <w:r>
        <w:rPr>
          <w:rtl/>
        </w:rPr>
        <w:t>ליהפך</w:t>
      </w:r>
      <w:proofErr w:type="spellEnd"/>
      <w:r>
        <w:rPr>
          <w:rtl/>
        </w:rPr>
        <w:t>, עם הזמן ועם ההתקדמות הרוחנית, לפורשים מקדושה. מחובתה של ישיבת הסדר הראויה לאותה אצטלא להשתדל.</w:t>
      </w:r>
    </w:p>
    <w:p w14:paraId="7244A273" w14:textId="77777777" w:rsidR="00E35D6C" w:rsidRPr="001847BC" w:rsidRDefault="00E35D6C" w:rsidP="00E35D6C">
      <w:pPr>
        <w:rPr>
          <w:b/>
          <w:bCs/>
          <w:rtl/>
        </w:rPr>
      </w:pPr>
    </w:p>
    <w:p w14:paraId="4E18F9E2" w14:textId="77777777" w:rsidR="003E7A6F" w:rsidRDefault="003E7A6F" w:rsidP="003E7A6F">
      <w:pPr>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3E7A6F" w14:paraId="09EBC252" w14:textId="77777777" w:rsidTr="008963A2">
        <w:tc>
          <w:tcPr>
            <w:tcW w:w="283" w:type="dxa"/>
            <w:tcBorders>
              <w:top w:val="nil"/>
              <w:left w:val="nil"/>
              <w:bottom w:val="nil"/>
              <w:right w:val="nil"/>
            </w:tcBorders>
          </w:tcPr>
          <w:bookmarkEnd w:id="0"/>
          <w:p w14:paraId="2F37205B" w14:textId="77777777" w:rsidR="003E7A6F" w:rsidRDefault="003E7A6F" w:rsidP="008963A2">
            <w:pPr>
              <w:pStyle w:val="a0"/>
              <w:rPr>
                <w:noProof w:val="0"/>
                <w:rtl/>
              </w:rPr>
            </w:pPr>
            <w:r>
              <w:rPr>
                <w:noProof w:val="0"/>
                <w:rtl/>
              </w:rPr>
              <w:lastRenderedPageBreak/>
              <w:t>*</w:t>
            </w:r>
          </w:p>
        </w:tc>
        <w:tc>
          <w:tcPr>
            <w:tcW w:w="4111" w:type="dxa"/>
            <w:tcBorders>
              <w:top w:val="nil"/>
              <w:left w:val="nil"/>
              <w:bottom w:val="nil"/>
              <w:right w:val="nil"/>
            </w:tcBorders>
          </w:tcPr>
          <w:p w14:paraId="70E100F2" w14:textId="77777777" w:rsidR="003E7A6F" w:rsidRDefault="003E7A6F" w:rsidP="008963A2">
            <w:pPr>
              <w:pStyle w:val="a0"/>
              <w:ind w:left="-170" w:right="-170"/>
              <w:rPr>
                <w:noProof w:val="0"/>
                <w:rtl/>
              </w:rPr>
            </w:pPr>
            <w:r>
              <w:rPr>
                <w:noProof w:val="0"/>
                <w:rtl/>
              </w:rPr>
              <w:t>***************************************************************</w:t>
            </w:r>
          </w:p>
        </w:tc>
        <w:tc>
          <w:tcPr>
            <w:tcW w:w="284" w:type="dxa"/>
            <w:tcBorders>
              <w:top w:val="nil"/>
              <w:left w:val="nil"/>
              <w:bottom w:val="nil"/>
              <w:right w:val="nil"/>
            </w:tcBorders>
          </w:tcPr>
          <w:p w14:paraId="02EE4578" w14:textId="77777777" w:rsidR="003E7A6F" w:rsidRDefault="003E7A6F" w:rsidP="008963A2">
            <w:pPr>
              <w:pStyle w:val="a0"/>
              <w:rPr>
                <w:noProof w:val="0"/>
                <w:rtl/>
              </w:rPr>
            </w:pPr>
            <w:r>
              <w:rPr>
                <w:noProof w:val="0"/>
                <w:rtl/>
              </w:rPr>
              <w:t>*</w:t>
            </w:r>
          </w:p>
        </w:tc>
      </w:tr>
      <w:tr w:rsidR="003E7A6F" w14:paraId="3267C782" w14:textId="77777777" w:rsidTr="008963A2">
        <w:tc>
          <w:tcPr>
            <w:tcW w:w="283" w:type="dxa"/>
            <w:tcBorders>
              <w:top w:val="nil"/>
              <w:left w:val="nil"/>
              <w:bottom w:val="nil"/>
              <w:right w:val="nil"/>
            </w:tcBorders>
          </w:tcPr>
          <w:p w14:paraId="348A8056" w14:textId="77777777" w:rsidR="003E7A6F" w:rsidRDefault="003E7A6F" w:rsidP="008963A2">
            <w:pPr>
              <w:pStyle w:val="a0"/>
              <w:rPr>
                <w:noProof w:val="0"/>
                <w:rtl/>
              </w:rPr>
            </w:pPr>
            <w:r>
              <w:rPr>
                <w:noProof w:val="0"/>
                <w:rtl/>
              </w:rPr>
              <w:t>* * * * * * * * * *</w:t>
            </w:r>
          </w:p>
        </w:tc>
        <w:tc>
          <w:tcPr>
            <w:tcW w:w="4111" w:type="dxa"/>
            <w:tcBorders>
              <w:top w:val="nil"/>
              <w:left w:val="nil"/>
              <w:bottom w:val="nil"/>
              <w:right w:val="nil"/>
            </w:tcBorders>
          </w:tcPr>
          <w:p w14:paraId="406A24B8" w14:textId="77777777" w:rsidR="003E7A6F" w:rsidRDefault="003E7A6F" w:rsidP="00E35D6C">
            <w:pPr>
              <w:pStyle w:val="a0"/>
              <w:rPr>
                <w:noProof w:val="0"/>
                <w:rtl/>
              </w:rPr>
            </w:pPr>
            <w:r>
              <w:rPr>
                <w:noProof w:val="0"/>
                <w:rtl/>
              </w:rPr>
              <w:t>כל הזכו</w:t>
            </w:r>
            <w:r w:rsidR="00E35D6C">
              <w:rPr>
                <w:noProof w:val="0"/>
                <w:rtl/>
              </w:rPr>
              <w:t>יות שמורות לישיבת הר עציון</w:t>
            </w:r>
            <w:r w:rsidR="00E35D6C">
              <w:rPr>
                <w:rFonts w:hint="cs"/>
                <w:noProof w:val="0"/>
                <w:rtl/>
              </w:rPr>
              <w:t xml:space="preserve"> ולרב אהרן ליכטנשטיין זצ"ל</w:t>
            </w:r>
          </w:p>
          <w:p w14:paraId="430F8E5B" w14:textId="77777777" w:rsidR="003E7A6F" w:rsidRDefault="00E35D6C" w:rsidP="008963A2">
            <w:pPr>
              <w:pStyle w:val="a0"/>
              <w:rPr>
                <w:noProof w:val="0"/>
                <w:rtl/>
              </w:rPr>
            </w:pPr>
            <w:r>
              <w:rPr>
                <w:noProof w:val="0"/>
                <w:rtl/>
              </w:rPr>
              <w:t xml:space="preserve">עורך: </w:t>
            </w:r>
            <w:r>
              <w:rPr>
                <w:rFonts w:hint="cs"/>
                <w:noProof w:val="0"/>
                <w:rtl/>
              </w:rPr>
              <w:t>אלישע אורון, תשע"ח</w:t>
            </w:r>
          </w:p>
          <w:p w14:paraId="46D5239B" w14:textId="77777777" w:rsidR="003E7A6F" w:rsidRDefault="003E7A6F" w:rsidP="008963A2">
            <w:pPr>
              <w:pStyle w:val="a0"/>
              <w:rPr>
                <w:noProof w:val="0"/>
                <w:rtl/>
              </w:rPr>
            </w:pPr>
            <w:r>
              <w:rPr>
                <w:noProof w:val="0"/>
                <w:rtl/>
              </w:rPr>
              <w:t>*******************************************************</w:t>
            </w:r>
          </w:p>
          <w:p w14:paraId="79C3D662" w14:textId="77777777" w:rsidR="003E7A6F" w:rsidRDefault="003E7A6F" w:rsidP="008963A2">
            <w:pPr>
              <w:pStyle w:val="a0"/>
              <w:rPr>
                <w:noProof w:val="0"/>
                <w:rtl/>
              </w:rPr>
            </w:pPr>
          </w:p>
          <w:p w14:paraId="69046F13" w14:textId="77777777" w:rsidR="003E7A6F" w:rsidRDefault="003E7A6F" w:rsidP="008963A2">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A26274F" w14:textId="77777777" w:rsidR="003E7A6F" w:rsidRDefault="003E7A6F" w:rsidP="008963A2">
            <w:pPr>
              <w:pStyle w:val="a0"/>
              <w:rPr>
                <w:noProof w:val="0"/>
                <w:rtl/>
              </w:rPr>
            </w:pPr>
            <w:r>
              <w:rPr>
                <w:noProof w:val="0"/>
                <w:rtl/>
              </w:rPr>
              <w:t>האתר בעברית:</w:t>
            </w:r>
            <w:r>
              <w:rPr>
                <w:noProof w:val="0"/>
                <w:rtl/>
              </w:rPr>
              <w:tab/>
            </w:r>
            <w:hyperlink r:id="rId7" w:history="1">
              <w:r>
                <w:rPr>
                  <w:rStyle w:val="Hyperlink"/>
                </w:rPr>
                <w:t>http://www.etzion.org.il/vbm</w:t>
              </w:r>
            </w:hyperlink>
          </w:p>
          <w:p w14:paraId="54BEE1C2" w14:textId="77777777" w:rsidR="003E7A6F" w:rsidRDefault="003E7A6F" w:rsidP="008963A2">
            <w:pPr>
              <w:pStyle w:val="a0"/>
              <w:rPr>
                <w:noProof w:val="0"/>
                <w:rtl/>
              </w:rPr>
            </w:pPr>
            <w:r>
              <w:rPr>
                <w:noProof w:val="0"/>
                <w:rtl/>
              </w:rPr>
              <w:t>האתר באנגלית:</w:t>
            </w:r>
            <w:r>
              <w:rPr>
                <w:noProof w:val="0"/>
                <w:rtl/>
              </w:rPr>
              <w:tab/>
            </w:r>
            <w:hyperlink r:id="rId8" w:history="1">
              <w:r>
                <w:rPr>
                  <w:rStyle w:val="Hyperlink"/>
                </w:rPr>
                <w:t>http://www.vbm-torah.org</w:t>
              </w:r>
            </w:hyperlink>
          </w:p>
          <w:p w14:paraId="39E7A412" w14:textId="77777777" w:rsidR="003E7A6F" w:rsidRDefault="003E7A6F" w:rsidP="008963A2">
            <w:pPr>
              <w:pStyle w:val="a0"/>
              <w:rPr>
                <w:noProof w:val="0"/>
                <w:rtl/>
              </w:rPr>
            </w:pPr>
          </w:p>
          <w:p w14:paraId="068E2327" w14:textId="77777777" w:rsidR="003E7A6F" w:rsidRDefault="003E7A6F" w:rsidP="008963A2">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15E75621" w14:textId="77777777" w:rsidR="003E7A6F" w:rsidRDefault="003E7A6F" w:rsidP="008963A2">
            <w:pPr>
              <w:pStyle w:val="a0"/>
              <w:rPr>
                <w:noProof w:val="0"/>
                <w:rtl/>
              </w:rPr>
            </w:pPr>
            <w:r>
              <w:rPr>
                <w:noProof w:val="0"/>
                <w:rtl/>
              </w:rPr>
              <w:t xml:space="preserve">דואל: </w:t>
            </w:r>
            <w:hyperlink r:id="rId9" w:history="1">
              <w:r>
                <w:rPr>
                  <w:rStyle w:val="Hyperlink"/>
                </w:rPr>
                <w:t>office@etzion.org.il</w:t>
              </w:r>
            </w:hyperlink>
          </w:p>
          <w:p w14:paraId="66DFE3FD" w14:textId="77777777" w:rsidR="003E7A6F" w:rsidRDefault="003E7A6F" w:rsidP="008963A2">
            <w:pPr>
              <w:pStyle w:val="a0"/>
              <w:rPr>
                <w:noProof w:val="0"/>
                <w:rtl/>
              </w:rPr>
            </w:pPr>
          </w:p>
          <w:p w14:paraId="363A3CFF" w14:textId="77777777" w:rsidR="003E7A6F" w:rsidRDefault="003E7A6F" w:rsidP="008963A2">
            <w:pPr>
              <w:pStyle w:val="a0"/>
              <w:rPr>
                <w:noProof w:val="0"/>
                <w:rtl/>
              </w:rPr>
            </w:pPr>
            <w:r>
              <w:rPr>
                <w:noProof w:val="0"/>
                <w:rtl/>
              </w:rPr>
              <w:t>לביטול רישום לשיעור:</w:t>
            </w:r>
          </w:p>
          <w:p w14:paraId="7342E58A" w14:textId="77777777" w:rsidR="003E7A6F" w:rsidRPr="008160F3" w:rsidRDefault="004D6681" w:rsidP="008963A2">
            <w:pPr>
              <w:pStyle w:val="a0"/>
              <w:rPr>
                <w:noProof w:val="0"/>
                <w:rtl/>
              </w:rPr>
            </w:pPr>
            <w:hyperlink r:id="rId10" w:history="1">
              <w:r w:rsidR="003E7A6F" w:rsidRPr="00F9102D">
                <w:rPr>
                  <w:rStyle w:val="Hyperlink"/>
                  <w:noProof w:val="0"/>
                </w:rPr>
                <w:t>http://etzion.org.il/vbm/unsubscribe.php</w:t>
              </w:r>
            </w:hyperlink>
          </w:p>
        </w:tc>
        <w:tc>
          <w:tcPr>
            <w:tcW w:w="284" w:type="dxa"/>
            <w:tcBorders>
              <w:top w:val="nil"/>
              <w:left w:val="nil"/>
              <w:bottom w:val="nil"/>
              <w:right w:val="nil"/>
            </w:tcBorders>
          </w:tcPr>
          <w:p w14:paraId="686CD657" w14:textId="77777777" w:rsidR="003E7A6F" w:rsidRDefault="003E7A6F" w:rsidP="008963A2">
            <w:pPr>
              <w:pStyle w:val="a0"/>
              <w:rPr>
                <w:noProof w:val="0"/>
                <w:rtl/>
              </w:rPr>
            </w:pPr>
            <w:r>
              <w:rPr>
                <w:noProof w:val="0"/>
                <w:rtl/>
              </w:rPr>
              <w:t xml:space="preserve">* * * * * * * * * * </w:t>
            </w:r>
          </w:p>
        </w:tc>
      </w:tr>
      <w:tr w:rsidR="003E7A6F" w14:paraId="374F5A38" w14:textId="77777777" w:rsidTr="008963A2">
        <w:tc>
          <w:tcPr>
            <w:tcW w:w="283" w:type="dxa"/>
            <w:tcBorders>
              <w:top w:val="nil"/>
              <w:left w:val="nil"/>
              <w:bottom w:val="nil"/>
              <w:right w:val="nil"/>
            </w:tcBorders>
          </w:tcPr>
          <w:p w14:paraId="525DA263" w14:textId="77777777" w:rsidR="003E7A6F" w:rsidRDefault="003E7A6F" w:rsidP="008963A2">
            <w:pPr>
              <w:pStyle w:val="a0"/>
              <w:rPr>
                <w:noProof w:val="0"/>
                <w:rtl/>
              </w:rPr>
            </w:pPr>
            <w:r>
              <w:rPr>
                <w:noProof w:val="0"/>
                <w:rtl/>
              </w:rPr>
              <w:t>*</w:t>
            </w:r>
          </w:p>
        </w:tc>
        <w:tc>
          <w:tcPr>
            <w:tcW w:w="4111" w:type="dxa"/>
            <w:tcBorders>
              <w:top w:val="nil"/>
              <w:left w:val="nil"/>
              <w:bottom w:val="nil"/>
              <w:right w:val="nil"/>
            </w:tcBorders>
          </w:tcPr>
          <w:p w14:paraId="6D2B99D6" w14:textId="77777777" w:rsidR="003E7A6F" w:rsidRDefault="003E7A6F" w:rsidP="008963A2">
            <w:pPr>
              <w:pStyle w:val="a0"/>
              <w:ind w:left="-227" w:right="-227"/>
              <w:rPr>
                <w:noProof w:val="0"/>
                <w:rtl/>
              </w:rPr>
            </w:pPr>
            <w:r>
              <w:rPr>
                <w:noProof w:val="0"/>
                <w:rtl/>
              </w:rPr>
              <w:t>***************************************************************</w:t>
            </w:r>
          </w:p>
        </w:tc>
        <w:tc>
          <w:tcPr>
            <w:tcW w:w="284" w:type="dxa"/>
            <w:tcBorders>
              <w:top w:val="nil"/>
              <w:left w:val="nil"/>
              <w:bottom w:val="nil"/>
              <w:right w:val="nil"/>
            </w:tcBorders>
          </w:tcPr>
          <w:p w14:paraId="3CB999D5" w14:textId="77777777" w:rsidR="003E7A6F" w:rsidRDefault="003E7A6F" w:rsidP="008963A2">
            <w:pPr>
              <w:pStyle w:val="a0"/>
              <w:rPr>
                <w:noProof w:val="0"/>
                <w:rtl/>
              </w:rPr>
            </w:pPr>
            <w:r>
              <w:rPr>
                <w:noProof w:val="0"/>
                <w:rtl/>
              </w:rPr>
              <w:t>*</w:t>
            </w:r>
          </w:p>
        </w:tc>
      </w:tr>
    </w:tbl>
    <w:p w14:paraId="7A44E803" w14:textId="77777777" w:rsidR="003E7A6F" w:rsidRDefault="003E7A6F" w:rsidP="003E7A6F">
      <w:pPr>
        <w:rPr>
          <w:sz w:val="21"/>
          <w:rtl/>
        </w:rPr>
      </w:pPr>
    </w:p>
    <w:p w14:paraId="4085BAD8" w14:textId="77777777" w:rsidR="003E7A6F" w:rsidRDefault="003E7A6F" w:rsidP="003E7A6F">
      <w:pPr>
        <w:rPr>
          <w:sz w:val="21"/>
        </w:rPr>
      </w:pPr>
    </w:p>
    <w:p w14:paraId="655DBEC4" w14:textId="77777777" w:rsidR="00063EEA" w:rsidRPr="003E7A6F" w:rsidRDefault="00063EEA" w:rsidP="003E7A6F">
      <w:pPr>
        <w:rPr>
          <w:szCs w:val="20"/>
          <w:rtl/>
        </w:rPr>
      </w:pPr>
    </w:p>
    <w:sectPr w:rsidR="00063EEA" w:rsidRPr="003E7A6F" w:rsidSect="00C640F0">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FB49" w14:textId="77777777" w:rsidR="004D6681" w:rsidRDefault="004D6681" w:rsidP="005F7985">
      <w:pPr>
        <w:spacing w:after="0" w:line="240" w:lineRule="auto"/>
      </w:pPr>
      <w:r>
        <w:separator/>
      </w:r>
    </w:p>
  </w:endnote>
  <w:endnote w:type="continuationSeparator" w:id="0">
    <w:p w14:paraId="19711CA2" w14:textId="77777777" w:rsidR="004D6681" w:rsidRDefault="004D6681"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Miriam">
    <w:altName w:val="Lucida Sans Unicode"/>
    <w:panose1 w:val="020B0502050101010101"/>
    <w:charset w:val="00"/>
    <w:family w:val="swiss"/>
    <w:pitch w:val="variable"/>
    <w:sig w:usb0="00000803" w:usb1="00000000" w:usb2="00000000" w:usb3="00000000" w:csb0="00000021" w:csb1="00000000"/>
  </w:font>
  <w:font w:name="Koren">
    <w:altName w:val="Arial"/>
    <w:panose1 w:val="00000000000000000000"/>
    <w:charset w:val="B1"/>
    <w:family w:val="auto"/>
    <w:notTrueType/>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82E6" w14:textId="77777777" w:rsidR="004D6681" w:rsidRDefault="004D6681" w:rsidP="005F7985">
      <w:pPr>
        <w:spacing w:after="0" w:line="240" w:lineRule="auto"/>
      </w:pPr>
      <w:r>
        <w:separator/>
      </w:r>
    </w:p>
  </w:footnote>
  <w:footnote w:type="continuationSeparator" w:id="0">
    <w:p w14:paraId="4782DD02" w14:textId="77777777" w:rsidR="004D6681" w:rsidRDefault="004D6681" w:rsidP="005F7985">
      <w:pPr>
        <w:spacing w:after="0" w:line="240" w:lineRule="auto"/>
      </w:pPr>
      <w:r>
        <w:continuationSeparator/>
      </w:r>
    </w:p>
  </w:footnote>
  <w:footnote w:id="1">
    <w:p w14:paraId="4D3A2308" w14:textId="334FBE3E" w:rsidR="003E7A6F" w:rsidRDefault="003E7A6F" w:rsidP="003E7A6F">
      <w:pPr>
        <w:pStyle w:val="FootnoteText"/>
      </w:pPr>
      <w:r>
        <w:rPr>
          <w:rStyle w:val="FootnoteReference"/>
          <w:rFonts w:ascii="Times New Roman" w:eastAsiaTheme="majorEastAsia" w:hAnsi="Times New Roman"/>
          <w:rtl/>
        </w:rPr>
        <w:t>*</w:t>
      </w:r>
      <w:r>
        <w:rPr>
          <w:rtl/>
        </w:rPr>
        <w:t xml:space="preserve"> השיחה נערכה מתוך מאמר מפורט הרבה יותר, הן במשא ומתן ההלכתי והן במסר המחשבתי, שהופיע בספר 'וכתב לו – קובץ מאמרים על פרשות השבוע', בעריכת יוסף </w:t>
      </w:r>
      <w:proofErr w:type="spellStart"/>
      <w:r>
        <w:rPr>
          <w:rtl/>
        </w:rPr>
        <w:t>קלמנוביץ</w:t>
      </w:r>
      <w:proofErr w:type="spellEnd"/>
      <w:r>
        <w:rPr>
          <w:rtl/>
        </w:rPr>
        <w:t xml:space="preserve">', אלון שבות תשס"ח; וכן </w:t>
      </w:r>
      <w:r w:rsidRPr="00F05A36">
        <w:rPr>
          <w:rtl/>
        </w:rPr>
        <w:t>ב"</w:t>
      </w:r>
      <w:hyperlink r:id="rId1" w:history="1">
        <w:r w:rsidRPr="007102A1">
          <w:rPr>
            <w:rStyle w:val="Hyperlink"/>
            <w:rtl/>
          </w:rPr>
          <w:t xml:space="preserve">עלון שבות בוגרים" </w:t>
        </w:r>
        <w:proofErr w:type="spellStart"/>
        <w:r w:rsidRPr="007102A1">
          <w:rPr>
            <w:rStyle w:val="Hyperlink"/>
            <w:rtl/>
          </w:rPr>
          <w:t>כג</w:t>
        </w:r>
        <w:proofErr w:type="spellEnd"/>
        <w:r w:rsidRPr="007102A1">
          <w:rPr>
            <w:rStyle w:val="Hyperlink"/>
            <w:rtl/>
          </w:rPr>
          <w:t>, כסליו תשס"ט</w:t>
        </w:r>
        <w:r w:rsidR="007102A1" w:rsidRPr="007102A1">
          <w:rPr>
            <w:rStyle w:val="Hyperlink"/>
            <w:rFonts w:hint="cs"/>
            <w:rtl/>
          </w:rPr>
          <w:t>, דפים 167-172</w:t>
        </w:r>
      </w:hyperlink>
      <w:r w:rsidRPr="00F05A36">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0409" w14:textId="77777777" w:rsidR="009C2F55" w:rsidRDefault="009C2F55">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E85B25">
      <w:rPr>
        <w:b/>
        <w:bCs/>
        <w:noProof/>
        <w:sz w:val="21"/>
        <w:rtl/>
      </w:rPr>
      <w:t>3</w:t>
    </w:r>
    <w:r>
      <w:rPr>
        <w:b/>
        <w:bCs/>
        <w:sz w:val="21"/>
        <w:rtl/>
      </w:rPr>
      <w:fldChar w:fldCharType="end"/>
    </w:r>
    <w:r>
      <w:rPr>
        <w:b/>
        <w:bCs/>
        <w:sz w:val="21"/>
        <w:rtl/>
      </w:rPr>
      <w:t xml:space="preserve"> -</w:t>
    </w:r>
  </w:p>
  <w:p w14:paraId="7A28B74A" w14:textId="77777777" w:rsidR="009C2F55" w:rsidRDefault="009C2F55"/>
  <w:p w14:paraId="070C92EA" w14:textId="77777777" w:rsidR="00A21DE3" w:rsidRDefault="00A21DE3"/>
  <w:p w14:paraId="086CC665" w14:textId="77777777" w:rsidR="00B47D28" w:rsidRDefault="00B47D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14:paraId="0FE2E1AD" w14:textId="77777777">
      <w:tc>
        <w:tcPr>
          <w:tcW w:w="4927" w:type="dxa"/>
          <w:tcBorders>
            <w:top w:val="nil"/>
            <w:left w:val="nil"/>
            <w:bottom w:val="double" w:sz="4" w:space="0" w:color="auto"/>
            <w:right w:val="nil"/>
          </w:tcBorders>
        </w:tcPr>
        <w:p w14:paraId="3C838C0B" w14:textId="77777777" w:rsidR="009C2F55" w:rsidRDefault="009C2F55">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1DA04E20" w14:textId="77777777" w:rsidR="009C2F55" w:rsidRDefault="009C2F55">
          <w:pPr>
            <w:pStyle w:val="Header"/>
            <w:tabs>
              <w:tab w:val="clear" w:pos="4153"/>
              <w:tab w:val="clear" w:pos="8306"/>
              <w:tab w:val="center" w:pos="4818"/>
              <w:tab w:val="right" w:pos="8220"/>
            </w:tabs>
            <w:spacing w:after="0"/>
            <w:rPr>
              <w:sz w:val="21"/>
              <w:rtl/>
            </w:rPr>
          </w:pPr>
          <w:r>
            <w:rPr>
              <w:sz w:val="21"/>
              <w:rtl/>
            </w:rPr>
            <w:t>שליד ישיבת הר עציון</w:t>
          </w:r>
        </w:p>
        <w:p w14:paraId="29E1EA15" w14:textId="77777777" w:rsidR="009C2F55" w:rsidRDefault="009C2F55">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5ADDF3E8" w14:textId="77777777" w:rsidR="009C2F55" w:rsidRDefault="009C2F55">
          <w:pPr>
            <w:pStyle w:val="Header"/>
            <w:tabs>
              <w:tab w:val="clear" w:pos="4153"/>
              <w:tab w:val="clear" w:pos="8306"/>
              <w:tab w:val="right" w:pos="8220"/>
            </w:tabs>
            <w:bidi w:val="0"/>
            <w:spacing w:after="0" w:line="240" w:lineRule="auto"/>
            <w:jc w:val="left"/>
            <w:rPr>
              <w:sz w:val="28"/>
            </w:rPr>
          </w:pPr>
          <w:r>
            <w:rPr>
              <w:b/>
              <w:bCs/>
              <w:sz w:val="28"/>
            </w:rPr>
            <w:t>www.etzion.org.il/vbm</w:t>
          </w:r>
        </w:p>
      </w:tc>
    </w:tr>
  </w:tbl>
  <w:p w14:paraId="0DF86DE3" w14:textId="77777777" w:rsidR="009C2F55" w:rsidRDefault="009C2F55">
    <w:pPr>
      <w:pStyle w:val="Header"/>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85"/>
    <w:rsid w:val="0000753D"/>
    <w:rsid w:val="00015A32"/>
    <w:rsid w:val="00016FCE"/>
    <w:rsid w:val="00027C39"/>
    <w:rsid w:val="000303B0"/>
    <w:rsid w:val="000374AF"/>
    <w:rsid w:val="000430A9"/>
    <w:rsid w:val="000438F6"/>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C3273"/>
    <w:rsid w:val="001C5C2A"/>
    <w:rsid w:val="001D4338"/>
    <w:rsid w:val="001E62F2"/>
    <w:rsid w:val="001E7C01"/>
    <w:rsid w:val="001F137C"/>
    <w:rsid w:val="001F54D5"/>
    <w:rsid w:val="00210210"/>
    <w:rsid w:val="0022004E"/>
    <w:rsid w:val="00223934"/>
    <w:rsid w:val="002309DD"/>
    <w:rsid w:val="00236711"/>
    <w:rsid w:val="0024302E"/>
    <w:rsid w:val="0026116C"/>
    <w:rsid w:val="00261762"/>
    <w:rsid w:val="002636B3"/>
    <w:rsid w:val="00272817"/>
    <w:rsid w:val="00277A35"/>
    <w:rsid w:val="002835DC"/>
    <w:rsid w:val="00283A2C"/>
    <w:rsid w:val="0028771E"/>
    <w:rsid w:val="002937E7"/>
    <w:rsid w:val="002A394A"/>
    <w:rsid w:val="002B30DB"/>
    <w:rsid w:val="002B41A6"/>
    <w:rsid w:val="002D06F7"/>
    <w:rsid w:val="002D3217"/>
    <w:rsid w:val="002E206A"/>
    <w:rsid w:val="002E32BC"/>
    <w:rsid w:val="002E5F98"/>
    <w:rsid w:val="00307943"/>
    <w:rsid w:val="0031173D"/>
    <w:rsid w:val="00313557"/>
    <w:rsid w:val="00314F87"/>
    <w:rsid w:val="00315192"/>
    <w:rsid w:val="0033127E"/>
    <w:rsid w:val="00335C84"/>
    <w:rsid w:val="00353E96"/>
    <w:rsid w:val="00354A84"/>
    <w:rsid w:val="0036450E"/>
    <w:rsid w:val="003654A9"/>
    <w:rsid w:val="0036691E"/>
    <w:rsid w:val="00367E4F"/>
    <w:rsid w:val="00371F00"/>
    <w:rsid w:val="00380328"/>
    <w:rsid w:val="00380C74"/>
    <w:rsid w:val="003904BF"/>
    <w:rsid w:val="00396C00"/>
    <w:rsid w:val="003A1414"/>
    <w:rsid w:val="003B054A"/>
    <w:rsid w:val="003B20FB"/>
    <w:rsid w:val="003B253E"/>
    <w:rsid w:val="003B5ED9"/>
    <w:rsid w:val="003C5E39"/>
    <w:rsid w:val="003E0543"/>
    <w:rsid w:val="003E768B"/>
    <w:rsid w:val="003E7A6F"/>
    <w:rsid w:val="003F7890"/>
    <w:rsid w:val="00402C36"/>
    <w:rsid w:val="00403308"/>
    <w:rsid w:val="004157B5"/>
    <w:rsid w:val="00424AE4"/>
    <w:rsid w:val="004343EC"/>
    <w:rsid w:val="004360C9"/>
    <w:rsid w:val="00436494"/>
    <w:rsid w:val="00437075"/>
    <w:rsid w:val="004371D5"/>
    <w:rsid w:val="00453A8D"/>
    <w:rsid w:val="00455395"/>
    <w:rsid w:val="004575BF"/>
    <w:rsid w:val="00462206"/>
    <w:rsid w:val="004721A4"/>
    <w:rsid w:val="0048126C"/>
    <w:rsid w:val="004829C8"/>
    <w:rsid w:val="004907FA"/>
    <w:rsid w:val="0049270B"/>
    <w:rsid w:val="004940DD"/>
    <w:rsid w:val="00495D14"/>
    <w:rsid w:val="00496FA8"/>
    <w:rsid w:val="00497747"/>
    <w:rsid w:val="00497DA1"/>
    <w:rsid w:val="004A3E27"/>
    <w:rsid w:val="004C2D5D"/>
    <w:rsid w:val="004D6681"/>
    <w:rsid w:val="00500AE4"/>
    <w:rsid w:val="00505A47"/>
    <w:rsid w:val="005149C3"/>
    <w:rsid w:val="00530587"/>
    <w:rsid w:val="00543BFF"/>
    <w:rsid w:val="00544704"/>
    <w:rsid w:val="00553804"/>
    <w:rsid w:val="00556D4D"/>
    <w:rsid w:val="005647CD"/>
    <w:rsid w:val="00586435"/>
    <w:rsid w:val="0059716D"/>
    <w:rsid w:val="005A6DA7"/>
    <w:rsid w:val="005B0EF7"/>
    <w:rsid w:val="005B76C2"/>
    <w:rsid w:val="005D314E"/>
    <w:rsid w:val="005D6110"/>
    <w:rsid w:val="005E1B28"/>
    <w:rsid w:val="005E44BA"/>
    <w:rsid w:val="005F7985"/>
    <w:rsid w:val="006031AD"/>
    <w:rsid w:val="006064E4"/>
    <w:rsid w:val="0061649C"/>
    <w:rsid w:val="006250E1"/>
    <w:rsid w:val="00626975"/>
    <w:rsid w:val="00626B50"/>
    <w:rsid w:val="00626F51"/>
    <w:rsid w:val="0062740D"/>
    <w:rsid w:val="00640807"/>
    <w:rsid w:val="006569CA"/>
    <w:rsid w:val="00676A7C"/>
    <w:rsid w:val="00683AD6"/>
    <w:rsid w:val="0068488F"/>
    <w:rsid w:val="00691F33"/>
    <w:rsid w:val="006B1EF3"/>
    <w:rsid w:val="006B332C"/>
    <w:rsid w:val="006D261B"/>
    <w:rsid w:val="006D639A"/>
    <w:rsid w:val="006E3C75"/>
    <w:rsid w:val="0070000E"/>
    <w:rsid w:val="00702C02"/>
    <w:rsid w:val="00704261"/>
    <w:rsid w:val="00707A86"/>
    <w:rsid w:val="007102A1"/>
    <w:rsid w:val="007176D1"/>
    <w:rsid w:val="00723DC8"/>
    <w:rsid w:val="00757250"/>
    <w:rsid w:val="007611E7"/>
    <w:rsid w:val="00761580"/>
    <w:rsid w:val="0077023A"/>
    <w:rsid w:val="0077090A"/>
    <w:rsid w:val="00773F69"/>
    <w:rsid w:val="00786FDD"/>
    <w:rsid w:val="007873C0"/>
    <w:rsid w:val="00790A2F"/>
    <w:rsid w:val="00791356"/>
    <w:rsid w:val="00792C2B"/>
    <w:rsid w:val="007A6AB1"/>
    <w:rsid w:val="007B3547"/>
    <w:rsid w:val="007C5FA6"/>
    <w:rsid w:val="007D63B1"/>
    <w:rsid w:val="007E7500"/>
    <w:rsid w:val="007E79DC"/>
    <w:rsid w:val="007F0C6C"/>
    <w:rsid w:val="007F4E71"/>
    <w:rsid w:val="00807830"/>
    <w:rsid w:val="00812012"/>
    <w:rsid w:val="00813980"/>
    <w:rsid w:val="00814A2F"/>
    <w:rsid w:val="00823567"/>
    <w:rsid w:val="00832F77"/>
    <w:rsid w:val="00835345"/>
    <w:rsid w:val="00850598"/>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15D9"/>
    <w:rsid w:val="0093325C"/>
    <w:rsid w:val="00935B08"/>
    <w:rsid w:val="00942ABC"/>
    <w:rsid w:val="00954200"/>
    <w:rsid w:val="00955961"/>
    <w:rsid w:val="00957A09"/>
    <w:rsid w:val="00970825"/>
    <w:rsid w:val="00975E80"/>
    <w:rsid w:val="0098126F"/>
    <w:rsid w:val="009A4C0C"/>
    <w:rsid w:val="009B5E32"/>
    <w:rsid w:val="009B70F2"/>
    <w:rsid w:val="009C2F55"/>
    <w:rsid w:val="009C6C3A"/>
    <w:rsid w:val="009E6F74"/>
    <w:rsid w:val="009F0CFF"/>
    <w:rsid w:val="009F1F91"/>
    <w:rsid w:val="009F301F"/>
    <w:rsid w:val="009F32DA"/>
    <w:rsid w:val="00A03E61"/>
    <w:rsid w:val="00A17CC0"/>
    <w:rsid w:val="00A17E19"/>
    <w:rsid w:val="00A21DE3"/>
    <w:rsid w:val="00A35DEA"/>
    <w:rsid w:val="00A432CE"/>
    <w:rsid w:val="00A443AC"/>
    <w:rsid w:val="00A55913"/>
    <w:rsid w:val="00A67BCC"/>
    <w:rsid w:val="00A84C56"/>
    <w:rsid w:val="00A9321B"/>
    <w:rsid w:val="00AB11ED"/>
    <w:rsid w:val="00AC4207"/>
    <w:rsid w:val="00AD12E5"/>
    <w:rsid w:val="00AD4303"/>
    <w:rsid w:val="00AD521A"/>
    <w:rsid w:val="00AE1BD0"/>
    <w:rsid w:val="00AE33CD"/>
    <w:rsid w:val="00B2236F"/>
    <w:rsid w:val="00B243F4"/>
    <w:rsid w:val="00B24B5A"/>
    <w:rsid w:val="00B40D5E"/>
    <w:rsid w:val="00B47D28"/>
    <w:rsid w:val="00B5602D"/>
    <w:rsid w:val="00B65D5E"/>
    <w:rsid w:val="00B7243D"/>
    <w:rsid w:val="00B82F4A"/>
    <w:rsid w:val="00B86A06"/>
    <w:rsid w:val="00B90183"/>
    <w:rsid w:val="00B92A67"/>
    <w:rsid w:val="00BA7870"/>
    <w:rsid w:val="00BB379F"/>
    <w:rsid w:val="00BB44B6"/>
    <w:rsid w:val="00BB69EE"/>
    <w:rsid w:val="00BB7767"/>
    <w:rsid w:val="00BC6A3D"/>
    <w:rsid w:val="00BC7C5F"/>
    <w:rsid w:val="00BD32A3"/>
    <w:rsid w:val="00BD38AD"/>
    <w:rsid w:val="00BE1240"/>
    <w:rsid w:val="00C14C5A"/>
    <w:rsid w:val="00C22ED5"/>
    <w:rsid w:val="00C25383"/>
    <w:rsid w:val="00C42983"/>
    <w:rsid w:val="00C640F0"/>
    <w:rsid w:val="00C65157"/>
    <w:rsid w:val="00C66FF3"/>
    <w:rsid w:val="00C955E8"/>
    <w:rsid w:val="00CA3B41"/>
    <w:rsid w:val="00CB11E4"/>
    <w:rsid w:val="00CB2527"/>
    <w:rsid w:val="00CB5419"/>
    <w:rsid w:val="00CB73CC"/>
    <w:rsid w:val="00CC12A9"/>
    <w:rsid w:val="00CC778C"/>
    <w:rsid w:val="00CD78AB"/>
    <w:rsid w:val="00CE05E0"/>
    <w:rsid w:val="00CF363C"/>
    <w:rsid w:val="00D0672F"/>
    <w:rsid w:val="00D1518B"/>
    <w:rsid w:val="00D2370C"/>
    <w:rsid w:val="00D24061"/>
    <w:rsid w:val="00D61E80"/>
    <w:rsid w:val="00D67878"/>
    <w:rsid w:val="00D70DEE"/>
    <w:rsid w:val="00D7436F"/>
    <w:rsid w:val="00D74DD2"/>
    <w:rsid w:val="00D823B6"/>
    <w:rsid w:val="00D84328"/>
    <w:rsid w:val="00D9250D"/>
    <w:rsid w:val="00D92A75"/>
    <w:rsid w:val="00DA06A2"/>
    <w:rsid w:val="00DB03E7"/>
    <w:rsid w:val="00DB0EBF"/>
    <w:rsid w:val="00DB381D"/>
    <w:rsid w:val="00DD011C"/>
    <w:rsid w:val="00DD02C6"/>
    <w:rsid w:val="00DD18B2"/>
    <w:rsid w:val="00DE513B"/>
    <w:rsid w:val="00DF30CA"/>
    <w:rsid w:val="00DF6814"/>
    <w:rsid w:val="00E167FB"/>
    <w:rsid w:val="00E20BA6"/>
    <w:rsid w:val="00E224F2"/>
    <w:rsid w:val="00E25C0D"/>
    <w:rsid w:val="00E35733"/>
    <w:rsid w:val="00E35D6C"/>
    <w:rsid w:val="00E43405"/>
    <w:rsid w:val="00E46548"/>
    <w:rsid w:val="00E46B4B"/>
    <w:rsid w:val="00E50379"/>
    <w:rsid w:val="00E64DA3"/>
    <w:rsid w:val="00E71454"/>
    <w:rsid w:val="00E71C56"/>
    <w:rsid w:val="00E77ACB"/>
    <w:rsid w:val="00E82DA9"/>
    <w:rsid w:val="00E85B25"/>
    <w:rsid w:val="00EA205A"/>
    <w:rsid w:val="00EA261D"/>
    <w:rsid w:val="00EA3490"/>
    <w:rsid w:val="00EA5BE2"/>
    <w:rsid w:val="00EB4E02"/>
    <w:rsid w:val="00EC00C3"/>
    <w:rsid w:val="00EC271E"/>
    <w:rsid w:val="00EC5312"/>
    <w:rsid w:val="00ED42F9"/>
    <w:rsid w:val="00ED4A9E"/>
    <w:rsid w:val="00ED4AE0"/>
    <w:rsid w:val="00EF3CF6"/>
    <w:rsid w:val="00F01291"/>
    <w:rsid w:val="00F172E6"/>
    <w:rsid w:val="00F25953"/>
    <w:rsid w:val="00F4298A"/>
    <w:rsid w:val="00F47DE4"/>
    <w:rsid w:val="00F53A54"/>
    <w:rsid w:val="00F55AAC"/>
    <w:rsid w:val="00F56F23"/>
    <w:rsid w:val="00F73661"/>
    <w:rsid w:val="00F81084"/>
    <w:rsid w:val="00F92DDA"/>
    <w:rsid w:val="00F9705F"/>
    <w:rsid w:val="00FA6FEC"/>
    <w:rsid w:val="00FB1EFB"/>
    <w:rsid w:val="00FC0A4E"/>
    <w:rsid w:val="00FC6AF8"/>
    <w:rsid w:val="00FC7F6C"/>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777D"/>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C640F0"/>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C640F0"/>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uiPriority w:val="99"/>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UnresolvedMention">
    <w:name w:val="Unresolved Mention"/>
    <w:basedOn w:val="DefaultParagraphFont"/>
    <w:uiPriority w:val="99"/>
    <w:semiHidden/>
    <w:unhideWhenUsed/>
    <w:rsid w:val="00710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tzion.org.il/vbm/unsubscribe.php" TargetMode="External"/><Relationship Id="rId4" Type="http://schemas.openxmlformats.org/officeDocument/2006/relationships/webSettings" Target="webSettings.xml"/><Relationship Id="rId9" Type="http://schemas.openxmlformats.org/officeDocument/2006/relationships/hyperlink" Target="mailto:office@etzion.org.i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tzion.org.il/he/philosophy/great-thinkers/harav-aharon-lichtenstein/%D7%93%D7%91%D7%A8%D7%99-%D7%A4%D7%A8%D7%99%D7%93%D7%94-%D7%9E%D7%91%D7%95%D7%92%D7%A8%D7%99%D7%A0%D7%9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6037</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user</cp:lastModifiedBy>
  <cp:revision>2</cp:revision>
  <dcterms:created xsi:type="dcterms:W3CDTF">2023-08-20T10:47:00Z</dcterms:created>
  <dcterms:modified xsi:type="dcterms:W3CDTF">2023-08-20T10:47:00Z</dcterms:modified>
</cp:coreProperties>
</file>