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8A" w:rsidRPr="00C1023C" w:rsidRDefault="0093798A" w:rsidP="0093798A">
      <w:pPr>
        <w:pStyle w:val="ad"/>
        <w:tabs>
          <w:tab w:val="right" w:pos="4620"/>
        </w:tabs>
        <w:rPr>
          <w:sz w:val="26"/>
          <w:szCs w:val="26"/>
          <w:rtl/>
        </w:rPr>
      </w:pPr>
      <w:r w:rsidRPr="00C1023C">
        <w:rPr>
          <w:sz w:val="26"/>
          <w:szCs w:val="26"/>
          <w:rtl/>
        </w:rPr>
        <w:t xml:space="preserve">הרב </w:t>
      </w:r>
      <w:r>
        <w:rPr>
          <w:rFonts w:hint="cs"/>
          <w:sz w:val="26"/>
          <w:szCs w:val="26"/>
          <w:rtl/>
        </w:rPr>
        <w:t xml:space="preserve">משה ליכטנשטיין </w:t>
      </w:r>
      <w:proofErr w:type="spellStart"/>
      <w:r>
        <w:rPr>
          <w:rFonts w:hint="cs"/>
          <w:sz w:val="26"/>
          <w:szCs w:val="26"/>
          <w:rtl/>
        </w:rPr>
        <w:t>שליט"א</w:t>
      </w:r>
      <w:proofErr w:type="spellEnd"/>
    </w:p>
    <w:p w:rsidR="0093798A" w:rsidRPr="00C1023C" w:rsidRDefault="0093798A" w:rsidP="0093798A">
      <w:pPr>
        <w:pStyle w:val="ad"/>
        <w:tabs>
          <w:tab w:val="right" w:pos="4620"/>
        </w:tabs>
        <w:rPr>
          <w:sz w:val="26"/>
          <w:szCs w:val="26"/>
          <w:rtl/>
        </w:rPr>
      </w:pPr>
      <w:r w:rsidRPr="00C1023C">
        <w:rPr>
          <w:sz w:val="26"/>
          <w:szCs w:val="26"/>
          <w:rtl/>
        </w:rPr>
        <w:t xml:space="preserve">שיחה </w:t>
      </w:r>
      <w:r w:rsidRPr="00C1023C">
        <w:rPr>
          <w:rFonts w:hint="cs"/>
          <w:sz w:val="26"/>
          <w:szCs w:val="26"/>
          <w:rtl/>
        </w:rPr>
        <w:t xml:space="preserve">לפרשת </w:t>
      </w:r>
      <w:r>
        <w:rPr>
          <w:rFonts w:hint="cs"/>
          <w:sz w:val="26"/>
          <w:szCs w:val="26"/>
          <w:rtl/>
        </w:rPr>
        <w:t xml:space="preserve">כי </w:t>
      </w:r>
      <w:proofErr w:type="spellStart"/>
      <w:r>
        <w:rPr>
          <w:rFonts w:hint="cs"/>
          <w:sz w:val="26"/>
          <w:szCs w:val="26"/>
          <w:rtl/>
        </w:rPr>
        <w:t>תשא</w:t>
      </w:r>
      <w:proofErr w:type="spellEnd"/>
    </w:p>
    <w:p w:rsidR="0093798A" w:rsidRPr="00C1023C" w:rsidRDefault="0093798A" w:rsidP="0093798A">
      <w:pPr>
        <w:pStyle w:val="1"/>
        <w:tabs>
          <w:tab w:val="right" w:pos="4620"/>
        </w:tabs>
        <w:rPr>
          <w:sz w:val="22"/>
          <w:szCs w:val="46"/>
          <w:rtl/>
        </w:rPr>
      </w:pPr>
      <w:bookmarkStart w:id="0" w:name="OLE_LINK1"/>
      <w:r>
        <w:rPr>
          <w:rFonts w:hint="cs"/>
          <w:sz w:val="38"/>
          <w:szCs w:val="38"/>
          <w:rtl/>
        </w:rPr>
        <w:t>"ולא יהיה בהם נגף בפקוד אותם"</w:t>
      </w:r>
      <w:r w:rsidRPr="00C1023C">
        <w:rPr>
          <w:rStyle w:val="aa"/>
          <w:rFonts w:eastAsiaTheme="majorEastAsia"/>
          <w:szCs w:val="20"/>
          <w:rtl/>
        </w:rPr>
        <w:footnoteReference w:customMarkFollows="1" w:id="1"/>
        <w:t>*</w:t>
      </w:r>
    </w:p>
    <w:p w:rsidR="0093798A" w:rsidRPr="00AB11A1" w:rsidRDefault="0093798A" w:rsidP="0093798A">
      <w:pPr>
        <w:pStyle w:val="2"/>
        <w:tabs>
          <w:tab w:val="right" w:pos="4620"/>
        </w:tabs>
        <w:rPr>
          <w:rtl/>
        </w:rPr>
      </w:pPr>
      <w:r>
        <w:rPr>
          <w:rFonts w:hint="cs"/>
          <w:rtl/>
        </w:rPr>
        <w:t xml:space="preserve">מניין העם </w:t>
      </w:r>
      <w:r>
        <w:rPr>
          <w:rtl/>
        </w:rPr>
        <w:t>–</w:t>
      </w:r>
      <w:r>
        <w:rPr>
          <w:rFonts w:hint="cs"/>
          <w:rtl/>
        </w:rPr>
        <w:t xml:space="preserve"> חיובי או שלילי?</w:t>
      </w:r>
    </w:p>
    <w:p w:rsidR="0093798A" w:rsidRDefault="0093798A" w:rsidP="0093798A">
      <w:pPr>
        <w:tabs>
          <w:tab w:val="right" w:pos="4620"/>
        </w:tabs>
        <w:rPr>
          <w:rtl/>
        </w:rPr>
      </w:pPr>
      <w:r>
        <w:rPr>
          <w:rFonts w:hint="cs"/>
          <w:rtl/>
        </w:rPr>
        <w:t xml:space="preserve">הפרשה פותחת: </w:t>
      </w:r>
    </w:p>
    <w:p w:rsidR="0093798A" w:rsidRDefault="0093798A" w:rsidP="00EC4407">
      <w:pPr>
        <w:pStyle w:val="a4"/>
        <w:rPr>
          <w:rtl/>
        </w:rPr>
      </w:pPr>
      <w:r>
        <w:rPr>
          <w:rFonts w:hint="cs"/>
          <w:rtl/>
        </w:rPr>
        <w:t>"</w:t>
      </w:r>
      <w:r>
        <w:rPr>
          <w:rtl/>
        </w:rPr>
        <w:t xml:space="preserve">וַיְדַבֵּר ה' אֶל מֹשֶׁה </w:t>
      </w:r>
      <w:proofErr w:type="spellStart"/>
      <w:r>
        <w:rPr>
          <w:rtl/>
        </w:rPr>
        <w:t>לֵּאמֹר</w:t>
      </w:r>
      <w:proofErr w:type="spellEnd"/>
      <w:r>
        <w:rPr>
          <w:rtl/>
        </w:rPr>
        <w:t xml:space="preserve">: כִּי </w:t>
      </w:r>
      <w:proofErr w:type="spellStart"/>
      <w:r>
        <w:rPr>
          <w:rtl/>
        </w:rPr>
        <w:t>תִשָּׂא</w:t>
      </w:r>
      <w:proofErr w:type="spellEnd"/>
      <w:r>
        <w:rPr>
          <w:rtl/>
        </w:rPr>
        <w:t xml:space="preserve"> אֶת רֹאשׁ בְּנֵי יִשְׂרָאֵל לִפְקֻדֵיהֶם וְנָתְנוּ אִישׁ כֹּפֶר נַפְשׁוֹ לַה' בִּפְקֹד אֹתָם וְלֹא יִהְיֶה בָהֶם נֶגֶף בִּפְקֹד אֹתָם: זֶה יִתְּנוּ כָּל הָעֹבֵר עַל הַפְּקֻדִים מַחֲצִית הַשֶּׁקֶל בְּשֶׁקֶל הַקֹּדֶשׁ עֶשְׂרִים גֵּרָה הַשֶּׁקֶל מַחֲצִית הַשֶּׁקֶל תְּרוּמָה לַה'</w:t>
      </w:r>
      <w:r>
        <w:rPr>
          <w:rFonts w:hint="cs"/>
          <w:rtl/>
        </w:rPr>
        <w:t>"</w:t>
      </w:r>
    </w:p>
    <w:p w:rsidR="0093798A" w:rsidRDefault="0093798A" w:rsidP="00EC4407">
      <w:pPr>
        <w:pStyle w:val="5"/>
        <w:rPr>
          <w:rtl/>
        </w:rPr>
      </w:pPr>
      <w:r>
        <w:rPr>
          <w:rtl/>
        </w:rPr>
        <w:tab/>
      </w:r>
      <w:r w:rsidRPr="00034997">
        <w:rPr>
          <w:rFonts w:hint="cs"/>
          <w:rtl/>
        </w:rPr>
        <w:t>(שמות ל', יא-יד)</w:t>
      </w:r>
    </w:p>
    <w:p w:rsidR="0093798A" w:rsidRDefault="0093798A" w:rsidP="0093798A">
      <w:pPr>
        <w:tabs>
          <w:tab w:val="right" w:pos="4620"/>
        </w:tabs>
        <w:rPr>
          <w:rtl/>
        </w:rPr>
      </w:pPr>
      <w:r>
        <w:rPr>
          <w:rFonts w:hint="cs"/>
          <w:rtl/>
        </w:rPr>
        <w:t>רש"י על אתר מביא את דברי המדרש:</w:t>
      </w:r>
    </w:p>
    <w:p w:rsidR="0093798A" w:rsidRDefault="0093798A" w:rsidP="00EC4407">
      <w:pPr>
        <w:pStyle w:val="a4"/>
        <w:rPr>
          <w:rtl/>
        </w:rPr>
      </w:pPr>
      <w:r>
        <w:rPr>
          <w:rFonts w:hint="cs"/>
          <w:rtl/>
        </w:rPr>
        <w:t>"</w:t>
      </w:r>
      <w:r>
        <w:rPr>
          <w:rtl/>
        </w:rPr>
        <w:t xml:space="preserve">כי </w:t>
      </w:r>
      <w:proofErr w:type="spellStart"/>
      <w:r>
        <w:rPr>
          <w:rtl/>
        </w:rPr>
        <w:t>תשא</w:t>
      </w:r>
      <w:proofErr w:type="spellEnd"/>
      <w:r>
        <w:rPr>
          <w:rtl/>
        </w:rPr>
        <w:t xml:space="preserve"> – לשון קבלה, כתרגומו, כשתחפוץ לקבל סכום </w:t>
      </w:r>
      <w:proofErr w:type="spellStart"/>
      <w:r>
        <w:rPr>
          <w:rtl/>
        </w:rPr>
        <w:t>מנינם</w:t>
      </w:r>
      <w:proofErr w:type="spellEnd"/>
      <w:r>
        <w:rPr>
          <w:rtl/>
        </w:rPr>
        <w:t xml:space="preserve"> לדעת כמה הם, אל תמנם </w:t>
      </w:r>
      <w:proofErr w:type="spellStart"/>
      <w:r>
        <w:rPr>
          <w:rtl/>
        </w:rPr>
        <w:t>לגלגולת</w:t>
      </w:r>
      <w:proofErr w:type="spellEnd"/>
      <w:r>
        <w:rPr>
          <w:rtl/>
        </w:rPr>
        <w:t xml:space="preserve">, אלא יתנו כל אחד מחצית השקל ותמנה את השקלים ותדע </w:t>
      </w:r>
      <w:proofErr w:type="spellStart"/>
      <w:r>
        <w:rPr>
          <w:rtl/>
        </w:rPr>
        <w:t>מנינם</w:t>
      </w:r>
      <w:proofErr w:type="spellEnd"/>
      <w:r>
        <w:rPr>
          <w:rFonts w:hint="cs"/>
          <w:rtl/>
        </w:rPr>
        <w:t>.</w:t>
      </w:r>
    </w:p>
    <w:p w:rsidR="0093798A" w:rsidRDefault="0093798A" w:rsidP="00EC4407">
      <w:pPr>
        <w:pStyle w:val="a4"/>
        <w:rPr>
          <w:rtl/>
        </w:rPr>
      </w:pPr>
      <w:r>
        <w:rPr>
          <w:rtl/>
        </w:rPr>
        <w:t xml:space="preserve">ולא יהיה בהם נגף – </w:t>
      </w:r>
      <w:proofErr w:type="spellStart"/>
      <w:r>
        <w:rPr>
          <w:rtl/>
        </w:rPr>
        <w:t>שהמנין</w:t>
      </w:r>
      <w:proofErr w:type="spellEnd"/>
      <w:r>
        <w:rPr>
          <w:rtl/>
        </w:rPr>
        <w:t xml:space="preserve"> שולט בו עין הרע והדבר בא עליהם, כמו </w:t>
      </w:r>
      <w:proofErr w:type="spellStart"/>
      <w:r>
        <w:rPr>
          <w:rtl/>
        </w:rPr>
        <w:t>שמצינו</w:t>
      </w:r>
      <w:proofErr w:type="spellEnd"/>
      <w:r>
        <w:rPr>
          <w:rtl/>
        </w:rPr>
        <w:t xml:space="preserve"> בימי דוד</w:t>
      </w:r>
      <w:r>
        <w:rPr>
          <w:rFonts w:hint="cs"/>
          <w:rtl/>
        </w:rPr>
        <w:t>".</w:t>
      </w:r>
    </w:p>
    <w:p w:rsidR="0093798A" w:rsidRDefault="0093798A" w:rsidP="0093798A">
      <w:pPr>
        <w:tabs>
          <w:tab w:val="right" w:pos="4620"/>
        </w:tabs>
        <w:rPr>
          <w:rtl/>
        </w:rPr>
      </w:pPr>
      <w:proofErr w:type="spellStart"/>
      <w:r>
        <w:rPr>
          <w:rFonts w:hint="cs"/>
          <w:rtl/>
        </w:rPr>
        <w:t>לאמר</w:t>
      </w:r>
      <w:proofErr w:type="spellEnd"/>
      <w:r>
        <w:rPr>
          <w:rFonts w:hint="cs"/>
          <w:rtl/>
        </w:rPr>
        <w:t>, במניית עם ישראל ישנו חשש, ולכן יש למנות אותם באמצעות מטבעות מחצית השקל.</w:t>
      </w:r>
    </w:p>
    <w:p w:rsidR="0093798A" w:rsidRDefault="0093798A" w:rsidP="0093798A">
      <w:pPr>
        <w:tabs>
          <w:tab w:val="right" w:pos="4620"/>
        </w:tabs>
        <w:rPr>
          <w:rtl/>
        </w:rPr>
      </w:pPr>
      <w:r>
        <w:rPr>
          <w:rFonts w:hint="cs"/>
          <w:rtl/>
        </w:rPr>
        <w:t>אך מצד שני, מצאנו בגמרא מדרש בעל כיוון שונה:</w:t>
      </w:r>
    </w:p>
    <w:p w:rsidR="00EC4407" w:rsidRDefault="0093798A" w:rsidP="00EC4407">
      <w:pPr>
        <w:pStyle w:val="a4"/>
        <w:rPr>
          <w:rtl/>
        </w:rPr>
      </w:pPr>
      <w:r>
        <w:rPr>
          <w:rFonts w:hint="cs"/>
          <w:rtl/>
        </w:rPr>
        <w:t>"</w:t>
      </w:r>
      <w:proofErr w:type="spellStart"/>
      <w:r>
        <w:rPr>
          <w:rtl/>
        </w:rPr>
        <w:t>א"ר</w:t>
      </w:r>
      <w:proofErr w:type="spellEnd"/>
      <w:r>
        <w:rPr>
          <w:rtl/>
        </w:rPr>
        <w:t xml:space="preserve"> </w:t>
      </w:r>
      <w:proofErr w:type="spellStart"/>
      <w:r>
        <w:rPr>
          <w:rtl/>
        </w:rPr>
        <w:t>אבהו</w:t>
      </w:r>
      <w:proofErr w:type="spellEnd"/>
      <w:r>
        <w:rPr>
          <w:rtl/>
        </w:rPr>
        <w:t xml:space="preserve">, אמר משה לפני הקדוש ברוך הוא: </w:t>
      </w:r>
      <w:proofErr w:type="spellStart"/>
      <w:r>
        <w:rPr>
          <w:rtl/>
        </w:rPr>
        <w:t>רב</w:t>
      </w:r>
      <w:r>
        <w:rPr>
          <w:rFonts w:hint="cs"/>
          <w:rtl/>
        </w:rPr>
        <w:t>ונו</w:t>
      </w:r>
      <w:proofErr w:type="spellEnd"/>
      <w:r>
        <w:rPr>
          <w:rFonts w:hint="cs"/>
          <w:rtl/>
        </w:rPr>
        <w:t xml:space="preserve"> של עולם</w:t>
      </w:r>
      <w:r>
        <w:rPr>
          <w:rtl/>
        </w:rPr>
        <w:t xml:space="preserve">, במה תרום קרן ישראל? אמר לו: בכי </w:t>
      </w:r>
      <w:proofErr w:type="spellStart"/>
      <w:r>
        <w:rPr>
          <w:rtl/>
        </w:rPr>
        <w:t>תשא</w:t>
      </w:r>
      <w:proofErr w:type="spellEnd"/>
      <w:r w:rsidR="00EC4407">
        <w:rPr>
          <w:rFonts w:hint="cs"/>
          <w:rtl/>
        </w:rPr>
        <w:t>.</w:t>
      </w:r>
      <w:r>
        <w:rPr>
          <w:rFonts w:hint="cs"/>
          <w:rtl/>
        </w:rPr>
        <w:t>"</w:t>
      </w:r>
      <w:r>
        <w:rPr>
          <w:rtl/>
        </w:rPr>
        <w:tab/>
      </w:r>
    </w:p>
    <w:p w:rsidR="0093798A" w:rsidRDefault="00EC4407" w:rsidP="00EC4407">
      <w:pPr>
        <w:pStyle w:val="5"/>
        <w:rPr>
          <w:rtl/>
        </w:rPr>
      </w:pPr>
      <w:r>
        <w:rPr>
          <w:rFonts w:hint="cs"/>
          <w:rtl/>
        </w:rPr>
        <w:t xml:space="preserve">(בבלי בבא </w:t>
      </w:r>
      <w:proofErr w:type="spellStart"/>
      <w:r>
        <w:rPr>
          <w:rFonts w:hint="cs"/>
          <w:rtl/>
        </w:rPr>
        <w:t>בתרא</w:t>
      </w:r>
      <w:proofErr w:type="spellEnd"/>
      <w:r>
        <w:rPr>
          <w:rFonts w:hint="cs"/>
          <w:rtl/>
        </w:rPr>
        <w:t xml:space="preserve"> י ע"ב</w:t>
      </w:r>
      <w:r w:rsidR="0093798A" w:rsidRPr="00034997">
        <w:rPr>
          <w:rFonts w:hint="cs"/>
          <w:rtl/>
        </w:rPr>
        <w:t>)</w:t>
      </w:r>
      <w:r w:rsidR="0093798A">
        <w:rPr>
          <w:rtl/>
        </w:rPr>
        <w:t xml:space="preserve"> </w:t>
      </w:r>
    </w:p>
    <w:p w:rsidR="0093798A" w:rsidRDefault="0093798A" w:rsidP="0093798A">
      <w:pPr>
        <w:tabs>
          <w:tab w:val="right" w:pos="4620"/>
        </w:tabs>
        <w:rPr>
          <w:rtl/>
        </w:rPr>
      </w:pPr>
      <w:r>
        <w:rPr>
          <w:rFonts w:hint="cs"/>
          <w:rtl/>
        </w:rPr>
        <w:t xml:space="preserve">דווקא תרומת מחצית השקל יכולה לרומם </w:t>
      </w:r>
      <w:proofErr w:type="spellStart"/>
      <w:r>
        <w:rPr>
          <w:rFonts w:hint="cs"/>
          <w:rtl/>
        </w:rPr>
        <w:t>ולנשא</w:t>
      </w:r>
      <w:proofErr w:type="spellEnd"/>
      <w:r>
        <w:rPr>
          <w:rFonts w:hint="cs"/>
          <w:rtl/>
        </w:rPr>
        <w:t xml:space="preserve"> את עם ישראל, ולא לפגוע בהם.</w:t>
      </w:r>
    </w:p>
    <w:p w:rsidR="0093798A" w:rsidRDefault="0093798A" w:rsidP="0093798A">
      <w:pPr>
        <w:pStyle w:val="2"/>
        <w:tabs>
          <w:tab w:val="right" w:pos="4620"/>
        </w:tabs>
        <w:rPr>
          <w:rtl/>
        </w:rPr>
      </w:pPr>
      <w:r>
        <w:rPr>
          <w:rFonts w:hint="cs"/>
          <w:rtl/>
        </w:rPr>
        <w:t>הסיכוי והסיכון</w:t>
      </w:r>
    </w:p>
    <w:p w:rsidR="0093798A" w:rsidRDefault="0093798A" w:rsidP="0093798A">
      <w:pPr>
        <w:tabs>
          <w:tab w:val="right" w:pos="4620"/>
        </w:tabs>
        <w:rPr>
          <w:rtl/>
        </w:rPr>
      </w:pPr>
      <w:r>
        <w:rPr>
          <w:rFonts w:hint="cs"/>
          <w:rtl/>
        </w:rPr>
        <w:t xml:space="preserve">כיצד נכלכל את המדרשים זה עם זה? דומה, כי במדרשים עולה הסיכוי והסיכון שבמנייה. כאשר מונים בני אדם, הדבר יכול להפוך אותם להיות רק חלק מהסטטיסטיקה, מספרים ותו לא. </w:t>
      </w:r>
    </w:p>
    <w:p w:rsidR="0093798A" w:rsidRDefault="00EC4407" w:rsidP="0093798A">
      <w:pPr>
        <w:tabs>
          <w:tab w:val="right" w:pos="4620"/>
        </w:tabs>
        <w:rPr>
          <w:rtl/>
        </w:rPr>
      </w:pPr>
      <w:r>
        <w:rPr>
          <w:rFonts w:hint="cs"/>
          <w:rtl/>
        </w:rPr>
        <w:t>הרמב"ן מצביע</w:t>
      </w:r>
      <w:r w:rsidR="0093798A">
        <w:rPr>
          <w:rFonts w:hint="cs"/>
          <w:rtl/>
        </w:rPr>
        <w:t xml:space="preserve"> על חובת המנייה בספר במדבר:</w:t>
      </w:r>
    </w:p>
    <w:p w:rsidR="0093798A" w:rsidRDefault="0093798A" w:rsidP="00EC4407">
      <w:pPr>
        <w:pStyle w:val="a4"/>
        <w:rPr>
          <w:rtl/>
        </w:rPr>
      </w:pPr>
      <w:r>
        <w:rPr>
          <w:rFonts w:hint="cs"/>
          <w:rtl/>
        </w:rPr>
        <w:t>"</w:t>
      </w:r>
      <w:r>
        <w:rPr>
          <w:rtl/>
        </w:rPr>
        <w:t xml:space="preserve">תפקדו אותם – ענין </w:t>
      </w:r>
      <w:r>
        <w:rPr>
          <w:rFonts w:hint="cs"/>
          <w:rtl/>
        </w:rPr>
        <w:t>'</w:t>
      </w:r>
      <w:r>
        <w:rPr>
          <w:rtl/>
        </w:rPr>
        <w:t>פקידה</w:t>
      </w:r>
      <w:r>
        <w:rPr>
          <w:rFonts w:hint="cs"/>
          <w:rtl/>
        </w:rPr>
        <w:t>':</w:t>
      </w:r>
      <w:r>
        <w:rPr>
          <w:rtl/>
        </w:rPr>
        <w:t xml:space="preserve"> ז</w:t>
      </w:r>
      <w:r>
        <w:rPr>
          <w:rFonts w:hint="cs"/>
          <w:rtl/>
        </w:rPr>
        <w:t>י</w:t>
      </w:r>
      <w:r>
        <w:rPr>
          <w:rtl/>
        </w:rPr>
        <w:t xml:space="preserve">כרון והשגחה על דבר, כלשון </w:t>
      </w:r>
      <w:r>
        <w:rPr>
          <w:rFonts w:hint="cs"/>
          <w:rtl/>
        </w:rPr>
        <w:t>'</w:t>
      </w:r>
      <w:proofErr w:type="spellStart"/>
      <w:r>
        <w:rPr>
          <w:rtl/>
        </w:rPr>
        <w:t>וה</w:t>
      </w:r>
      <w:proofErr w:type="spellEnd"/>
      <w:r>
        <w:rPr>
          <w:rtl/>
        </w:rPr>
        <w:t>' פקד את שרה כאשר אמר</w:t>
      </w:r>
      <w:r>
        <w:rPr>
          <w:rFonts w:hint="cs"/>
          <w:rtl/>
        </w:rPr>
        <w:t>'</w:t>
      </w:r>
      <w:r>
        <w:rPr>
          <w:rtl/>
        </w:rPr>
        <w:t xml:space="preserve"> </w:t>
      </w:r>
      <w:r w:rsidRPr="00034997">
        <w:rPr>
          <w:sz w:val="16"/>
          <w:szCs w:val="18"/>
          <w:rtl/>
        </w:rPr>
        <w:t xml:space="preserve">(בראשית </w:t>
      </w:r>
      <w:proofErr w:type="spellStart"/>
      <w:r w:rsidRPr="00034997">
        <w:rPr>
          <w:sz w:val="16"/>
          <w:szCs w:val="18"/>
          <w:rtl/>
        </w:rPr>
        <w:t>כא</w:t>
      </w:r>
      <w:proofErr w:type="spellEnd"/>
      <w:r w:rsidRPr="00034997">
        <w:rPr>
          <w:sz w:val="16"/>
          <w:szCs w:val="18"/>
          <w:rtl/>
        </w:rPr>
        <w:t xml:space="preserve"> א)</w:t>
      </w:r>
      <w:r>
        <w:rPr>
          <w:rtl/>
        </w:rPr>
        <w:t>, והוא פתרונו בכל מקום</w:t>
      </w:r>
      <w:r w:rsidR="00EC4407">
        <w:rPr>
          <w:rtl/>
        </w:rPr>
        <w:t xml:space="preserve">, לא ימלט מהן איש על דעתי, וגם </w:t>
      </w:r>
      <w:r w:rsidR="00EC4407">
        <w:rPr>
          <w:rFonts w:hint="cs"/>
          <w:rtl/>
        </w:rPr>
        <w:t>'</w:t>
      </w:r>
      <w:proofErr w:type="spellStart"/>
      <w:r w:rsidR="00EC4407">
        <w:rPr>
          <w:rtl/>
        </w:rPr>
        <w:t>פקדון</w:t>
      </w:r>
      <w:proofErr w:type="spellEnd"/>
      <w:r w:rsidR="00EC4407">
        <w:rPr>
          <w:rFonts w:hint="cs"/>
          <w:rtl/>
        </w:rPr>
        <w:t>'</w:t>
      </w:r>
      <w:r>
        <w:rPr>
          <w:rtl/>
        </w:rPr>
        <w:t xml:space="preserve"> מפני ששמירתו והשגחתו עליו. וכאשר </w:t>
      </w:r>
      <w:proofErr w:type="spellStart"/>
      <w:r>
        <w:rPr>
          <w:rtl/>
        </w:rPr>
        <w:t>צוה</w:t>
      </w:r>
      <w:proofErr w:type="spellEnd"/>
      <w:r>
        <w:rPr>
          <w:rtl/>
        </w:rPr>
        <w:t xml:space="preserve"> למנות את ישראל יאמר </w:t>
      </w:r>
      <w:r>
        <w:rPr>
          <w:rFonts w:hint="cs"/>
          <w:rtl/>
        </w:rPr>
        <w:t>'</w:t>
      </w:r>
      <w:r>
        <w:rPr>
          <w:rtl/>
        </w:rPr>
        <w:t>תפקדו אותם</w:t>
      </w:r>
      <w:r>
        <w:rPr>
          <w:rFonts w:hint="cs"/>
          <w:rtl/>
        </w:rPr>
        <w:t>'</w:t>
      </w:r>
      <w:r>
        <w:rPr>
          <w:rtl/>
        </w:rPr>
        <w:t>, לרמוז שלא יספרם רק שיתנו כופר נפשם מחצית השקל ובהם ישגיח וידע מספר העם</w:t>
      </w:r>
      <w:r w:rsidR="00420F26">
        <w:rPr>
          <w:rFonts w:hint="cs"/>
          <w:rtl/>
        </w:rPr>
        <w:t>.</w:t>
      </w:r>
      <w:r>
        <w:rPr>
          <w:rFonts w:hint="cs"/>
          <w:rtl/>
        </w:rPr>
        <w:t>"</w:t>
      </w:r>
    </w:p>
    <w:p w:rsidR="0093798A" w:rsidRDefault="0093798A" w:rsidP="00420F26">
      <w:pPr>
        <w:pStyle w:val="5"/>
        <w:rPr>
          <w:rtl/>
        </w:rPr>
      </w:pPr>
      <w:r>
        <w:rPr>
          <w:rtl/>
        </w:rPr>
        <w:tab/>
      </w:r>
      <w:r>
        <w:rPr>
          <w:rFonts w:hint="cs"/>
          <w:rtl/>
        </w:rPr>
        <w:t>(רמב"ן במדבר א', ב)</w:t>
      </w:r>
      <w:r>
        <w:rPr>
          <w:rtl/>
        </w:rPr>
        <w:t xml:space="preserve"> </w:t>
      </w:r>
    </w:p>
    <w:p w:rsidR="0093798A" w:rsidRDefault="0093798A" w:rsidP="0093798A">
      <w:pPr>
        <w:tabs>
          <w:tab w:val="right" w:pos="4620"/>
        </w:tabs>
        <w:rPr>
          <w:rtl/>
        </w:rPr>
      </w:pPr>
      <w:r>
        <w:rPr>
          <w:rFonts w:hint="cs"/>
          <w:rtl/>
        </w:rPr>
        <w:t xml:space="preserve">מניית עם ישראל אמורה להיות מעין "פקידה" שלהם, היזכרות בהם, ולא רק השגת מספר כלשהו. הדברים גם מתחדדים לאור המדרש, שמספר כי המניין נעשה "לגלגלתם" </w:t>
      </w:r>
      <w:r>
        <w:rPr>
          <w:rtl/>
        </w:rPr>
        <w:t>–</w:t>
      </w:r>
      <w:r>
        <w:rPr>
          <w:rFonts w:hint="cs"/>
          <w:rtl/>
        </w:rPr>
        <w:t xml:space="preserve"> משה לא שאל כל בעל משפחה או כל ראש שבט, כמה אנשים נמצאים תחתיו, אלא העביר את המשפחות והשבטים מולו, תוך מפגש אישי עם כל אחד מהם.</w:t>
      </w:r>
    </w:p>
    <w:p w:rsidR="0093798A" w:rsidRDefault="00420F26" w:rsidP="0093798A">
      <w:pPr>
        <w:tabs>
          <w:tab w:val="right" w:pos="4620"/>
        </w:tabs>
        <w:rPr>
          <w:rtl/>
        </w:rPr>
      </w:pPr>
      <w:r>
        <w:rPr>
          <w:rFonts w:hint="cs"/>
          <w:rtl/>
        </w:rPr>
        <w:t xml:space="preserve">הנגף </w:t>
      </w:r>
      <w:r w:rsidR="0093798A">
        <w:rPr>
          <w:rFonts w:hint="cs"/>
          <w:rtl/>
        </w:rPr>
        <w:t>מגיע כאשר מתייחסים לאדם כחלק מסטטיסטיקה, ולכן במנייה יש סיכון כבד. מאידך גיסא, מנייה זו היא גם מצע מיוחד למפגש אישי עם כל אחד, ולכן מצווה משה להיזהר בכך בכדי שתרום קרן ישראל. הפתרון שמופיע בפסוקים כדי לא לספור בני אדם ולפגוע בהם כאינדיבידואל הוא מניית חצאי השקלים במקום, פעולה שתדגיש כי את האדם פוגשים בפני עצמו ולא כחלק ממכלול.</w:t>
      </w:r>
    </w:p>
    <w:p w:rsidR="0093798A" w:rsidRDefault="0093798A" w:rsidP="0093798A">
      <w:pPr>
        <w:pStyle w:val="2"/>
        <w:tabs>
          <w:tab w:val="right" w:pos="4620"/>
        </w:tabs>
        <w:rPr>
          <w:rtl/>
        </w:rPr>
      </w:pPr>
      <w:r>
        <w:rPr>
          <w:rFonts w:hint="cs"/>
          <w:rtl/>
        </w:rPr>
        <w:t>הניתוח הסטרילי ורופא המשפחה</w:t>
      </w:r>
    </w:p>
    <w:p w:rsidR="0093798A" w:rsidRDefault="0093798A" w:rsidP="0093798A">
      <w:pPr>
        <w:tabs>
          <w:tab w:val="right" w:pos="4620"/>
        </w:tabs>
        <w:rPr>
          <w:rtl/>
        </w:rPr>
      </w:pPr>
      <w:r>
        <w:rPr>
          <w:rFonts w:hint="cs"/>
          <w:rtl/>
        </w:rPr>
        <w:t>דילמה זו התעצמה עם התפתחות התעשייה והעולם המודרני, כאשר מחד גיסא, ההתקדמות דורשת התייחסות לאדם כמושא וכנתון סטטיסטי, אך מאידך גיסא, בכך אנו מתעלמים מהאדם בפני עצמו כאדם. הקפיטליזם, ההתייחסות למעשה ידיים כהון, מסייע לקידום העולם, אך גם מבטל את האדם.</w:t>
      </w:r>
    </w:p>
    <w:p w:rsidR="0093798A" w:rsidRDefault="0093798A" w:rsidP="0093798A">
      <w:pPr>
        <w:tabs>
          <w:tab w:val="right" w:pos="4620"/>
        </w:tabs>
        <w:rPr>
          <w:rtl/>
        </w:rPr>
      </w:pPr>
      <w:r>
        <w:rPr>
          <w:rFonts w:hint="cs"/>
          <w:rtl/>
        </w:rPr>
        <w:lastRenderedPageBreak/>
        <w:t xml:space="preserve">נעמוד על שתי דוגמאות. בעולם הרפואה, ההתפתחות הרפואית תלויה דווקא בפעולה הרפואית ה"נקייה", המנותקת לכאורה מהחולה. </w:t>
      </w:r>
      <w:proofErr w:type="spellStart"/>
      <w:r>
        <w:rPr>
          <w:rFonts w:hint="cs"/>
          <w:rtl/>
        </w:rPr>
        <w:t>אבוהון</w:t>
      </w:r>
      <w:proofErr w:type="spellEnd"/>
      <w:r>
        <w:rPr>
          <w:rFonts w:hint="cs"/>
          <w:rtl/>
        </w:rPr>
        <w:t xml:space="preserve"> </w:t>
      </w:r>
      <w:proofErr w:type="spellStart"/>
      <w:r>
        <w:rPr>
          <w:rFonts w:hint="cs"/>
          <w:rtl/>
        </w:rPr>
        <w:t>דכולהו</w:t>
      </w:r>
      <w:proofErr w:type="spellEnd"/>
      <w:r>
        <w:rPr>
          <w:rFonts w:hint="cs"/>
          <w:rtl/>
        </w:rPr>
        <w:t xml:space="preserve"> </w:t>
      </w:r>
      <w:r>
        <w:rPr>
          <w:rtl/>
        </w:rPr>
        <w:t>–</w:t>
      </w:r>
      <w:r>
        <w:rPr>
          <w:rFonts w:hint="cs"/>
          <w:rtl/>
        </w:rPr>
        <w:t xml:space="preserve"> הניתוח, הפעולה הכירורגית העדינה, נעשה כאשר החולה מורדם, מבלי להתייחס אליו.</w:t>
      </w:r>
    </w:p>
    <w:p w:rsidR="0093798A" w:rsidRDefault="0093798A" w:rsidP="0093798A">
      <w:pPr>
        <w:tabs>
          <w:tab w:val="right" w:pos="4620"/>
        </w:tabs>
        <w:rPr>
          <w:rtl/>
        </w:rPr>
      </w:pPr>
      <w:r>
        <w:rPr>
          <w:rFonts w:hint="cs"/>
          <w:rtl/>
        </w:rPr>
        <w:t xml:space="preserve">אך לאמתו של דבר, הרפואה דווקא נזקקת גם למישור האנושי. ישנם רופאים שדואגים לגילוח של חוליהם, גם כאשר הללו נתונים בערפול חושים ואינם מודעים לכך. </w:t>
      </w:r>
    </w:p>
    <w:p w:rsidR="0093798A" w:rsidRDefault="0093798A" w:rsidP="0093798A">
      <w:pPr>
        <w:tabs>
          <w:tab w:val="right" w:pos="4620"/>
        </w:tabs>
        <w:rPr>
          <w:rtl/>
        </w:rPr>
      </w:pPr>
      <w:r>
        <w:rPr>
          <w:rFonts w:hint="cs"/>
          <w:rtl/>
        </w:rPr>
        <w:t>דאגה זו, הרצון שהחולה יחזור למצב הרפואי הנורמטיבי ויוכל להזין את עצמו, מחזקת גם את החולה עצמו והיחס אליו הוא חלק מהתהליך הרפואי. הרב שטיינברג היה אומר לפני כל ניתוח "מי שברך" עבור החולה ספציפית, ובכך חיזק את הזיקה האישית והאנושית אל החולה.</w:t>
      </w:r>
    </w:p>
    <w:p w:rsidR="0093798A" w:rsidRDefault="0093798A" w:rsidP="0093798A">
      <w:pPr>
        <w:tabs>
          <w:tab w:val="right" w:pos="4620"/>
        </w:tabs>
        <w:rPr>
          <w:rtl/>
        </w:rPr>
      </w:pPr>
      <w:r>
        <w:rPr>
          <w:rFonts w:hint="cs"/>
          <w:rtl/>
        </w:rPr>
        <w:t xml:space="preserve">גם בעולם החינוך ובעולמות נוספים, אדם יכול להגיע עם שאיפות עילאיות, אך עם הזמן להישחק, ולראות את החברה שסביבו </w:t>
      </w:r>
      <w:r>
        <w:rPr>
          <w:rtl/>
        </w:rPr>
        <w:t>–</w:t>
      </w:r>
      <w:r>
        <w:rPr>
          <w:rFonts w:hint="cs"/>
          <w:rtl/>
        </w:rPr>
        <w:t xml:space="preserve"> התלמידים, שותפיו לעבודה, הלקוחות </w:t>
      </w:r>
      <w:r>
        <w:rPr>
          <w:rtl/>
        </w:rPr>
        <w:t>–</w:t>
      </w:r>
      <w:r>
        <w:rPr>
          <w:rFonts w:hint="cs"/>
          <w:rtl/>
        </w:rPr>
        <w:t xml:space="preserve"> כמספר גרידא, כמושאים שצריכים להעביר אליהם תוכן וידע, ולא כבני אדם שעולמם הרוחני מתעשר ומתעצם.</w:t>
      </w:r>
    </w:p>
    <w:p w:rsidR="0093798A" w:rsidRDefault="0093798A" w:rsidP="0093798A">
      <w:pPr>
        <w:tabs>
          <w:tab w:val="right" w:pos="4620"/>
        </w:tabs>
        <w:rPr>
          <w:rtl/>
        </w:rPr>
      </w:pPr>
      <w:r>
        <w:rPr>
          <w:rFonts w:hint="cs"/>
          <w:rtl/>
        </w:rPr>
        <w:t>תופעות אלו, הקיימות בעולמות החינוך והרפואה, ומאתגרות את השותפים בהם, קיימות גם בחיי היום-יום. אדם שנוסע באוטובוס, יכול להתייחס לנהג כחלק מהתפאורה הכללית, ורק כאשר תגיע אליהם חוויה קיומית קשה, כמו ניסיון פיגוע, הרי שהוא יזהה את הנהג העומד מולו כאדם.</w:t>
      </w:r>
    </w:p>
    <w:p w:rsidR="0093798A" w:rsidRDefault="0093798A" w:rsidP="0093798A">
      <w:pPr>
        <w:tabs>
          <w:tab w:val="right" w:pos="4620"/>
        </w:tabs>
        <w:rPr>
          <w:rFonts w:ascii="Arial" w:hAnsi="Arial"/>
          <w:sz w:val="24"/>
          <w:rtl/>
        </w:rPr>
      </w:pPr>
      <w:r>
        <w:rPr>
          <w:rFonts w:hint="cs"/>
          <w:rtl/>
        </w:rPr>
        <w:t xml:space="preserve">התורה מלמדת אותנו עד כמה חשובה תשומת הלב האנושית הפרטנית, גם כאשר מדובר לכאורה בפעילות מכאנית נטולת רגש. מניית בני ישראל מציבה בפנינו אתגר </w:t>
      </w:r>
      <w:r>
        <w:rPr>
          <w:rtl/>
        </w:rPr>
        <w:t>–</w:t>
      </w:r>
      <w:r>
        <w:rPr>
          <w:rFonts w:hint="cs"/>
          <w:rtl/>
        </w:rPr>
        <w:t xml:space="preserve"> להפוך אותה ממניין שבו שולטת עין הרע, למניין אישי המרים את קרן ישראל.</w:t>
      </w:r>
    </w:p>
    <w:p w:rsidR="00420F26" w:rsidRDefault="00420F26" w:rsidP="0093798A">
      <w:pPr>
        <w:tabs>
          <w:tab w:val="right" w:pos="4620"/>
        </w:tabs>
        <w:rPr>
          <w:rFonts w:ascii="Arial" w:hAnsi="Arial"/>
          <w:sz w:val="24"/>
          <w:rtl/>
        </w:rPr>
      </w:pPr>
    </w:p>
    <w:tbl>
      <w:tblPr>
        <w:tblpPr w:leftFromText="180" w:rightFromText="180" w:vertAnchor="text" w:horzAnchor="margin" w:tblpY="2303"/>
        <w:bidiVisual/>
        <w:tblW w:w="4678" w:type="dxa"/>
        <w:tblLayout w:type="fixed"/>
        <w:tblLook w:val="0000" w:firstRow="0" w:lastRow="0" w:firstColumn="0" w:lastColumn="0" w:noHBand="0" w:noVBand="0"/>
      </w:tblPr>
      <w:tblGrid>
        <w:gridCol w:w="283"/>
        <w:gridCol w:w="4111"/>
        <w:gridCol w:w="284"/>
      </w:tblGrid>
      <w:tr w:rsidR="00420F26" w:rsidTr="00574EDA">
        <w:trPr>
          <w:trHeight w:val="63"/>
        </w:trPr>
        <w:tc>
          <w:tcPr>
            <w:tcW w:w="283" w:type="dxa"/>
            <w:tcBorders>
              <w:top w:val="nil"/>
              <w:left w:val="nil"/>
              <w:bottom w:val="nil"/>
              <w:right w:val="nil"/>
            </w:tcBorders>
          </w:tcPr>
          <w:p w:rsidR="00420F26" w:rsidRDefault="00420F26" w:rsidP="00574EDA">
            <w:pPr>
              <w:pStyle w:val="ae"/>
              <w:rPr>
                <w:noProof w:val="0"/>
              </w:rPr>
            </w:pPr>
            <w:r>
              <w:rPr>
                <w:noProof w:val="0"/>
                <w:rtl/>
              </w:rPr>
              <w:t>*</w:t>
            </w:r>
          </w:p>
        </w:tc>
        <w:tc>
          <w:tcPr>
            <w:tcW w:w="4111" w:type="dxa"/>
            <w:tcBorders>
              <w:top w:val="nil"/>
              <w:left w:val="nil"/>
              <w:bottom w:val="nil"/>
              <w:right w:val="nil"/>
            </w:tcBorders>
          </w:tcPr>
          <w:p w:rsidR="00420F26" w:rsidRDefault="00420F26" w:rsidP="00574EDA">
            <w:pPr>
              <w:pStyle w:val="ae"/>
              <w:ind w:left="-170" w:right="-170"/>
              <w:rPr>
                <w:noProof w:val="0"/>
              </w:rPr>
            </w:pPr>
            <w:r>
              <w:rPr>
                <w:noProof w:val="0"/>
                <w:rtl/>
              </w:rPr>
              <w:t>***************************************************************</w:t>
            </w:r>
          </w:p>
        </w:tc>
        <w:tc>
          <w:tcPr>
            <w:tcW w:w="284" w:type="dxa"/>
            <w:tcBorders>
              <w:top w:val="nil"/>
              <w:left w:val="nil"/>
              <w:bottom w:val="nil"/>
              <w:right w:val="nil"/>
            </w:tcBorders>
          </w:tcPr>
          <w:p w:rsidR="00420F26" w:rsidRDefault="00420F26" w:rsidP="00574EDA">
            <w:pPr>
              <w:pStyle w:val="ae"/>
              <w:rPr>
                <w:noProof w:val="0"/>
              </w:rPr>
            </w:pPr>
            <w:r>
              <w:rPr>
                <w:noProof w:val="0"/>
                <w:rtl/>
              </w:rPr>
              <w:t>*</w:t>
            </w:r>
          </w:p>
        </w:tc>
      </w:tr>
      <w:tr w:rsidR="00420F26" w:rsidTr="00574EDA">
        <w:tc>
          <w:tcPr>
            <w:tcW w:w="283" w:type="dxa"/>
            <w:tcBorders>
              <w:top w:val="nil"/>
              <w:left w:val="nil"/>
              <w:bottom w:val="nil"/>
              <w:right w:val="nil"/>
            </w:tcBorders>
          </w:tcPr>
          <w:p w:rsidR="00420F26" w:rsidRDefault="00420F26" w:rsidP="00574EDA">
            <w:pPr>
              <w:pStyle w:val="ae"/>
              <w:rPr>
                <w:noProof w:val="0"/>
              </w:rPr>
            </w:pPr>
            <w:r>
              <w:rPr>
                <w:noProof w:val="0"/>
                <w:rtl/>
              </w:rPr>
              <w:t>* * * * * * * * * *</w:t>
            </w:r>
          </w:p>
        </w:tc>
        <w:tc>
          <w:tcPr>
            <w:tcW w:w="4111" w:type="dxa"/>
            <w:tcBorders>
              <w:top w:val="nil"/>
              <w:left w:val="nil"/>
              <w:bottom w:val="nil"/>
              <w:right w:val="nil"/>
            </w:tcBorders>
          </w:tcPr>
          <w:p w:rsidR="00420F26" w:rsidRDefault="00420F26" w:rsidP="00420F26">
            <w:pPr>
              <w:pStyle w:val="ae"/>
              <w:rPr>
                <w:noProof w:val="0"/>
                <w:rtl/>
              </w:rPr>
            </w:pPr>
            <w:r>
              <w:rPr>
                <w:noProof w:val="0"/>
                <w:rtl/>
              </w:rPr>
              <w:t>כל הזכויות שמורות לישיבת הר עציון</w:t>
            </w:r>
            <w:r>
              <w:rPr>
                <w:rFonts w:hint="cs"/>
                <w:noProof w:val="0"/>
                <w:rtl/>
              </w:rPr>
              <w:t xml:space="preserve"> ולרב </w:t>
            </w:r>
            <w:r>
              <w:rPr>
                <w:rFonts w:hint="cs"/>
                <w:noProof w:val="0"/>
                <w:rtl/>
              </w:rPr>
              <w:t>משה ליכטנשטיין</w:t>
            </w:r>
          </w:p>
          <w:p w:rsidR="00420F26" w:rsidRPr="00C5614D" w:rsidRDefault="00420F26" w:rsidP="00574EDA">
            <w:pPr>
              <w:pStyle w:val="ae"/>
              <w:rPr>
                <w:rFonts w:ascii="Times New Roman" w:hAnsi="Times New Roman" w:cs="Times New Roman"/>
                <w:noProof w:val="0"/>
                <w:rtl/>
              </w:rPr>
            </w:pPr>
            <w:r>
              <w:rPr>
                <w:rFonts w:hint="cs"/>
                <w:noProof w:val="0"/>
                <w:rtl/>
              </w:rPr>
              <w:t>עורך: אלישע אורון, תשע"ז</w:t>
            </w:r>
          </w:p>
          <w:p w:rsidR="00420F26" w:rsidRDefault="00420F26" w:rsidP="00574EDA">
            <w:pPr>
              <w:pStyle w:val="ae"/>
              <w:rPr>
                <w:noProof w:val="0"/>
                <w:rtl/>
              </w:rPr>
            </w:pPr>
            <w:r>
              <w:rPr>
                <w:noProof w:val="0"/>
                <w:rtl/>
              </w:rPr>
              <w:t>*******************************************************</w:t>
            </w:r>
          </w:p>
          <w:p w:rsidR="00420F26" w:rsidRDefault="00420F26" w:rsidP="00574EDA">
            <w:pPr>
              <w:pStyle w:val="ae"/>
              <w:rPr>
                <w:noProof w:val="0"/>
                <w:rtl/>
              </w:rPr>
            </w:pPr>
          </w:p>
          <w:p w:rsidR="00420F26" w:rsidRDefault="00420F26" w:rsidP="00574EDA">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20F26" w:rsidRDefault="00420F26" w:rsidP="00574EDA">
            <w:pPr>
              <w:pStyle w:val="ae"/>
              <w:rPr>
                <w:noProof w:val="0"/>
                <w:rtl/>
              </w:rPr>
            </w:pPr>
            <w:r>
              <w:rPr>
                <w:noProof w:val="0"/>
                <w:rtl/>
              </w:rPr>
              <w:t>האתר בעברית:</w:t>
            </w:r>
            <w:r>
              <w:rPr>
                <w:noProof w:val="0"/>
                <w:rtl/>
              </w:rPr>
              <w:tab/>
            </w:r>
            <w:hyperlink r:id="rId6" w:history="1">
              <w:r>
                <w:rPr>
                  <w:rStyle w:val="Hyperlink"/>
                  <w:rFonts w:eastAsiaTheme="majorEastAsia"/>
                </w:rPr>
                <w:t>http://www.etzion.org.il/vbm</w:t>
              </w:r>
            </w:hyperlink>
          </w:p>
          <w:p w:rsidR="00420F26" w:rsidRDefault="00420F26" w:rsidP="00574EDA">
            <w:pPr>
              <w:pStyle w:val="ae"/>
              <w:rPr>
                <w:noProof w:val="0"/>
                <w:rtl/>
              </w:rPr>
            </w:pPr>
            <w:r>
              <w:rPr>
                <w:noProof w:val="0"/>
                <w:rtl/>
              </w:rPr>
              <w:t>האתר באנגלית:</w:t>
            </w:r>
            <w:r>
              <w:rPr>
                <w:noProof w:val="0"/>
                <w:rtl/>
              </w:rPr>
              <w:tab/>
            </w:r>
            <w:hyperlink r:id="rId7" w:history="1">
              <w:r>
                <w:rPr>
                  <w:rStyle w:val="Hyperlink"/>
                  <w:rFonts w:eastAsiaTheme="majorEastAsia"/>
                </w:rPr>
                <w:t>http://www.vbm-torah.org</w:t>
              </w:r>
            </w:hyperlink>
          </w:p>
          <w:p w:rsidR="00420F26" w:rsidRDefault="00420F26" w:rsidP="00574EDA">
            <w:pPr>
              <w:pStyle w:val="ae"/>
              <w:rPr>
                <w:noProof w:val="0"/>
                <w:rtl/>
              </w:rPr>
            </w:pPr>
          </w:p>
          <w:p w:rsidR="00420F26" w:rsidRDefault="00420F26" w:rsidP="00574ED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20F26" w:rsidRDefault="00420F26" w:rsidP="00574EDA">
            <w:pPr>
              <w:pStyle w:val="ae"/>
              <w:rPr>
                <w:noProof w:val="0"/>
              </w:rPr>
            </w:pPr>
            <w:r>
              <w:rPr>
                <w:noProof w:val="0"/>
                <w:rtl/>
              </w:rPr>
              <w:t xml:space="preserve">דואל: </w:t>
            </w:r>
            <w:hyperlink r:id="rId8" w:history="1">
              <w:r>
                <w:rPr>
                  <w:rStyle w:val="Hyperlink"/>
                  <w:rFonts w:eastAsiaTheme="majorEastAsia"/>
                </w:rPr>
                <w:t>office@etzion.org.il</w:t>
              </w:r>
            </w:hyperlink>
          </w:p>
        </w:tc>
        <w:tc>
          <w:tcPr>
            <w:tcW w:w="284" w:type="dxa"/>
            <w:tcBorders>
              <w:top w:val="nil"/>
              <w:left w:val="nil"/>
              <w:bottom w:val="nil"/>
              <w:right w:val="nil"/>
            </w:tcBorders>
          </w:tcPr>
          <w:p w:rsidR="00420F26" w:rsidRDefault="00420F26" w:rsidP="00574EDA">
            <w:pPr>
              <w:pStyle w:val="ae"/>
              <w:rPr>
                <w:noProof w:val="0"/>
              </w:rPr>
            </w:pPr>
            <w:r>
              <w:rPr>
                <w:noProof w:val="0"/>
                <w:rtl/>
              </w:rPr>
              <w:t xml:space="preserve">* * * * * * * * * * </w:t>
            </w:r>
          </w:p>
        </w:tc>
      </w:tr>
      <w:tr w:rsidR="00420F26" w:rsidTr="00574EDA">
        <w:tc>
          <w:tcPr>
            <w:tcW w:w="283" w:type="dxa"/>
            <w:tcBorders>
              <w:top w:val="nil"/>
              <w:left w:val="nil"/>
              <w:bottom w:val="nil"/>
              <w:right w:val="nil"/>
            </w:tcBorders>
          </w:tcPr>
          <w:p w:rsidR="00420F26" w:rsidRDefault="00420F26" w:rsidP="00574EDA">
            <w:pPr>
              <w:pStyle w:val="ae"/>
              <w:rPr>
                <w:noProof w:val="0"/>
              </w:rPr>
            </w:pPr>
            <w:bookmarkStart w:id="2" w:name="_GoBack"/>
            <w:bookmarkEnd w:id="2"/>
            <w:r>
              <w:rPr>
                <w:noProof w:val="0"/>
                <w:rtl/>
              </w:rPr>
              <w:t>*</w:t>
            </w:r>
          </w:p>
        </w:tc>
        <w:tc>
          <w:tcPr>
            <w:tcW w:w="4111" w:type="dxa"/>
            <w:tcBorders>
              <w:top w:val="nil"/>
              <w:left w:val="nil"/>
              <w:bottom w:val="nil"/>
              <w:right w:val="nil"/>
            </w:tcBorders>
          </w:tcPr>
          <w:p w:rsidR="00420F26" w:rsidRDefault="00420F26" w:rsidP="00574EDA">
            <w:pPr>
              <w:pStyle w:val="ae"/>
              <w:ind w:left="-227" w:right="-227"/>
              <w:rPr>
                <w:noProof w:val="0"/>
              </w:rPr>
            </w:pPr>
            <w:r>
              <w:rPr>
                <w:noProof w:val="0"/>
                <w:rtl/>
              </w:rPr>
              <w:t>***************************************************************</w:t>
            </w:r>
          </w:p>
        </w:tc>
        <w:tc>
          <w:tcPr>
            <w:tcW w:w="284" w:type="dxa"/>
            <w:tcBorders>
              <w:top w:val="nil"/>
              <w:left w:val="nil"/>
              <w:bottom w:val="nil"/>
              <w:right w:val="nil"/>
            </w:tcBorders>
          </w:tcPr>
          <w:p w:rsidR="00420F26" w:rsidRDefault="00420F26" w:rsidP="00574EDA">
            <w:pPr>
              <w:pStyle w:val="ae"/>
              <w:rPr>
                <w:noProof w:val="0"/>
                <w:rtl/>
              </w:rPr>
            </w:pPr>
            <w:r>
              <w:rPr>
                <w:noProof w:val="0"/>
                <w:rtl/>
              </w:rPr>
              <w:t>*</w:t>
            </w:r>
          </w:p>
        </w:tc>
      </w:tr>
    </w:tbl>
    <w:p w:rsidR="00420F26" w:rsidRPr="007769B1" w:rsidRDefault="00420F26" w:rsidP="0093798A">
      <w:pPr>
        <w:tabs>
          <w:tab w:val="right" w:pos="4620"/>
        </w:tabs>
        <w:rPr>
          <w:rFonts w:ascii="Arial" w:hAnsi="Arial"/>
          <w:sz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93798A" w:rsidTr="00574EDA">
        <w:trPr>
          <w:cantSplit/>
        </w:trPr>
        <w:tc>
          <w:tcPr>
            <w:tcW w:w="283" w:type="dxa"/>
            <w:tcBorders>
              <w:top w:val="nil"/>
              <w:left w:val="nil"/>
              <w:bottom w:val="nil"/>
              <w:right w:val="nil"/>
            </w:tcBorders>
          </w:tcPr>
          <w:p w:rsidR="0093798A" w:rsidRDefault="0093798A" w:rsidP="00574EDA">
            <w:pPr>
              <w:pStyle w:val="ae"/>
              <w:tabs>
                <w:tab w:val="right" w:pos="4620"/>
              </w:tabs>
              <w:rPr>
                <w:noProof w:val="0"/>
                <w:rtl/>
              </w:rPr>
            </w:pPr>
          </w:p>
          <w:p w:rsidR="00420F26" w:rsidRDefault="00420F26" w:rsidP="00574EDA">
            <w:pPr>
              <w:pStyle w:val="ae"/>
              <w:tabs>
                <w:tab w:val="right" w:pos="4620"/>
              </w:tabs>
              <w:rPr>
                <w:noProof w:val="0"/>
              </w:rPr>
            </w:pPr>
          </w:p>
        </w:tc>
        <w:tc>
          <w:tcPr>
            <w:tcW w:w="4111" w:type="dxa"/>
            <w:tcBorders>
              <w:top w:val="nil"/>
              <w:left w:val="nil"/>
              <w:bottom w:val="nil"/>
              <w:right w:val="nil"/>
            </w:tcBorders>
          </w:tcPr>
          <w:p w:rsidR="0093798A" w:rsidRDefault="0093798A" w:rsidP="00574EDA">
            <w:pPr>
              <w:pStyle w:val="ae"/>
              <w:tabs>
                <w:tab w:val="right" w:pos="4620"/>
              </w:tabs>
              <w:rPr>
                <w:noProof w:val="0"/>
              </w:rPr>
            </w:pPr>
          </w:p>
        </w:tc>
        <w:tc>
          <w:tcPr>
            <w:tcW w:w="284" w:type="dxa"/>
            <w:tcBorders>
              <w:top w:val="nil"/>
              <w:left w:val="nil"/>
              <w:bottom w:val="nil"/>
              <w:right w:val="nil"/>
            </w:tcBorders>
          </w:tcPr>
          <w:p w:rsidR="0093798A" w:rsidRDefault="0093798A" w:rsidP="00574EDA">
            <w:pPr>
              <w:pStyle w:val="ae"/>
              <w:tabs>
                <w:tab w:val="right" w:pos="4620"/>
              </w:tabs>
              <w:rPr>
                <w:noProof w:val="0"/>
                <w:rtl/>
              </w:rPr>
            </w:pPr>
          </w:p>
          <w:p w:rsidR="00420F26" w:rsidRDefault="00420F26" w:rsidP="00574EDA">
            <w:pPr>
              <w:pStyle w:val="ae"/>
              <w:tabs>
                <w:tab w:val="right" w:pos="4620"/>
              </w:tabs>
              <w:rPr>
                <w:noProof w:val="0"/>
                <w:rtl/>
              </w:rPr>
            </w:pPr>
          </w:p>
          <w:p w:rsidR="00420F26" w:rsidRDefault="00420F26" w:rsidP="00574EDA">
            <w:pPr>
              <w:pStyle w:val="ae"/>
              <w:tabs>
                <w:tab w:val="right" w:pos="4620"/>
              </w:tabs>
              <w:rPr>
                <w:noProof w:val="0"/>
                <w:rtl/>
              </w:rPr>
            </w:pPr>
          </w:p>
          <w:p w:rsidR="00420F26" w:rsidRDefault="00420F26" w:rsidP="00574EDA">
            <w:pPr>
              <w:pStyle w:val="ae"/>
              <w:tabs>
                <w:tab w:val="right" w:pos="4620"/>
              </w:tabs>
              <w:rPr>
                <w:noProof w:val="0"/>
                <w:rtl/>
              </w:rPr>
            </w:pPr>
          </w:p>
          <w:p w:rsidR="00420F26" w:rsidRDefault="00420F26" w:rsidP="00574EDA">
            <w:pPr>
              <w:pStyle w:val="ae"/>
              <w:tabs>
                <w:tab w:val="right" w:pos="4620"/>
              </w:tabs>
              <w:rPr>
                <w:rFonts w:hint="cs"/>
                <w:noProof w:val="0"/>
                <w:rtl/>
              </w:rPr>
            </w:pPr>
          </w:p>
        </w:tc>
      </w:tr>
      <w:tr w:rsidR="0093798A" w:rsidTr="00574EDA">
        <w:trPr>
          <w:cantSplit/>
        </w:trPr>
        <w:tc>
          <w:tcPr>
            <w:tcW w:w="283" w:type="dxa"/>
            <w:tcBorders>
              <w:top w:val="nil"/>
              <w:left w:val="nil"/>
              <w:bottom w:val="nil"/>
              <w:right w:val="nil"/>
            </w:tcBorders>
          </w:tcPr>
          <w:p w:rsidR="0093798A" w:rsidRDefault="0093798A" w:rsidP="00574EDA">
            <w:pPr>
              <w:pStyle w:val="ae"/>
              <w:tabs>
                <w:tab w:val="right" w:pos="4620"/>
              </w:tabs>
              <w:rPr>
                <w:noProof w:val="0"/>
              </w:rPr>
            </w:pPr>
          </w:p>
        </w:tc>
        <w:tc>
          <w:tcPr>
            <w:tcW w:w="4111" w:type="dxa"/>
            <w:tcBorders>
              <w:top w:val="nil"/>
              <w:left w:val="nil"/>
              <w:bottom w:val="nil"/>
              <w:right w:val="nil"/>
            </w:tcBorders>
          </w:tcPr>
          <w:p w:rsidR="0093798A" w:rsidRDefault="0093798A" w:rsidP="00574EDA">
            <w:pPr>
              <w:pStyle w:val="ae"/>
              <w:tabs>
                <w:tab w:val="right" w:pos="4620"/>
              </w:tabs>
              <w:rPr>
                <w:noProof w:val="0"/>
              </w:rPr>
            </w:pPr>
          </w:p>
        </w:tc>
        <w:tc>
          <w:tcPr>
            <w:tcW w:w="284" w:type="dxa"/>
            <w:tcBorders>
              <w:top w:val="nil"/>
              <w:left w:val="nil"/>
              <w:bottom w:val="nil"/>
              <w:right w:val="nil"/>
            </w:tcBorders>
          </w:tcPr>
          <w:p w:rsidR="0093798A" w:rsidRDefault="0093798A" w:rsidP="00574EDA">
            <w:pPr>
              <w:pStyle w:val="ae"/>
              <w:tabs>
                <w:tab w:val="right" w:pos="4620"/>
              </w:tabs>
              <w:rPr>
                <w:noProof w:val="0"/>
              </w:rPr>
            </w:pPr>
          </w:p>
        </w:tc>
      </w:tr>
      <w:bookmarkEnd w:id="0"/>
    </w:tbl>
    <w:p w:rsidR="0093798A" w:rsidRDefault="0093798A" w:rsidP="0093798A">
      <w:pPr>
        <w:tabs>
          <w:tab w:val="right" w:pos="4620"/>
        </w:tabs>
        <w:rPr>
          <w:sz w:val="21"/>
          <w:rtl/>
        </w:rPr>
      </w:pPr>
    </w:p>
    <w:p w:rsidR="003F7890" w:rsidRPr="0093798A" w:rsidRDefault="003F7890" w:rsidP="0093798A"/>
    <w:sectPr w:rsidR="003F7890" w:rsidRPr="0093798A"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CB" w:rsidRDefault="001032CB" w:rsidP="005F7985">
      <w:pPr>
        <w:spacing w:after="0" w:line="240" w:lineRule="auto"/>
      </w:pPr>
      <w:r>
        <w:separator/>
      </w:r>
    </w:p>
  </w:endnote>
  <w:endnote w:type="continuationSeparator" w:id="0">
    <w:p w:rsidR="001032CB" w:rsidRDefault="001032C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CB" w:rsidRDefault="001032CB" w:rsidP="005F7985">
      <w:pPr>
        <w:spacing w:after="0" w:line="240" w:lineRule="auto"/>
      </w:pPr>
      <w:r>
        <w:separator/>
      </w:r>
    </w:p>
  </w:footnote>
  <w:footnote w:type="continuationSeparator" w:id="0">
    <w:p w:rsidR="001032CB" w:rsidRDefault="001032CB" w:rsidP="005F7985">
      <w:pPr>
        <w:spacing w:after="0" w:line="240" w:lineRule="auto"/>
      </w:pPr>
      <w:r>
        <w:continuationSeparator/>
      </w:r>
    </w:p>
  </w:footnote>
  <w:footnote w:id="1">
    <w:p w:rsidR="0093798A" w:rsidRPr="009A0FB2" w:rsidRDefault="0093798A" w:rsidP="0093798A">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r>
      <w:r w:rsidRPr="00AA1481">
        <w:rPr>
          <w:rtl/>
        </w:rPr>
        <w:t>השיחה הועברה ב</w:t>
      </w:r>
      <w:r>
        <w:rPr>
          <w:rFonts w:hint="cs"/>
          <w:rtl/>
        </w:rPr>
        <w:t xml:space="preserve">ערב שבת </w:t>
      </w:r>
      <w:r>
        <w:rPr>
          <w:rtl/>
        </w:rPr>
        <w:t xml:space="preserve">פרשת </w:t>
      </w:r>
      <w:r>
        <w:rPr>
          <w:rFonts w:hint="cs"/>
          <w:rtl/>
        </w:rPr>
        <w:t xml:space="preserve">כי </w:t>
      </w:r>
      <w:proofErr w:type="spellStart"/>
      <w:r>
        <w:rPr>
          <w:rFonts w:hint="cs"/>
          <w:rtl/>
        </w:rPr>
        <w:t>תשא</w:t>
      </w:r>
      <w:proofErr w:type="spellEnd"/>
      <w:r>
        <w:rPr>
          <w:rFonts w:hint="cs"/>
          <w:rtl/>
        </w:rPr>
        <w:t xml:space="preserve"> </w:t>
      </w:r>
      <w:r>
        <w:rPr>
          <w:rtl/>
        </w:rPr>
        <w:t>ה'תשע</w:t>
      </w:r>
      <w:r>
        <w:rPr>
          <w:rFonts w:hint="cs"/>
          <w:rtl/>
        </w:rPr>
        <w:t>"ד</w:t>
      </w:r>
      <w:r w:rsidR="00EC4407">
        <w:rPr>
          <w:rtl/>
        </w:rPr>
        <w:t xml:space="preserve">, </w:t>
      </w:r>
      <w:r w:rsidRPr="00AA1481">
        <w:rPr>
          <w:rtl/>
        </w:rPr>
        <w:t xml:space="preserve">סוכמה על ידי </w:t>
      </w:r>
      <w:r>
        <w:rPr>
          <w:rFonts w:hint="cs"/>
          <w:rtl/>
        </w:rPr>
        <w:t>בנימין פרנקל</w:t>
      </w:r>
      <w:r w:rsidR="00EC4407">
        <w:rPr>
          <w:rFonts w:hint="cs"/>
          <w:rtl/>
        </w:rPr>
        <w:t xml:space="preserve"> ונערכה ע"י אלישע אורון</w:t>
      </w:r>
      <w:r w:rsidRPr="00AA1481">
        <w:rPr>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20F26">
      <w:rPr>
        <w:b/>
        <w:bCs/>
        <w:noProof/>
        <w:sz w:val="21"/>
        <w:rtl/>
      </w:rPr>
      <w:t>2</w:t>
    </w:r>
    <w:r>
      <w:rPr>
        <w:b/>
        <w:bCs/>
        <w:sz w:val="21"/>
        <w:rtl/>
      </w:rPr>
      <w:fldChar w:fldCharType="end"/>
    </w:r>
    <w:r>
      <w:rPr>
        <w:b/>
        <w:bCs/>
        <w:sz w:val="21"/>
        <w:rtl/>
      </w:rPr>
      <w:t xml:space="preserve"> -</w:t>
    </w:r>
  </w:p>
  <w:p w:rsidR="00C05872" w:rsidRDefault="001032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1032CB">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7B74"/>
    <w:rsid w:val="001502DB"/>
    <w:rsid w:val="001A2419"/>
    <w:rsid w:val="001C08DD"/>
    <w:rsid w:val="001F137C"/>
    <w:rsid w:val="00272817"/>
    <w:rsid w:val="0028771E"/>
    <w:rsid w:val="002A394A"/>
    <w:rsid w:val="002D3217"/>
    <w:rsid w:val="00315192"/>
    <w:rsid w:val="0033127E"/>
    <w:rsid w:val="00345D27"/>
    <w:rsid w:val="00380328"/>
    <w:rsid w:val="003D7721"/>
    <w:rsid w:val="003E768B"/>
    <w:rsid w:val="003F7890"/>
    <w:rsid w:val="00402C36"/>
    <w:rsid w:val="00420F26"/>
    <w:rsid w:val="004360C9"/>
    <w:rsid w:val="00455395"/>
    <w:rsid w:val="004829C8"/>
    <w:rsid w:val="005149C3"/>
    <w:rsid w:val="00543BFF"/>
    <w:rsid w:val="00544704"/>
    <w:rsid w:val="005647CD"/>
    <w:rsid w:val="005B76C2"/>
    <w:rsid w:val="005E44BA"/>
    <w:rsid w:val="005F7985"/>
    <w:rsid w:val="006064E4"/>
    <w:rsid w:val="0061649C"/>
    <w:rsid w:val="00683AD6"/>
    <w:rsid w:val="006B1EF3"/>
    <w:rsid w:val="006B332C"/>
    <w:rsid w:val="0070000E"/>
    <w:rsid w:val="00707A86"/>
    <w:rsid w:val="007176D1"/>
    <w:rsid w:val="0077090A"/>
    <w:rsid w:val="00773F69"/>
    <w:rsid w:val="007873C0"/>
    <w:rsid w:val="007A6AB1"/>
    <w:rsid w:val="007B0711"/>
    <w:rsid w:val="007C5FA6"/>
    <w:rsid w:val="007E7500"/>
    <w:rsid w:val="00835345"/>
    <w:rsid w:val="00865437"/>
    <w:rsid w:val="008C5B82"/>
    <w:rsid w:val="008D309C"/>
    <w:rsid w:val="009002A5"/>
    <w:rsid w:val="009120C5"/>
    <w:rsid w:val="009215D9"/>
    <w:rsid w:val="0093798A"/>
    <w:rsid w:val="009724A7"/>
    <w:rsid w:val="0098126F"/>
    <w:rsid w:val="009B70F2"/>
    <w:rsid w:val="009C6C3A"/>
    <w:rsid w:val="009F1F91"/>
    <w:rsid w:val="009F301F"/>
    <w:rsid w:val="009F32DA"/>
    <w:rsid w:val="00A17CC0"/>
    <w:rsid w:val="00A67BCC"/>
    <w:rsid w:val="00AC4207"/>
    <w:rsid w:val="00AE1BD0"/>
    <w:rsid w:val="00B2236F"/>
    <w:rsid w:val="00B243F4"/>
    <w:rsid w:val="00B65D5E"/>
    <w:rsid w:val="00B7243D"/>
    <w:rsid w:val="00B86A06"/>
    <w:rsid w:val="00BC7C5F"/>
    <w:rsid w:val="00BD32A3"/>
    <w:rsid w:val="00BD38AD"/>
    <w:rsid w:val="00BE1240"/>
    <w:rsid w:val="00C25383"/>
    <w:rsid w:val="00CA3B41"/>
    <w:rsid w:val="00CB11E4"/>
    <w:rsid w:val="00CB73CC"/>
    <w:rsid w:val="00CC778C"/>
    <w:rsid w:val="00CF363C"/>
    <w:rsid w:val="00D70DEE"/>
    <w:rsid w:val="00DB0EBF"/>
    <w:rsid w:val="00E526E4"/>
    <w:rsid w:val="00E82DA9"/>
    <w:rsid w:val="00EA205A"/>
    <w:rsid w:val="00EA261D"/>
    <w:rsid w:val="00EA3490"/>
    <w:rsid w:val="00EC4407"/>
    <w:rsid w:val="00ED4AE0"/>
    <w:rsid w:val="00F325DB"/>
    <w:rsid w:val="00F95556"/>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3658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2017-03-16T07:33:00Z</dcterms:created>
  <dcterms:modified xsi:type="dcterms:W3CDTF">2017-03-16T07:41:00Z</dcterms:modified>
</cp:coreProperties>
</file>