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397BCD" w:rsidP="00332F5E">
      <w:pPr>
        <w:pStyle w:val="20"/>
        <w:ind w:firstLine="720"/>
        <w:rPr>
          <w:rFonts w:ascii="Narkisim" w:hAnsi="Narkisim" w:cs="Narkisim"/>
          <w:sz w:val="36"/>
          <w:szCs w:val="36"/>
          <w:rtl/>
        </w:rPr>
      </w:pPr>
      <w:r w:rsidRPr="00397BCD">
        <w:rPr>
          <w:rFonts w:ascii="Narkisim" w:hAnsi="Narkisim" w:cs="Narkisim"/>
          <w:sz w:val="36"/>
          <w:szCs w:val="36"/>
          <w:rtl/>
        </w:rPr>
        <w:t>חמץ של הקדש</w:t>
      </w:r>
      <w:r w:rsidR="00D627A0">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EA508F">
      <w:pPr>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397BCD" w:rsidRDefault="00FE100E" w:rsidP="00FE100E">
      <w:pPr>
        <w:autoSpaceDE/>
        <w:autoSpaceDN/>
        <w:spacing w:after="160" w:line="360" w:lineRule="auto"/>
        <w:rPr>
          <w:rFonts w:ascii="Narkisim" w:eastAsia="Calibri" w:hAnsi="Narkisim"/>
          <w:sz w:val="24"/>
          <w:szCs w:val="24"/>
          <w:rtl/>
        </w:rPr>
      </w:pPr>
      <w:r>
        <w:rPr>
          <w:rFonts w:ascii="Narkisim" w:eastAsia="Calibri" w:hAnsi="Narkisim"/>
          <w:sz w:val="24"/>
          <w:szCs w:val="24"/>
          <w:rtl/>
        </w:rPr>
        <w:lastRenderedPageBreak/>
        <w:t>הגמרא בפסחים</w:t>
      </w:r>
      <w:r w:rsidR="007B631F">
        <w:rPr>
          <w:rFonts w:ascii="Narkisim" w:eastAsia="Calibri" w:hAnsi="Narkisim" w:hint="cs"/>
          <w:sz w:val="24"/>
          <w:szCs w:val="24"/>
          <w:rtl/>
        </w:rPr>
        <w:t xml:space="preserve"> </w:t>
      </w:r>
      <w:r>
        <w:rPr>
          <w:rFonts w:ascii="Narkisim" w:eastAsia="Calibri" w:hAnsi="Narkisim" w:hint="cs"/>
          <w:sz w:val="24"/>
          <w:szCs w:val="24"/>
          <w:rtl/>
        </w:rPr>
        <w:t>מביאה</w:t>
      </w:r>
      <w:r>
        <w:rPr>
          <w:rFonts w:ascii="Narkisim" w:eastAsia="Calibri" w:hAnsi="Narkisim"/>
          <w:sz w:val="24"/>
          <w:szCs w:val="24"/>
          <w:rtl/>
        </w:rPr>
        <w:t xml:space="preserve"> ברייתא</w:t>
      </w:r>
      <w:r>
        <w:rPr>
          <w:rFonts w:ascii="Narkisim" w:eastAsia="Calibri" w:hAnsi="Narkisim" w:hint="cs"/>
          <w:sz w:val="24"/>
          <w:szCs w:val="24"/>
          <w:rtl/>
        </w:rPr>
        <w:t>:</w:t>
      </w:r>
      <w:r w:rsidR="005C3873" w:rsidRPr="005C3873">
        <w:rPr>
          <w:rStyle w:val="a6"/>
          <w:color w:val="FFFFFF" w:themeColor="background1"/>
          <w:rtl/>
        </w:rPr>
        <w:t xml:space="preserve"> </w:t>
      </w:r>
      <w:r w:rsidR="005C3873" w:rsidRPr="0044482C">
        <w:rPr>
          <w:rStyle w:val="a6"/>
          <w:color w:val="FFFFFF" w:themeColor="background1"/>
          <w:rtl/>
        </w:rPr>
        <w:footnoteReference w:customMarkFollows="1" w:id="1"/>
        <w:t>*</w:t>
      </w:r>
    </w:p>
    <w:p w:rsidR="00FE100E" w:rsidRPr="00FE100E" w:rsidRDefault="00FE100E" w:rsidP="00FE100E">
      <w:pPr>
        <w:pStyle w:val="aa"/>
        <w:rPr>
          <w:sz w:val="22"/>
          <w:szCs w:val="24"/>
          <w:rtl/>
        </w:rPr>
      </w:pPr>
      <w:r>
        <w:rPr>
          <w:rFonts w:hint="cs"/>
          <w:sz w:val="22"/>
          <w:szCs w:val="24"/>
          <w:rtl/>
        </w:rPr>
        <w:t>"</w:t>
      </w:r>
      <w:r w:rsidRPr="00FE100E">
        <w:rPr>
          <w:sz w:val="22"/>
          <w:szCs w:val="24"/>
          <w:rtl/>
        </w:rPr>
        <w:t>לא יראה לך שאור</w:t>
      </w:r>
      <w:r>
        <w:rPr>
          <w:rFonts w:hint="cs"/>
          <w:sz w:val="22"/>
          <w:szCs w:val="24"/>
          <w:rtl/>
        </w:rPr>
        <w:t xml:space="preserve">" </w:t>
      </w:r>
      <w:r>
        <w:rPr>
          <w:sz w:val="22"/>
          <w:szCs w:val="24"/>
          <w:rtl/>
        </w:rPr>
        <w:t>–</w:t>
      </w:r>
      <w:r w:rsidRPr="00FE100E">
        <w:rPr>
          <w:sz w:val="22"/>
          <w:szCs w:val="24"/>
          <w:rtl/>
        </w:rPr>
        <w:t xml:space="preserve"> שלך אי אתה רואה אבל אתה רואה של אחרים ושל גבוה</w:t>
      </w:r>
      <w:r>
        <w:rPr>
          <w:rFonts w:hint="cs"/>
          <w:sz w:val="22"/>
          <w:szCs w:val="24"/>
          <w:rtl/>
        </w:rPr>
        <w:t>.</w:t>
      </w:r>
      <w:r w:rsidRPr="00FE100E">
        <w:rPr>
          <w:sz w:val="22"/>
          <w:szCs w:val="24"/>
          <w:rtl/>
        </w:rPr>
        <w:t xml:space="preserve"> יכול יטמין ויקבל פקדונות מן הנכרי</w:t>
      </w:r>
      <w:r>
        <w:rPr>
          <w:rFonts w:hint="cs"/>
          <w:sz w:val="22"/>
          <w:szCs w:val="24"/>
          <w:rtl/>
        </w:rPr>
        <w:t>?</w:t>
      </w:r>
      <w:r w:rsidRPr="00FE100E">
        <w:rPr>
          <w:sz w:val="22"/>
          <w:szCs w:val="24"/>
          <w:rtl/>
        </w:rPr>
        <w:t xml:space="preserve"> ת"ל </w:t>
      </w:r>
      <w:r>
        <w:rPr>
          <w:rFonts w:hint="cs"/>
          <w:sz w:val="22"/>
          <w:szCs w:val="24"/>
          <w:rtl/>
        </w:rPr>
        <w:t>"</w:t>
      </w:r>
      <w:r w:rsidRPr="00FE100E">
        <w:rPr>
          <w:sz w:val="22"/>
          <w:szCs w:val="24"/>
          <w:rtl/>
        </w:rPr>
        <w:t>לא ימצא</w:t>
      </w:r>
      <w:r>
        <w:rPr>
          <w:rFonts w:hint="cs"/>
          <w:sz w:val="22"/>
          <w:szCs w:val="24"/>
          <w:rtl/>
        </w:rPr>
        <w:t>".</w:t>
      </w:r>
      <w:r>
        <w:rPr>
          <w:rFonts w:hint="cs"/>
          <w:sz w:val="22"/>
          <w:szCs w:val="24"/>
          <w:rtl/>
        </w:rPr>
        <w:tab/>
      </w:r>
      <w:r w:rsidRPr="007B631F">
        <w:rPr>
          <w:rFonts w:ascii="Narkisim" w:eastAsia="Calibri" w:hAnsi="Narkisim"/>
          <w:szCs w:val="20"/>
          <w:rtl/>
        </w:rPr>
        <w:t>(</w:t>
      </w:r>
      <w:r>
        <w:rPr>
          <w:rFonts w:ascii="Narkisim" w:eastAsia="Calibri" w:hAnsi="Narkisim" w:hint="cs"/>
          <w:szCs w:val="20"/>
          <w:rtl/>
        </w:rPr>
        <w:t xml:space="preserve">פסחים </w:t>
      </w:r>
      <w:r w:rsidRPr="007B631F">
        <w:rPr>
          <w:rFonts w:ascii="Narkisim" w:eastAsia="Calibri" w:hAnsi="Narkisim"/>
          <w:szCs w:val="20"/>
          <w:rtl/>
        </w:rPr>
        <w:t>ה:)</w:t>
      </w:r>
      <w:r>
        <w:rPr>
          <w:rFonts w:ascii="Narkisim" w:eastAsia="Calibri" w:hAnsi="Narkisim" w:hint="cs"/>
          <w:szCs w:val="20"/>
          <w:rtl/>
        </w:rPr>
        <w:t>.</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נראה כי הברייתא אינה עקבית: בחלק הראשון של הברייתא, נוכרים והקדש נכרכים כאחד. אולם בהמשך, רק חמץ של נוכרים נכלל באיסור פיקדון. מדוע הברייתא משמיטה את האיסור לקבל פיקדון של הקדש? האם איסור כזה אכן קיים? </w:t>
      </w:r>
    </w:p>
    <w:p w:rsidR="00397BCD" w:rsidRPr="007B631F" w:rsidRDefault="00FE100E" w:rsidP="00FE100E">
      <w:pPr>
        <w:autoSpaceDE/>
        <w:autoSpaceDN/>
        <w:spacing w:after="160" w:line="360" w:lineRule="auto"/>
        <w:rPr>
          <w:rFonts w:ascii="Narkisim" w:eastAsia="Calibri" w:hAnsi="Narkisim"/>
          <w:sz w:val="24"/>
          <w:szCs w:val="24"/>
          <w:rtl/>
        </w:rPr>
      </w:pPr>
      <w:r>
        <w:rPr>
          <w:rFonts w:ascii="Narkisim" w:eastAsia="Calibri" w:hAnsi="Narkisim"/>
          <w:sz w:val="24"/>
          <w:szCs w:val="24"/>
          <w:rtl/>
        </w:rPr>
        <w:t>לדעת הצל"ח והפני יהוש</w:t>
      </w:r>
      <w:r w:rsidR="00397BCD" w:rsidRPr="007B631F">
        <w:rPr>
          <w:rFonts w:ascii="Narkisim" w:eastAsia="Calibri" w:hAnsi="Narkisim"/>
          <w:sz w:val="24"/>
          <w:szCs w:val="24"/>
          <w:rtl/>
        </w:rPr>
        <w:t>ע</w:t>
      </w:r>
      <w:r>
        <w:rPr>
          <w:rFonts w:ascii="Narkisim" w:eastAsia="Calibri" w:hAnsi="Narkisim" w:hint="cs"/>
          <w:sz w:val="24"/>
          <w:szCs w:val="24"/>
          <w:rtl/>
        </w:rPr>
        <w:t>,</w:t>
      </w:r>
      <w:r w:rsidR="00397BCD" w:rsidRPr="007B631F">
        <w:rPr>
          <w:rFonts w:ascii="Narkisim" w:eastAsia="Calibri" w:hAnsi="Narkisim"/>
          <w:sz w:val="24"/>
          <w:szCs w:val="24"/>
          <w:rtl/>
        </w:rPr>
        <w:t xml:space="preserve"> אם אדם מקבל חמץ כפיקדון בימי הפסח הוא עובר עליו בבל ייראה ובל יימצא, גם אם מדובר בחמץ של הקדש. הם אף מסבירים מדוע השמיטה הברייתא איסור זה </w:t>
      </w:r>
      <w:r>
        <w:rPr>
          <w:rFonts w:ascii="Narkisim" w:eastAsia="Calibri" w:hAnsi="Narkisim" w:hint="cs"/>
          <w:sz w:val="24"/>
          <w:szCs w:val="24"/>
          <w:rtl/>
        </w:rPr>
        <w:t>(אך לא נרחב בכך)</w:t>
      </w:r>
      <w:r w:rsidR="00397BCD" w:rsidRPr="007B631F">
        <w:rPr>
          <w:rFonts w:ascii="Narkisim" w:eastAsia="Calibri" w:hAnsi="Narkisim"/>
          <w:sz w:val="24"/>
          <w:szCs w:val="24"/>
          <w:rtl/>
        </w:rPr>
        <w:t>.</w:t>
      </w:r>
    </w:p>
    <w:p w:rsidR="00397BCD" w:rsidRPr="007B631F" w:rsidRDefault="00397BCD" w:rsidP="00FE100E">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הרמב"ם </w:t>
      </w:r>
      <w:r w:rsidRPr="00FE100E">
        <w:rPr>
          <w:rFonts w:ascii="Narkisim" w:eastAsia="Calibri" w:hAnsi="Narkisim"/>
          <w:szCs w:val="20"/>
          <w:rtl/>
        </w:rPr>
        <w:t>(הלכות חמץ ומצה ד, ג)</w:t>
      </w:r>
      <w:r w:rsidRPr="007B631F">
        <w:rPr>
          <w:rFonts w:ascii="Narkisim" w:eastAsia="Calibri" w:hAnsi="Narkisim"/>
          <w:sz w:val="24"/>
          <w:szCs w:val="24"/>
          <w:rtl/>
        </w:rPr>
        <w:t xml:space="preserve"> מזכיר רק את האיסור לקבל פיקדון מנוכרי, אך אינו מזכיר איסור זה ביחס להקדש. אף שהאור שמח מסביר כי הרמב"ם מתייחס בדבריו גם לחמץ של הקדש, נראה כי הרמב"ם מחלק בין חמץ של נוכרי ובין חמץ של הקדש. מה הבסיס לחילוק זה? </w:t>
      </w:r>
    </w:p>
    <w:p w:rsidR="00397BCD" w:rsidRPr="007B631F" w:rsidRDefault="00397BCD" w:rsidP="00FE100E">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שמעתי פעם מהרב סולובייצ'יק ז"ל שאמר בשם אביו, הגאון הרב משה סולובייצ'יק, שברמת העיקרון, לחמץ של נוכרי ולחמץ של הקדש יש מעמד זהה</w:t>
      </w:r>
      <w:r w:rsidR="00FE100E">
        <w:rPr>
          <w:rFonts w:ascii="Narkisim" w:eastAsia="Calibri" w:hAnsi="Narkisim" w:hint="cs"/>
          <w:sz w:val="24"/>
          <w:szCs w:val="24"/>
          <w:rtl/>
        </w:rPr>
        <w:t>;</w:t>
      </w:r>
      <w:r w:rsidRPr="007B631F">
        <w:rPr>
          <w:rFonts w:ascii="Narkisim" w:eastAsia="Calibri" w:hAnsi="Narkisim"/>
          <w:sz w:val="24"/>
          <w:szCs w:val="24"/>
          <w:rtl/>
        </w:rPr>
        <w:t xml:space="preserve"> אלא שמבחינה טכנית, לא ניתן לקבל אחריות על חמץ של הקדש, ועל כן מקרה זה אינו מוזכר בבר</w:t>
      </w:r>
      <w:r w:rsidR="00FE100E">
        <w:rPr>
          <w:rFonts w:ascii="Narkisim" w:eastAsia="Calibri" w:hAnsi="Narkisim"/>
          <w:sz w:val="24"/>
          <w:szCs w:val="24"/>
          <w:rtl/>
        </w:rPr>
        <w:t>ייתא</w:t>
      </w:r>
      <w:r w:rsidRPr="007B631F">
        <w:rPr>
          <w:rFonts w:ascii="Narkisim" w:eastAsia="Calibri" w:hAnsi="Narkisim"/>
          <w:sz w:val="24"/>
          <w:szCs w:val="24"/>
          <w:rtl/>
        </w:rPr>
        <w:t xml:space="preserve"> </w:t>
      </w:r>
      <w:r w:rsidR="00FE100E">
        <w:rPr>
          <w:rFonts w:ascii="Narkisim" w:eastAsia="Calibri" w:hAnsi="Narkisim" w:hint="cs"/>
          <w:sz w:val="24"/>
          <w:szCs w:val="24"/>
          <w:rtl/>
        </w:rPr>
        <w:t>(</w:t>
      </w:r>
      <w:r w:rsidRPr="007B631F">
        <w:rPr>
          <w:rFonts w:ascii="Narkisim" w:eastAsia="Calibri" w:hAnsi="Narkisim"/>
          <w:sz w:val="24"/>
          <w:szCs w:val="24"/>
          <w:rtl/>
        </w:rPr>
        <w:t>הסבר זה מניח כמה הנחות מוטלות בספק ומצריך קו מחשבה מו</w:t>
      </w:r>
      <w:r w:rsidR="00FE100E">
        <w:rPr>
          <w:rFonts w:ascii="Narkisim" w:eastAsia="Calibri" w:hAnsi="Narkisim"/>
          <w:sz w:val="24"/>
          <w:szCs w:val="24"/>
          <w:rtl/>
        </w:rPr>
        <w:t>רכב למדי; לא נדון בו במסגרת זו</w:t>
      </w:r>
      <w:r w:rsidR="00FE100E">
        <w:rPr>
          <w:rFonts w:ascii="Narkisim" w:eastAsia="Calibri" w:hAnsi="Narkisim" w:hint="cs"/>
          <w:sz w:val="24"/>
          <w:szCs w:val="24"/>
          <w:rtl/>
        </w:rPr>
        <w:t>)</w:t>
      </w:r>
      <w:r w:rsidR="00FE100E">
        <w:rPr>
          <w:rFonts w:ascii="Narkisim" w:eastAsia="Calibri" w:hAnsi="Narkisim"/>
          <w:sz w:val="24"/>
          <w:szCs w:val="24"/>
          <w:rtl/>
        </w:rPr>
        <w:t>.</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lastRenderedPageBreak/>
        <w:t xml:space="preserve">עדיין קיימת האפשרות העקרונית להסביר כי יש הבדל עקרוני בין חמץ של נוכרי ובין חמץ של הקדש (למרות העובדה  ששניהם נלמדים מאותו פסוק). </w:t>
      </w:r>
      <w:r w:rsidR="00556AC3">
        <w:rPr>
          <w:rFonts w:ascii="Narkisim" w:eastAsia="Calibri" w:hAnsi="Narkisim" w:hint="cs"/>
          <w:sz w:val="24"/>
          <w:szCs w:val="24"/>
          <w:rtl/>
        </w:rPr>
        <w:t>הבדל זה ננסה ללמוד מהסוגיות העוסקות בהונאה בהקדש ובגוי.</w:t>
      </w:r>
    </w:p>
    <w:p w:rsidR="00397BCD" w:rsidRPr="00FE100E" w:rsidRDefault="00556AC3" w:rsidP="00FE100E">
      <w:pPr>
        <w:pStyle w:val="2"/>
      </w:pPr>
      <w:r>
        <w:rPr>
          <w:rFonts w:hint="cs"/>
          <w:rtl/>
        </w:rPr>
        <w:t>הונאה בהקדש ובגוי</w:t>
      </w:r>
    </w:p>
    <w:p w:rsidR="00FE100E" w:rsidRDefault="00397BCD" w:rsidP="00FE100E">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המשנה בבבא מציעא </w:t>
      </w:r>
      <w:r w:rsidRPr="00FE100E">
        <w:rPr>
          <w:rFonts w:ascii="Narkisim" w:eastAsia="Calibri" w:hAnsi="Narkisim"/>
          <w:szCs w:val="20"/>
          <w:rtl/>
        </w:rPr>
        <w:t>(נו.)</w:t>
      </w:r>
      <w:r w:rsidRPr="007B631F">
        <w:rPr>
          <w:rFonts w:ascii="Narkisim" w:eastAsia="Calibri" w:hAnsi="Narkisim"/>
          <w:sz w:val="24"/>
          <w:szCs w:val="24"/>
          <w:rtl/>
        </w:rPr>
        <w:t xml:space="preserve"> ובשבועות </w:t>
      </w:r>
      <w:r w:rsidRPr="00FE100E">
        <w:rPr>
          <w:rFonts w:ascii="Narkisim" w:eastAsia="Calibri" w:hAnsi="Narkisim"/>
          <w:szCs w:val="20"/>
          <w:rtl/>
        </w:rPr>
        <w:t>(מב:)</w:t>
      </w:r>
      <w:r w:rsidRPr="007B631F">
        <w:rPr>
          <w:rFonts w:ascii="Narkisim" w:eastAsia="Calibri" w:hAnsi="Narkisim"/>
          <w:sz w:val="24"/>
          <w:szCs w:val="24"/>
          <w:rtl/>
        </w:rPr>
        <w:t>, מונה את כל התחומים שאי</w:t>
      </w:r>
      <w:r w:rsidR="00FE100E">
        <w:rPr>
          <w:rFonts w:ascii="Narkisim" w:eastAsia="Calibri" w:hAnsi="Narkisim"/>
          <w:sz w:val="24"/>
          <w:szCs w:val="24"/>
          <w:rtl/>
        </w:rPr>
        <w:t>נם כלולים בדיני הונאה, כמו למשל</w:t>
      </w:r>
      <w:r w:rsidRPr="007B631F">
        <w:rPr>
          <w:rFonts w:ascii="Narkisim" w:eastAsia="Calibri" w:hAnsi="Narkisim"/>
          <w:sz w:val="24"/>
          <w:szCs w:val="24"/>
          <w:rtl/>
        </w:rPr>
        <w:t xml:space="preserve"> עבדים, קרקעות והקדש. המשנה אינה מציינת נוכרים. אולם הגמרא בבכורות </w:t>
      </w:r>
      <w:r w:rsidRPr="00FE100E">
        <w:rPr>
          <w:rFonts w:ascii="Narkisim" w:eastAsia="Calibri" w:hAnsi="Narkisim"/>
          <w:szCs w:val="20"/>
          <w:rtl/>
        </w:rPr>
        <w:t>(יג:)</w:t>
      </w:r>
      <w:r w:rsidRPr="007B631F">
        <w:rPr>
          <w:rFonts w:ascii="Narkisim" w:eastAsia="Calibri" w:hAnsi="Narkisim"/>
          <w:sz w:val="24"/>
          <w:szCs w:val="24"/>
          <w:rtl/>
        </w:rPr>
        <w:t xml:space="preserve"> פוסקת כי דיני </w:t>
      </w:r>
      <w:r w:rsidR="00FE100E">
        <w:rPr>
          <w:rFonts w:ascii="Narkisim" w:eastAsia="Calibri" w:hAnsi="Narkisim" w:hint="cs"/>
          <w:sz w:val="24"/>
          <w:szCs w:val="24"/>
          <w:rtl/>
        </w:rPr>
        <w:t>ה</w:t>
      </w:r>
      <w:r w:rsidRPr="007B631F">
        <w:rPr>
          <w:rFonts w:ascii="Narkisim" w:eastAsia="Calibri" w:hAnsi="Narkisim"/>
          <w:sz w:val="24"/>
          <w:szCs w:val="24"/>
          <w:rtl/>
        </w:rPr>
        <w:t xml:space="preserve">ונאה אינם חלים על נוכרי. מדוע המשנה בבבא מציעא אינה מציינת כי נוכרי אינו כלול בדיני אונאה? </w:t>
      </w:r>
    </w:p>
    <w:p w:rsidR="00397BCD" w:rsidRPr="007B631F" w:rsidRDefault="00397BCD" w:rsidP="00FE100E">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התשובה ברורה. המשנה בבבא מציעא דנה בחפצים</w:t>
      </w:r>
      <w:r w:rsidR="00FE100E">
        <w:rPr>
          <w:rFonts w:ascii="Narkisim" w:eastAsia="Calibri" w:hAnsi="Narkisim"/>
          <w:sz w:val="24"/>
          <w:szCs w:val="24"/>
          <w:rtl/>
        </w:rPr>
        <w:t xml:space="preserve"> בהם לא חלה </w:t>
      </w:r>
      <w:r w:rsidR="00FE100E">
        <w:rPr>
          <w:rFonts w:ascii="Narkisim" w:eastAsia="Calibri" w:hAnsi="Narkisim" w:hint="cs"/>
          <w:sz w:val="24"/>
          <w:szCs w:val="24"/>
          <w:rtl/>
        </w:rPr>
        <w:t>ה</w:t>
      </w:r>
      <w:r w:rsidRPr="007B631F">
        <w:rPr>
          <w:rFonts w:ascii="Narkisim" w:eastAsia="Calibri" w:hAnsi="Narkisim"/>
          <w:sz w:val="24"/>
          <w:szCs w:val="24"/>
          <w:rtl/>
        </w:rPr>
        <w:t>ונאה</w:t>
      </w:r>
      <w:r w:rsidR="00FE100E">
        <w:rPr>
          <w:rFonts w:ascii="Narkisim" w:eastAsia="Calibri" w:hAnsi="Narkisim" w:hint="cs"/>
          <w:sz w:val="24"/>
          <w:szCs w:val="24"/>
          <w:rtl/>
        </w:rPr>
        <w:t>, ואילו</w:t>
      </w:r>
      <w:r w:rsidRPr="007B631F">
        <w:rPr>
          <w:rFonts w:ascii="Narkisim" w:eastAsia="Calibri" w:hAnsi="Narkisim"/>
          <w:sz w:val="24"/>
          <w:szCs w:val="24"/>
          <w:rtl/>
        </w:rPr>
        <w:t xml:space="preserve"> הגמרא בבכורות דנה באנשים עליהם לא חל דין </w:t>
      </w:r>
      <w:r w:rsidR="00FE100E">
        <w:rPr>
          <w:rFonts w:ascii="Narkisim" w:eastAsia="Calibri" w:hAnsi="Narkisim" w:hint="cs"/>
          <w:sz w:val="24"/>
          <w:szCs w:val="24"/>
          <w:rtl/>
        </w:rPr>
        <w:t>ה</w:t>
      </w:r>
      <w:r w:rsidRPr="007B631F">
        <w:rPr>
          <w:rFonts w:ascii="Narkisim" w:eastAsia="Calibri" w:hAnsi="Narkisim"/>
          <w:sz w:val="24"/>
          <w:szCs w:val="24"/>
          <w:rtl/>
        </w:rPr>
        <w:t xml:space="preserve">ונאה (גברא). פטור קרקע מדיני </w:t>
      </w:r>
      <w:r w:rsidR="00FE100E">
        <w:rPr>
          <w:rFonts w:ascii="Narkisim" w:eastAsia="Calibri" w:hAnsi="Narkisim" w:hint="cs"/>
          <w:sz w:val="24"/>
          <w:szCs w:val="24"/>
          <w:rtl/>
        </w:rPr>
        <w:t>ה</w:t>
      </w:r>
      <w:r w:rsidRPr="007B631F">
        <w:rPr>
          <w:rFonts w:ascii="Narkisim" w:eastAsia="Calibri" w:hAnsi="Narkisim"/>
          <w:sz w:val="24"/>
          <w:szCs w:val="24"/>
          <w:rtl/>
        </w:rPr>
        <w:t xml:space="preserve">ונאה אינו בשל הבדל מהותי בינה ובין שאר החפצים, אלא רק בשל העובדה כי היא אינה ניידת (בעיה בחפצא). לעומת זאת, חפצים של נוכרי אינם כלולים בדיני הונאה משום שהתורה קבעה כי יש צורך בבעלות של יהודי על מנת להחיל את דיני הונאה (בעיה בגברא), </w:t>
      </w:r>
      <w:r w:rsidR="00FE100E">
        <w:rPr>
          <w:rFonts w:ascii="Narkisim" w:eastAsia="Calibri" w:hAnsi="Narkisim" w:hint="cs"/>
          <w:sz w:val="24"/>
          <w:szCs w:val="24"/>
          <w:rtl/>
        </w:rPr>
        <w:t xml:space="preserve">ולא </w:t>
      </w:r>
      <w:r w:rsidRPr="007B631F">
        <w:rPr>
          <w:rFonts w:ascii="Narkisim" w:eastAsia="Calibri" w:hAnsi="Narkisim"/>
          <w:sz w:val="24"/>
          <w:szCs w:val="24"/>
          <w:rtl/>
        </w:rPr>
        <w:t xml:space="preserve">בשל בעיה בחפצא. ממילא, למרות שדיני אונאה אינם חלים בשני המקרים, הם כתובים בשני מקומות שונים. </w:t>
      </w:r>
    </w:p>
    <w:p w:rsidR="00397BCD" w:rsidRPr="00FE100E" w:rsidRDefault="00397BCD" w:rsidP="00FE100E">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מכך שהקדש הוזכר בבבא מציעא ולא בבכורות אנו יכולים ללמוד את הדבר הבא: דיני </w:t>
      </w:r>
      <w:r w:rsidR="00FE100E">
        <w:rPr>
          <w:rFonts w:ascii="Narkisim" w:eastAsia="Calibri" w:hAnsi="Narkisim" w:hint="cs"/>
          <w:sz w:val="24"/>
          <w:szCs w:val="24"/>
          <w:rtl/>
        </w:rPr>
        <w:t>ה</w:t>
      </w:r>
      <w:r w:rsidRPr="007B631F">
        <w:rPr>
          <w:rFonts w:ascii="Narkisim" w:eastAsia="Calibri" w:hAnsi="Narkisim"/>
          <w:sz w:val="24"/>
          <w:szCs w:val="24"/>
          <w:rtl/>
        </w:rPr>
        <w:t>ונאה אינם חלים על חפצי הקדש בשל היותם שונים במהותם מחפצים אחרים (הבדל בחפצא). כ</w:t>
      </w:r>
      <w:r w:rsidR="00FE100E">
        <w:rPr>
          <w:rFonts w:ascii="Narkisim" w:eastAsia="Calibri" w:hAnsi="Narkisim" w:hint="cs"/>
          <w:sz w:val="24"/>
          <w:szCs w:val="24"/>
          <w:rtl/>
        </w:rPr>
        <w:t>י</w:t>
      </w:r>
      <w:r w:rsidRPr="007B631F">
        <w:rPr>
          <w:rFonts w:ascii="Narkisim" w:eastAsia="Calibri" w:hAnsi="Narkisim"/>
          <w:sz w:val="24"/>
          <w:szCs w:val="24"/>
          <w:rtl/>
        </w:rPr>
        <w:t>סא של הקדש שונה באופן מהותי מכ</w:t>
      </w:r>
      <w:r w:rsidR="00FE100E">
        <w:rPr>
          <w:rFonts w:ascii="Narkisim" w:eastAsia="Calibri" w:hAnsi="Narkisim" w:hint="cs"/>
          <w:sz w:val="24"/>
          <w:szCs w:val="24"/>
          <w:rtl/>
        </w:rPr>
        <w:t>י</w:t>
      </w:r>
      <w:r w:rsidRPr="007B631F">
        <w:rPr>
          <w:rFonts w:ascii="Narkisim" w:eastAsia="Calibri" w:hAnsi="Narkisim"/>
          <w:sz w:val="24"/>
          <w:szCs w:val="24"/>
          <w:rtl/>
        </w:rPr>
        <w:t>סא רגיל (כולל כ</w:t>
      </w:r>
      <w:r w:rsidR="00FE100E">
        <w:rPr>
          <w:rFonts w:ascii="Narkisim" w:eastAsia="Calibri" w:hAnsi="Narkisim" w:hint="cs"/>
          <w:sz w:val="24"/>
          <w:szCs w:val="24"/>
          <w:rtl/>
        </w:rPr>
        <w:t>י</w:t>
      </w:r>
      <w:r w:rsidRPr="007B631F">
        <w:rPr>
          <w:rFonts w:ascii="Narkisim" w:eastAsia="Calibri" w:hAnsi="Narkisim"/>
          <w:sz w:val="24"/>
          <w:szCs w:val="24"/>
          <w:rtl/>
        </w:rPr>
        <w:t xml:space="preserve">סא ששייך לנוכרי). הבדל זה נובע מהקדושה שישנה בחפץ של הקדש, המעניקה לו את מעמדו המיוחד, ששונה ממעמדם של חפצים </w:t>
      </w:r>
      <w:r w:rsidRPr="007B631F">
        <w:rPr>
          <w:rFonts w:ascii="Narkisim" w:eastAsia="Calibri" w:hAnsi="Narkisim"/>
          <w:sz w:val="24"/>
          <w:szCs w:val="24"/>
          <w:rtl/>
        </w:rPr>
        <w:lastRenderedPageBreak/>
        <w:t>אחרים בהגדרה. מנגד, חפץ שאינו שייך להקדש שומר על זהותו הבסיסית בין אם הוא שייך ליהודי או לנוכרי. זהו ההב</w:t>
      </w:r>
      <w:r w:rsidR="00FE100E">
        <w:rPr>
          <w:rFonts w:ascii="Narkisim" w:eastAsia="Calibri" w:hAnsi="Narkisim"/>
          <w:sz w:val="24"/>
          <w:szCs w:val="24"/>
          <w:rtl/>
        </w:rPr>
        <w:t xml:space="preserve">דל הראשון בין הקדש ובין חולין. </w:t>
      </w:r>
    </w:p>
    <w:p w:rsidR="00397BCD" w:rsidRPr="007B631F" w:rsidRDefault="00397BCD" w:rsidP="00556AC3">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עם זאת, לדעת הגמרא בבכורות, ישנה הקבלה בין הקדש ובין נוכרי, ועל כן גם כשחפץ נקנה לצורך הקדש אין חלים ע</w:t>
      </w:r>
      <w:r w:rsidR="00556AC3">
        <w:rPr>
          <w:rFonts w:ascii="Narkisim" w:eastAsia="Calibri" w:hAnsi="Narkisim"/>
          <w:sz w:val="24"/>
          <w:szCs w:val="24"/>
          <w:rtl/>
        </w:rPr>
        <w:t xml:space="preserve">ליו דיני </w:t>
      </w:r>
      <w:r w:rsidR="00556AC3">
        <w:rPr>
          <w:rFonts w:ascii="Narkisim" w:eastAsia="Calibri" w:hAnsi="Narkisim" w:hint="cs"/>
          <w:sz w:val="24"/>
          <w:szCs w:val="24"/>
          <w:rtl/>
        </w:rPr>
        <w:t>ה</w:t>
      </w:r>
      <w:r w:rsidRPr="007B631F">
        <w:rPr>
          <w:rFonts w:ascii="Narkisim" w:eastAsia="Calibri" w:hAnsi="Narkisim"/>
          <w:sz w:val="24"/>
          <w:szCs w:val="24"/>
          <w:rtl/>
        </w:rPr>
        <w:t>ונאה. דבר זה אינו נובע מאופיו הייחודי של חפץ הקדש (שהרי לפני שהוא נקנה הוא אינו שייך להקדש).</w:t>
      </w:r>
      <w:r w:rsidR="00556AC3">
        <w:rPr>
          <w:rFonts w:ascii="Narkisim" w:eastAsia="Calibri" w:hAnsi="Narkisim" w:hint="cs"/>
          <w:sz w:val="24"/>
          <w:szCs w:val="24"/>
          <w:rtl/>
        </w:rPr>
        <w:t xml:space="preserve"> </w:t>
      </w:r>
      <w:r w:rsidRPr="007B631F">
        <w:rPr>
          <w:rFonts w:ascii="Narkisim" w:eastAsia="Calibri" w:hAnsi="Narkisim"/>
          <w:sz w:val="24"/>
          <w:szCs w:val="24"/>
          <w:rtl/>
        </w:rPr>
        <w:t xml:space="preserve">על כן, אנו מוכרחים להסביר כי הקדש אינו כלול בדיני </w:t>
      </w:r>
      <w:r w:rsidR="00556AC3">
        <w:rPr>
          <w:rFonts w:ascii="Narkisim" w:eastAsia="Calibri" w:hAnsi="Narkisim" w:hint="cs"/>
          <w:sz w:val="24"/>
          <w:szCs w:val="24"/>
          <w:rtl/>
        </w:rPr>
        <w:t>ה</w:t>
      </w:r>
      <w:r w:rsidRPr="007B631F">
        <w:rPr>
          <w:rFonts w:ascii="Narkisim" w:eastAsia="Calibri" w:hAnsi="Narkisim"/>
          <w:sz w:val="24"/>
          <w:szCs w:val="24"/>
          <w:rtl/>
        </w:rPr>
        <w:t>ונאה בשל ח</w:t>
      </w:r>
      <w:r w:rsidR="00556AC3">
        <w:rPr>
          <w:rFonts w:ascii="Narkisim" w:eastAsia="Calibri" w:hAnsi="Narkisim" w:hint="cs"/>
          <w:sz w:val="24"/>
          <w:szCs w:val="24"/>
          <w:rtl/>
        </w:rPr>
        <w:t>י</w:t>
      </w:r>
      <w:r w:rsidRPr="007B631F">
        <w:rPr>
          <w:rFonts w:ascii="Narkisim" w:eastAsia="Calibri" w:hAnsi="Narkisim"/>
          <w:sz w:val="24"/>
          <w:szCs w:val="24"/>
          <w:rtl/>
        </w:rPr>
        <w:t xml:space="preserve">סרון בבעלות (בעיה בגברא). ממילא, הקדש אינו שייך בדיני הונאה בשל שתי סיבות. </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ישנם מקרים בהם שייך פטור אחד, אולם הפטור השני אינו שייך:</w:t>
      </w:r>
    </w:p>
    <w:p w:rsidR="00397BCD" w:rsidRPr="007B631F" w:rsidRDefault="00556AC3" w:rsidP="00556AC3">
      <w:pPr>
        <w:autoSpaceDE/>
        <w:autoSpaceDN/>
        <w:spacing w:after="160" w:line="360" w:lineRule="auto"/>
        <w:rPr>
          <w:rFonts w:ascii="Narkisim" w:eastAsia="Calibri" w:hAnsi="Narkisim"/>
          <w:sz w:val="24"/>
          <w:szCs w:val="24"/>
          <w:rtl/>
        </w:rPr>
      </w:pPr>
      <w:r>
        <w:rPr>
          <w:rFonts w:ascii="Narkisim" w:eastAsia="Calibri" w:hAnsi="Narkisim"/>
          <w:sz w:val="24"/>
          <w:szCs w:val="24"/>
          <w:rtl/>
        </w:rPr>
        <w:t>חפצא של הקדש אך לא גברא</w:t>
      </w:r>
      <w:r>
        <w:rPr>
          <w:rFonts w:ascii="Narkisim" w:eastAsia="Calibri" w:hAnsi="Narkisim" w:hint="cs"/>
          <w:sz w:val="24"/>
          <w:szCs w:val="24"/>
          <w:rtl/>
        </w:rPr>
        <w:t xml:space="preserve"> </w:t>
      </w:r>
      <w:r>
        <w:rPr>
          <w:rFonts w:ascii="Narkisim" w:eastAsia="Calibri" w:hAnsi="Narkisim"/>
          <w:sz w:val="24"/>
          <w:szCs w:val="24"/>
          <w:rtl/>
        </w:rPr>
        <w:t>–</w:t>
      </w:r>
      <w:r w:rsidR="00397BCD" w:rsidRPr="007B631F">
        <w:rPr>
          <w:rFonts w:ascii="Narkisim" w:eastAsia="Calibri" w:hAnsi="Narkisim"/>
          <w:sz w:val="24"/>
          <w:szCs w:val="24"/>
          <w:rtl/>
        </w:rPr>
        <w:t xml:space="preserve"> רש"י בבבא מציעא </w:t>
      </w:r>
      <w:r w:rsidR="00397BCD" w:rsidRPr="00556AC3">
        <w:rPr>
          <w:rFonts w:ascii="Narkisim" w:eastAsia="Calibri" w:hAnsi="Narkisim"/>
          <w:szCs w:val="20"/>
          <w:rtl/>
        </w:rPr>
        <w:t>(נד. ד"ה "והקדשות")</w:t>
      </w:r>
      <w:r w:rsidR="00397BCD" w:rsidRPr="007B631F">
        <w:rPr>
          <w:rFonts w:ascii="Narkisim" w:eastAsia="Calibri" w:hAnsi="Narkisim"/>
          <w:sz w:val="24"/>
          <w:szCs w:val="24"/>
          <w:rtl/>
        </w:rPr>
        <w:t xml:space="preserve"> אומר כי דין הונאה אינו חל לגבי פסולי המקודשין (בהמות שיועדו להקרבה ונפסלו, וכעת בעליהם מוכר אותן). בעל הבהמה הוא המוכר אותה ולא ההקדש, ולמרות זאת יש פטור מדיני </w:t>
      </w:r>
      <w:r>
        <w:rPr>
          <w:rFonts w:ascii="Narkisim" w:eastAsia="Calibri" w:hAnsi="Narkisim" w:hint="cs"/>
          <w:sz w:val="24"/>
          <w:szCs w:val="24"/>
          <w:rtl/>
        </w:rPr>
        <w:t>ה</w:t>
      </w:r>
      <w:r w:rsidR="00397BCD" w:rsidRPr="007B631F">
        <w:rPr>
          <w:rFonts w:ascii="Narkisim" w:eastAsia="Calibri" w:hAnsi="Narkisim"/>
          <w:sz w:val="24"/>
          <w:szCs w:val="24"/>
          <w:rtl/>
        </w:rPr>
        <w:t xml:space="preserve">ונאה. צריך לומר כי פטור נובע ממעמד הקדושה העצמי של הבהמה שנרכש כאשר השתייכה להקדש. </w:t>
      </w:r>
    </w:p>
    <w:p w:rsidR="00397BCD" w:rsidRPr="007B631F" w:rsidRDefault="00556AC3" w:rsidP="00556AC3">
      <w:pPr>
        <w:autoSpaceDE/>
        <w:autoSpaceDN/>
        <w:spacing w:after="160" w:line="360" w:lineRule="auto"/>
        <w:rPr>
          <w:rFonts w:ascii="Narkisim" w:eastAsia="Calibri" w:hAnsi="Narkisim"/>
          <w:sz w:val="24"/>
          <w:szCs w:val="24"/>
        </w:rPr>
      </w:pPr>
      <w:r>
        <w:rPr>
          <w:rFonts w:ascii="Narkisim" w:eastAsia="Calibri" w:hAnsi="Narkisim"/>
          <w:sz w:val="24"/>
          <w:szCs w:val="24"/>
          <w:rtl/>
        </w:rPr>
        <w:t>גברא של הקדש אך לא חפצא</w:t>
      </w:r>
      <w:r>
        <w:rPr>
          <w:rFonts w:ascii="Narkisim" w:eastAsia="Calibri" w:hAnsi="Narkisim" w:hint="cs"/>
          <w:sz w:val="24"/>
          <w:szCs w:val="24"/>
          <w:rtl/>
        </w:rPr>
        <w:t xml:space="preserve"> </w:t>
      </w:r>
      <w:r>
        <w:rPr>
          <w:rFonts w:ascii="Narkisim" w:eastAsia="Calibri" w:hAnsi="Narkisim"/>
          <w:sz w:val="24"/>
          <w:szCs w:val="24"/>
          <w:rtl/>
        </w:rPr>
        <w:t>–</w:t>
      </w:r>
      <w:r w:rsidR="00397BCD" w:rsidRPr="007B631F">
        <w:rPr>
          <w:rFonts w:ascii="Narkisim" w:eastAsia="Calibri" w:hAnsi="Narkisim"/>
          <w:sz w:val="24"/>
          <w:szCs w:val="24"/>
          <w:rtl/>
        </w:rPr>
        <w:t xml:space="preserve"> אם אדם הקדיש חפץ להקדש על מנת שלא יתקדש, וגזבר ההקדש קיבל חפץ זה ומכר אותו, לדעת חלק מן הראשונים לא יחולו עליו דיני </w:t>
      </w:r>
      <w:r>
        <w:rPr>
          <w:rFonts w:ascii="Narkisim" w:eastAsia="Calibri" w:hAnsi="Narkisim" w:hint="cs"/>
          <w:sz w:val="24"/>
          <w:szCs w:val="24"/>
          <w:rtl/>
        </w:rPr>
        <w:t>ה</w:t>
      </w:r>
      <w:r w:rsidR="00397BCD" w:rsidRPr="007B631F">
        <w:rPr>
          <w:rFonts w:ascii="Narkisim" w:eastAsia="Calibri" w:hAnsi="Narkisim"/>
          <w:sz w:val="24"/>
          <w:szCs w:val="24"/>
          <w:rtl/>
        </w:rPr>
        <w:t xml:space="preserve">ונאה. פטור זה נובע מכך שהמכירה נעשית על ידי גזבר ההקדש – גברא שהוא נציג ההקדש – ולא בשל זהותו העצמית של החפץ. </w:t>
      </w:r>
    </w:p>
    <w:p w:rsidR="00397BCD" w:rsidRPr="007B631F" w:rsidRDefault="00397BCD" w:rsidP="00556AC3">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היות שיש שני פטורים בעניין הקדש, יהיה עלינו לקבוע בכל מקרה ומקרה ממה נובע הפטור – האם הפטור הוא בחפצא, בגברא (הבעלים) או בשניהם. לעתים החילוק בין שני הפטורים ברור</w:t>
      </w:r>
      <w:r w:rsidR="00556AC3">
        <w:rPr>
          <w:rFonts w:ascii="Narkisim" w:eastAsia="Calibri" w:hAnsi="Narkisim"/>
          <w:sz w:val="24"/>
          <w:szCs w:val="24"/>
          <w:rtl/>
        </w:rPr>
        <w:t xml:space="preserve"> </w:t>
      </w:r>
      <w:r w:rsidR="00556AC3" w:rsidRPr="007B631F">
        <w:rPr>
          <w:rFonts w:ascii="Narkisim" w:eastAsia="Calibri" w:hAnsi="Narkisim"/>
          <w:sz w:val="24"/>
          <w:szCs w:val="24"/>
          <w:rtl/>
        </w:rPr>
        <w:t xml:space="preserve">למשל, </w:t>
      </w:r>
      <w:r w:rsidR="00556AC3">
        <w:rPr>
          <w:rFonts w:ascii="Narkisim" w:eastAsia="Calibri" w:hAnsi="Narkisim"/>
          <w:sz w:val="24"/>
          <w:szCs w:val="24"/>
          <w:rtl/>
        </w:rPr>
        <w:t>הגמרא בבבא קמא</w:t>
      </w:r>
      <w:r w:rsidRPr="007B631F">
        <w:rPr>
          <w:rFonts w:ascii="Narkisim" w:eastAsia="Calibri" w:hAnsi="Narkisim"/>
          <w:sz w:val="24"/>
          <w:szCs w:val="24"/>
          <w:rtl/>
        </w:rPr>
        <w:t xml:space="preserve"> אומרת כי דין תשלומי כפל (חובת פיצוי כפולה של הגנב תמורת החפץ שגנב) אינו חל על </w:t>
      </w:r>
      <w:r w:rsidRPr="007B631F">
        <w:rPr>
          <w:rFonts w:ascii="Narkisim" w:eastAsia="Calibri" w:hAnsi="Narkisim"/>
          <w:sz w:val="24"/>
          <w:szCs w:val="24"/>
          <w:rtl/>
        </w:rPr>
        <w:lastRenderedPageBreak/>
        <w:t xml:space="preserve">הקדש. בגמ' שם </w:t>
      </w:r>
      <w:r w:rsidRPr="00556AC3">
        <w:rPr>
          <w:rFonts w:ascii="Narkisim" w:eastAsia="Calibri" w:hAnsi="Narkisim"/>
          <w:szCs w:val="20"/>
          <w:rtl/>
        </w:rPr>
        <w:t>(סב:)</w:t>
      </w:r>
      <w:r w:rsidRPr="007B631F">
        <w:rPr>
          <w:rFonts w:ascii="Narkisim" w:eastAsia="Calibri" w:hAnsi="Narkisim"/>
          <w:sz w:val="24"/>
          <w:szCs w:val="24"/>
          <w:rtl/>
        </w:rPr>
        <w:t xml:space="preserve"> פטור כפל בהקדש נלמד מן הפסוק "רעהו"; </w:t>
      </w:r>
      <w:r w:rsidR="00556AC3">
        <w:rPr>
          <w:rFonts w:ascii="Narkisim" w:eastAsia="Calibri" w:hAnsi="Narkisim" w:hint="cs"/>
          <w:sz w:val="24"/>
          <w:szCs w:val="24"/>
          <w:rtl/>
        </w:rPr>
        <w:t>אך בסוגיה אחרת</w:t>
      </w:r>
      <w:r w:rsidRPr="007B631F">
        <w:rPr>
          <w:rFonts w:ascii="Narkisim" w:eastAsia="Calibri" w:hAnsi="Narkisim"/>
          <w:sz w:val="24"/>
          <w:szCs w:val="24"/>
          <w:rtl/>
        </w:rPr>
        <w:t xml:space="preserve"> </w:t>
      </w:r>
      <w:r w:rsidR="00556AC3" w:rsidRPr="00556AC3">
        <w:rPr>
          <w:rFonts w:ascii="Narkisim" w:eastAsia="Calibri" w:hAnsi="Narkisim" w:hint="cs"/>
          <w:szCs w:val="20"/>
          <w:rtl/>
        </w:rPr>
        <w:t>(</w:t>
      </w:r>
      <w:r w:rsidRPr="00556AC3">
        <w:rPr>
          <w:rFonts w:ascii="Narkisim" w:eastAsia="Calibri" w:hAnsi="Narkisim"/>
          <w:szCs w:val="20"/>
          <w:rtl/>
        </w:rPr>
        <w:t>עו.</w:t>
      </w:r>
      <w:r w:rsidR="00556AC3" w:rsidRPr="00556AC3">
        <w:rPr>
          <w:rFonts w:ascii="Narkisim" w:eastAsia="Calibri" w:hAnsi="Narkisim" w:hint="cs"/>
          <w:szCs w:val="20"/>
          <w:rtl/>
        </w:rPr>
        <w:t>)</w:t>
      </w:r>
      <w:r w:rsidRPr="007B631F">
        <w:rPr>
          <w:rFonts w:ascii="Narkisim" w:eastAsia="Calibri" w:hAnsi="Narkisim"/>
          <w:sz w:val="24"/>
          <w:szCs w:val="24"/>
          <w:rtl/>
        </w:rPr>
        <w:t xml:space="preserve"> הפטור נלמד מן הפסוק "וגנב מבית האיש" (הגמרא </w:t>
      </w:r>
      <w:r w:rsidR="00556AC3">
        <w:rPr>
          <w:rFonts w:ascii="Narkisim" w:eastAsia="Calibri" w:hAnsi="Narkisim"/>
          <w:sz w:val="24"/>
          <w:szCs w:val="24"/>
          <w:rtl/>
        </w:rPr>
        <w:t>מדייקת: מבית האיש ולא מבית רעהו</w:t>
      </w:r>
      <w:r w:rsidRPr="007B631F">
        <w:rPr>
          <w:rFonts w:ascii="Narkisim" w:eastAsia="Calibri" w:hAnsi="Narkisim"/>
          <w:sz w:val="24"/>
          <w:szCs w:val="24"/>
          <w:rtl/>
        </w:rPr>
        <w:t>)</w:t>
      </w:r>
      <w:r w:rsidR="00556AC3">
        <w:rPr>
          <w:rFonts w:ascii="Narkisim" w:eastAsia="Calibri" w:hAnsi="Narkisim" w:hint="cs"/>
          <w:sz w:val="24"/>
          <w:szCs w:val="24"/>
          <w:rtl/>
        </w:rPr>
        <w:t>.</w:t>
      </w:r>
      <w:r w:rsidRPr="007B631F">
        <w:rPr>
          <w:rFonts w:ascii="Narkisim" w:eastAsia="Calibri" w:hAnsi="Narkisim"/>
          <w:sz w:val="24"/>
          <w:szCs w:val="24"/>
          <w:rtl/>
        </w:rPr>
        <w:t xml:space="preserve"> תוספות </w:t>
      </w:r>
      <w:r w:rsidRPr="00556AC3">
        <w:rPr>
          <w:rFonts w:ascii="Narkisim" w:eastAsia="Calibri" w:hAnsi="Narkisim"/>
          <w:szCs w:val="20"/>
          <w:rtl/>
        </w:rPr>
        <w:t>(סג. ד"ה "רעהו")</w:t>
      </w:r>
      <w:r w:rsidRPr="007B631F">
        <w:rPr>
          <w:rFonts w:ascii="Narkisim" w:eastAsia="Calibri" w:hAnsi="Narkisim"/>
          <w:sz w:val="24"/>
          <w:szCs w:val="24"/>
          <w:rtl/>
        </w:rPr>
        <w:t xml:space="preserve"> שואלים מה הצורך בשני פסוקים על מנת ללמוד פטור כפל בהקדש, </w:t>
      </w:r>
      <w:r w:rsidR="00556AC3">
        <w:rPr>
          <w:rFonts w:ascii="Narkisim" w:eastAsia="Calibri" w:hAnsi="Narkisim" w:hint="cs"/>
          <w:sz w:val="24"/>
          <w:szCs w:val="24"/>
          <w:rtl/>
        </w:rPr>
        <w:t xml:space="preserve">ומציעים </w:t>
      </w:r>
      <w:r w:rsidRPr="007B631F">
        <w:rPr>
          <w:rFonts w:ascii="Narkisim" w:eastAsia="Calibri" w:hAnsi="Narkisim"/>
          <w:sz w:val="24"/>
          <w:szCs w:val="24"/>
          <w:rtl/>
        </w:rPr>
        <w:t xml:space="preserve">לכך </w:t>
      </w:r>
      <w:r w:rsidR="00556AC3">
        <w:rPr>
          <w:rFonts w:ascii="Narkisim" w:eastAsia="Calibri" w:hAnsi="Narkisim" w:hint="cs"/>
          <w:sz w:val="24"/>
          <w:szCs w:val="24"/>
          <w:rtl/>
        </w:rPr>
        <w:t xml:space="preserve">מספר </w:t>
      </w:r>
      <w:r w:rsidRPr="007B631F">
        <w:rPr>
          <w:rFonts w:ascii="Narkisim" w:eastAsia="Calibri" w:hAnsi="Narkisim"/>
          <w:sz w:val="24"/>
          <w:szCs w:val="24"/>
          <w:rtl/>
        </w:rPr>
        <w:t xml:space="preserve">הסברים. מכל מקום, לפי החילוק שלנו, </w:t>
      </w:r>
      <w:r w:rsidR="00556AC3">
        <w:rPr>
          <w:rFonts w:ascii="Narkisim" w:eastAsia="Calibri" w:hAnsi="Narkisim" w:hint="cs"/>
          <w:sz w:val="24"/>
          <w:szCs w:val="24"/>
          <w:rtl/>
        </w:rPr>
        <w:t>ה</w:t>
      </w:r>
      <w:r w:rsidRPr="007B631F">
        <w:rPr>
          <w:rFonts w:ascii="Narkisim" w:eastAsia="Calibri" w:hAnsi="Narkisim"/>
          <w:sz w:val="24"/>
          <w:szCs w:val="24"/>
          <w:rtl/>
        </w:rPr>
        <w:t xml:space="preserve">צורך בשני פסוקים מובן מאד: המילה "רעהו" פוטרת הקדש כאשר החפץ הנגנב </w:t>
      </w:r>
      <w:r w:rsidR="00556AC3">
        <w:rPr>
          <w:rFonts w:ascii="Narkisim" w:eastAsia="Calibri" w:hAnsi="Narkisim"/>
          <w:sz w:val="24"/>
          <w:szCs w:val="24"/>
          <w:rtl/>
        </w:rPr>
        <w:t>הוא בבעלות של הקדש (פטור בגברא)</w:t>
      </w:r>
      <w:r w:rsidR="00556AC3">
        <w:rPr>
          <w:rFonts w:ascii="Narkisim" w:eastAsia="Calibri" w:hAnsi="Narkisim" w:hint="cs"/>
          <w:sz w:val="24"/>
          <w:szCs w:val="24"/>
          <w:rtl/>
        </w:rPr>
        <w:t>, ואילו</w:t>
      </w:r>
      <w:r w:rsidRPr="007B631F">
        <w:rPr>
          <w:rFonts w:ascii="Narkisim" w:eastAsia="Calibri" w:hAnsi="Narkisim"/>
          <w:sz w:val="24"/>
          <w:szCs w:val="24"/>
          <w:rtl/>
        </w:rPr>
        <w:t xml:space="preserve"> הפסוק "וגנב מבית האיש" פוטר מכפל חפץ בשל זהות ההקדש העצמית שלו (פטור בחפצא). </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ניתן לומר כי מרגע שהבחנו בין שתי הרמות הללו הקיימות בהקדש, נוכל להשתמש בחילוק זה גם כאשר אין שני פסוקים. תמיד נוכל לדון בהקדש מצד שתי בחינות אלו. </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נ</w:t>
      </w:r>
      <w:r w:rsidR="00556AC3">
        <w:rPr>
          <w:rFonts w:ascii="Narkisim" w:eastAsia="Calibri" w:hAnsi="Narkisim"/>
          <w:sz w:val="24"/>
          <w:szCs w:val="24"/>
          <w:rtl/>
        </w:rPr>
        <w:t>חזור כעת לסוגיה ונשתמש בהבנה זו</w:t>
      </w:r>
      <w:r w:rsidR="00556AC3">
        <w:rPr>
          <w:rFonts w:ascii="Narkisim" w:eastAsia="Calibri" w:hAnsi="Narkisim" w:hint="cs"/>
          <w:sz w:val="24"/>
          <w:szCs w:val="24"/>
          <w:rtl/>
        </w:rPr>
        <w:t>.</w:t>
      </w:r>
    </w:p>
    <w:p w:rsidR="00397BCD" w:rsidRPr="00364BD8" w:rsidRDefault="00397BCD" w:rsidP="00364BD8">
      <w:pPr>
        <w:pStyle w:val="2"/>
        <w:rPr>
          <w:rtl/>
        </w:rPr>
      </w:pPr>
      <w:r w:rsidRPr="00364BD8">
        <w:rPr>
          <w:rtl/>
        </w:rPr>
        <w:t>חמץ של גוי</w:t>
      </w:r>
      <w:r w:rsidR="00364BD8">
        <w:rPr>
          <w:rFonts w:hint="cs"/>
          <w:rtl/>
        </w:rPr>
        <w:t xml:space="preserve"> ושל הקדש</w:t>
      </w:r>
    </w:p>
    <w:p w:rsidR="00397BCD" w:rsidRPr="007B631F" w:rsidRDefault="00397BCD" w:rsidP="00364BD8">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רב אחא בר יעקב </w:t>
      </w:r>
      <w:r w:rsidRPr="00364BD8">
        <w:rPr>
          <w:rFonts w:ascii="Narkisim" w:eastAsia="Calibri" w:hAnsi="Narkisim"/>
          <w:szCs w:val="20"/>
          <w:rtl/>
        </w:rPr>
        <w:t>(פסחים כט.)</w:t>
      </w:r>
      <w:r w:rsidRPr="007B631F">
        <w:rPr>
          <w:rFonts w:ascii="Narkisim" w:eastAsia="Calibri" w:hAnsi="Narkisim"/>
          <w:sz w:val="24"/>
          <w:szCs w:val="24"/>
          <w:rtl/>
        </w:rPr>
        <w:t xml:space="preserve"> מעלה את האפשרות כי מותר לאכול חמץ של גוי בפסח. העלאת אפשרות זו מתקבלת על הדעת רק אם נאמר כי חמץ של גוי הוא חפצא שונה מחמץ של יהודי. אולם רב אחא חוזר בו מרעיון מחודש זה, ואם כך, הכ</w:t>
      </w:r>
      <w:r w:rsidR="00364BD8">
        <w:rPr>
          <w:rFonts w:ascii="Narkisim" w:eastAsia="Calibri" w:hAnsi="Narkisim" w:hint="cs"/>
          <w:sz w:val="24"/>
          <w:szCs w:val="24"/>
          <w:rtl/>
        </w:rPr>
        <w:t>ו</w:t>
      </w:r>
      <w:r w:rsidRPr="007B631F">
        <w:rPr>
          <w:rFonts w:ascii="Narkisim" w:eastAsia="Calibri" w:hAnsi="Narkisim"/>
          <w:sz w:val="24"/>
          <w:szCs w:val="24"/>
          <w:rtl/>
        </w:rPr>
        <w:t xml:space="preserve">ל מודים כי בעלות של גוי אינה משנה את הגדרת </w:t>
      </w:r>
      <w:r w:rsidR="00364BD8">
        <w:rPr>
          <w:rFonts w:ascii="Narkisim" w:eastAsia="Calibri" w:hAnsi="Narkisim" w:hint="cs"/>
          <w:sz w:val="24"/>
          <w:szCs w:val="24"/>
          <w:rtl/>
        </w:rPr>
        <w:t xml:space="preserve">החפצא של </w:t>
      </w:r>
      <w:r w:rsidRPr="007B631F">
        <w:rPr>
          <w:rFonts w:ascii="Narkisim" w:eastAsia="Calibri" w:hAnsi="Narkisim"/>
          <w:sz w:val="24"/>
          <w:szCs w:val="24"/>
          <w:rtl/>
        </w:rPr>
        <w:t xml:space="preserve">החמץ. מותר ליהודי להשהות חמץ של גוי ברשותו בפסח, וזאת בתנאי שהיהודי אינו קשור בזיקה ממשית לחמץ, כלומר אינו מקבל על עצמו אחריות שמירה (פיקדון). </w:t>
      </w:r>
    </w:p>
    <w:p w:rsidR="00397BCD" w:rsidRPr="007B631F" w:rsidRDefault="00364BD8" w:rsidP="00364BD8">
      <w:pPr>
        <w:autoSpaceDE/>
        <w:autoSpaceDN/>
        <w:spacing w:after="160" w:line="360" w:lineRule="auto"/>
        <w:rPr>
          <w:rFonts w:ascii="Narkisim" w:eastAsia="Calibri" w:hAnsi="Narkisim"/>
          <w:sz w:val="24"/>
          <w:szCs w:val="24"/>
        </w:rPr>
      </w:pPr>
      <w:r>
        <w:rPr>
          <w:rFonts w:ascii="Narkisim" w:eastAsia="Calibri" w:hAnsi="Narkisim"/>
          <w:sz w:val="24"/>
          <w:szCs w:val="24"/>
          <w:rtl/>
        </w:rPr>
        <w:t>לחמץ של הקדש שני פנים</w:t>
      </w:r>
      <w:r>
        <w:rPr>
          <w:rFonts w:ascii="Narkisim" w:eastAsia="Calibri" w:hAnsi="Narkisim" w:hint="cs"/>
          <w:sz w:val="24"/>
          <w:szCs w:val="24"/>
          <w:rtl/>
        </w:rPr>
        <w:t xml:space="preserve">. בגברא </w:t>
      </w:r>
      <w:r>
        <w:rPr>
          <w:rFonts w:ascii="Narkisim" w:eastAsia="Calibri" w:hAnsi="Narkisim"/>
          <w:sz w:val="24"/>
          <w:szCs w:val="24"/>
          <w:rtl/>
        </w:rPr>
        <w:t>–</w:t>
      </w:r>
      <w:r>
        <w:rPr>
          <w:rFonts w:ascii="Narkisim" w:eastAsia="Calibri" w:hAnsi="Narkisim" w:hint="cs"/>
          <w:sz w:val="24"/>
          <w:szCs w:val="24"/>
          <w:rtl/>
        </w:rPr>
        <w:t xml:space="preserve"> </w:t>
      </w:r>
      <w:r w:rsidR="00397BCD" w:rsidRPr="007B631F">
        <w:rPr>
          <w:rFonts w:ascii="Narkisim" w:eastAsia="Calibri" w:hAnsi="Narkisim"/>
          <w:sz w:val="24"/>
          <w:szCs w:val="24"/>
          <w:rtl/>
        </w:rPr>
        <w:t>חוסר קשר ליה</w:t>
      </w:r>
      <w:r>
        <w:rPr>
          <w:rFonts w:ascii="Narkisim" w:eastAsia="Calibri" w:hAnsi="Narkisim"/>
          <w:sz w:val="24"/>
          <w:szCs w:val="24"/>
          <w:rtl/>
        </w:rPr>
        <w:t>ודי כלשהו (</w:t>
      </w:r>
      <w:r>
        <w:rPr>
          <w:rFonts w:ascii="Narkisim" w:eastAsia="Calibri" w:hAnsi="Narkisim" w:hint="cs"/>
          <w:sz w:val="24"/>
          <w:szCs w:val="24"/>
          <w:rtl/>
        </w:rPr>
        <w:t>בדומה</w:t>
      </w:r>
      <w:r>
        <w:rPr>
          <w:rFonts w:ascii="Narkisim" w:eastAsia="Calibri" w:hAnsi="Narkisim"/>
          <w:sz w:val="24"/>
          <w:szCs w:val="24"/>
          <w:rtl/>
        </w:rPr>
        <w:t xml:space="preserve"> לחמץ של גוי)</w:t>
      </w:r>
      <w:r>
        <w:rPr>
          <w:rFonts w:ascii="Narkisim" w:eastAsia="Calibri" w:hAnsi="Narkisim" w:hint="cs"/>
          <w:sz w:val="24"/>
          <w:szCs w:val="24"/>
          <w:rtl/>
        </w:rPr>
        <w:t xml:space="preserve">; ובחפצא </w:t>
      </w:r>
      <w:r>
        <w:rPr>
          <w:rFonts w:ascii="Narkisim" w:eastAsia="Calibri" w:hAnsi="Narkisim"/>
          <w:sz w:val="24"/>
          <w:szCs w:val="24"/>
          <w:rtl/>
        </w:rPr>
        <w:t>–</w:t>
      </w:r>
      <w:r>
        <w:rPr>
          <w:rFonts w:ascii="Narkisim" w:eastAsia="Calibri" w:hAnsi="Narkisim" w:hint="cs"/>
          <w:sz w:val="24"/>
          <w:szCs w:val="24"/>
          <w:rtl/>
        </w:rPr>
        <w:t xml:space="preserve"> </w:t>
      </w:r>
      <w:r w:rsidR="00397BCD" w:rsidRPr="007B631F">
        <w:rPr>
          <w:rFonts w:ascii="Narkisim" w:eastAsia="Calibri" w:hAnsi="Narkisim"/>
          <w:sz w:val="24"/>
          <w:szCs w:val="24"/>
          <w:rtl/>
        </w:rPr>
        <w:t xml:space="preserve">זהות שונה בחפצא מחמץ שאינו של הקדש. </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אם כך, גם אם יהודי יקבל על עצמו אחריות על חמץ של הקדש, הוא לא יעבור על איסורי חמץ משום שהתורה לא אסרה בעלות על סוג כזה של חמץ. </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lastRenderedPageBreak/>
        <w:t xml:space="preserve">ההבדל בין חמץ של הקדש ובין חמץ של נוכרי מובן: קבלת אחריות יוצרת קישור בין החמץ ובין מי שאחראי לו, באופן המאפשר התגברות על מחסום הבעלות. בעיית הבעלות היא הקיימת בחמץ של גוי. אולם בחמץ של הקדש, לבד מבעיית הבעלות יש פטור נוסף שהוא הגדרתו העצמית של החמץ כחפץ קדוש. </w:t>
      </w:r>
    </w:p>
    <w:p w:rsidR="00397BCD" w:rsidRPr="007B631F" w:rsidRDefault="00397BCD" w:rsidP="00364BD8">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עיון מדוקדק בגמרא </w:t>
      </w:r>
      <w:r w:rsidRPr="00364BD8">
        <w:rPr>
          <w:rFonts w:ascii="Narkisim" w:eastAsia="Calibri" w:hAnsi="Narkisim"/>
          <w:szCs w:val="20"/>
          <w:rtl/>
        </w:rPr>
        <w:t>(ה:)</w:t>
      </w:r>
      <w:r w:rsidRPr="007B631F">
        <w:rPr>
          <w:rFonts w:ascii="Narkisim" w:eastAsia="Calibri" w:hAnsi="Narkisim"/>
          <w:sz w:val="24"/>
          <w:szCs w:val="24"/>
          <w:rtl/>
        </w:rPr>
        <w:t xml:space="preserve"> סותר את ההנחות שהעלינו: לדעת רבי שמעון </w:t>
      </w:r>
      <w:r w:rsidR="00364BD8">
        <w:rPr>
          <w:rFonts w:ascii="Narkisim" w:eastAsia="Calibri" w:hAnsi="Narkisim" w:hint="cs"/>
          <w:sz w:val="24"/>
          <w:szCs w:val="24"/>
          <w:rtl/>
        </w:rPr>
        <w:t>(</w:t>
      </w:r>
      <w:r w:rsidR="00364BD8">
        <w:rPr>
          <w:rFonts w:ascii="Narkisim" w:eastAsia="Calibri" w:hAnsi="Narkisim"/>
          <w:sz w:val="24"/>
          <w:szCs w:val="24"/>
          <w:rtl/>
        </w:rPr>
        <w:t>עיין רש"י ד"ה "למאן דאמר"</w:t>
      </w:r>
      <w:r w:rsidR="00364BD8">
        <w:rPr>
          <w:rFonts w:ascii="Narkisim" w:eastAsia="Calibri" w:hAnsi="Narkisim" w:hint="cs"/>
          <w:sz w:val="24"/>
          <w:szCs w:val="24"/>
          <w:rtl/>
        </w:rPr>
        <w:t>),</w:t>
      </w:r>
      <w:r w:rsidRPr="007B631F">
        <w:rPr>
          <w:rFonts w:ascii="Narkisim" w:eastAsia="Calibri" w:hAnsi="Narkisim"/>
          <w:sz w:val="24"/>
          <w:szCs w:val="24"/>
          <w:rtl/>
        </w:rPr>
        <w:t xml:space="preserve"> הקדש פטור מכל דיני ממונות הרגילים (הונאה, כפל וכ</w:t>
      </w:r>
      <w:r w:rsidR="00364BD8">
        <w:rPr>
          <w:rFonts w:ascii="Narkisim" w:eastAsia="Calibri" w:hAnsi="Narkisim"/>
          <w:sz w:val="24"/>
          <w:szCs w:val="24"/>
          <w:rtl/>
        </w:rPr>
        <w:t>ו') רק כשהוא נמצא תחת ידי הגזבר</w:t>
      </w:r>
      <w:r w:rsidR="00364BD8">
        <w:rPr>
          <w:rFonts w:ascii="Narkisim" w:eastAsia="Calibri" w:hAnsi="Narkisim" w:hint="cs"/>
          <w:sz w:val="24"/>
          <w:szCs w:val="24"/>
          <w:rtl/>
        </w:rPr>
        <w:t>;</w:t>
      </w:r>
      <w:r w:rsidRPr="007B631F">
        <w:rPr>
          <w:rFonts w:ascii="Narkisim" w:eastAsia="Calibri" w:hAnsi="Narkisim"/>
          <w:sz w:val="24"/>
          <w:szCs w:val="24"/>
          <w:rtl/>
        </w:rPr>
        <w:t xml:space="preserve"> אך אם אדם כלשהו קיבל אחריות על חפץ של הקדש, שוב חלים על החפץ הדינים הרגילים החלים על כל חפץ שאינו שייך להקדש. נימוק</w:t>
      </w:r>
      <w:r w:rsidR="00364BD8">
        <w:rPr>
          <w:rFonts w:ascii="Narkisim" w:eastAsia="Calibri" w:hAnsi="Narkisim" w:hint="cs"/>
          <w:sz w:val="24"/>
          <w:szCs w:val="24"/>
          <w:rtl/>
        </w:rPr>
        <w:t>ו</w:t>
      </w:r>
      <w:r w:rsidRPr="007B631F">
        <w:rPr>
          <w:rFonts w:ascii="Narkisim" w:eastAsia="Calibri" w:hAnsi="Narkisim"/>
          <w:sz w:val="24"/>
          <w:szCs w:val="24"/>
          <w:rtl/>
        </w:rPr>
        <w:t xml:space="preserve"> הוא </w:t>
      </w:r>
      <w:r w:rsidR="00364BD8">
        <w:rPr>
          <w:rFonts w:ascii="Narkisim" w:eastAsia="Calibri" w:hAnsi="Narkisim" w:hint="cs"/>
          <w:sz w:val="24"/>
          <w:szCs w:val="24"/>
          <w:rtl/>
        </w:rPr>
        <w:t>"</w:t>
      </w:r>
      <w:r w:rsidRPr="007B631F">
        <w:rPr>
          <w:rFonts w:ascii="Narkisim" w:eastAsia="Calibri" w:hAnsi="Narkisim"/>
          <w:sz w:val="24"/>
          <w:szCs w:val="24"/>
          <w:rtl/>
        </w:rPr>
        <w:t>דבר הגורם לממון כממון דמי</w:t>
      </w:r>
      <w:r w:rsidR="00364BD8">
        <w:rPr>
          <w:rFonts w:ascii="Narkisim" w:eastAsia="Calibri" w:hAnsi="Narkisim" w:hint="cs"/>
          <w:sz w:val="24"/>
          <w:szCs w:val="24"/>
          <w:rtl/>
        </w:rPr>
        <w:t>", כלומר</w:t>
      </w:r>
      <w:r w:rsidRPr="007B631F">
        <w:rPr>
          <w:rFonts w:ascii="Narkisim" w:eastAsia="Calibri" w:hAnsi="Narkisim"/>
          <w:sz w:val="24"/>
          <w:szCs w:val="24"/>
          <w:rtl/>
        </w:rPr>
        <w:t xml:space="preserve"> אם יקרה משהו לחפץ חיוב התשלום להקדש יהיה מצד מי שקיבל עליו אחריות. ממילא, החפץ נחשב כאילו הוא בבעלותו. </w:t>
      </w:r>
    </w:p>
    <w:p w:rsidR="00397BCD" w:rsidRPr="007B631F" w:rsidRDefault="00397BCD" w:rsidP="00364BD8">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על פניו, נראה כי הכלל </w:t>
      </w:r>
      <w:r w:rsidR="00364BD8">
        <w:rPr>
          <w:rFonts w:ascii="Narkisim" w:eastAsia="Calibri" w:hAnsi="Narkisim" w:hint="cs"/>
          <w:sz w:val="24"/>
          <w:szCs w:val="24"/>
          <w:rtl/>
        </w:rPr>
        <w:t>'</w:t>
      </w:r>
      <w:r w:rsidRPr="007B631F">
        <w:rPr>
          <w:rFonts w:ascii="Narkisim" w:eastAsia="Calibri" w:hAnsi="Narkisim"/>
          <w:sz w:val="24"/>
          <w:szCs w:val="24"/>
          <w:rtl/>
        </w:rPr>
        <w:t>דבר הגורם לממון כממון דמי</w:t>
      </w:r>
      <w:r w:rsidR="00364BD8">
        <w:rPr>
          <w:rFonts w:ascii="Narkisim" w:eastAsia="Calibri" w:hAnsi="Narkisim" w:hint="cs"/>
          <w:sz w:val="24"/>
          <w:szCs w:val="24"/>
          <w:rtl/>
        </w:rPr>
        <w:t>'</w:t>
      </w:r>
      <w:r w:rsidRPr="007B631F">
        <w:rPr>
          <w:rFonts w:ascii="Narkisim" w:eastAsia="Calibri" w:hAnsi="Narkisim"/>
          <w:sz w:val="24"/>
          <w:szCs w:val="24"/>
          <w:rtl/>
        </w:rPr>
        <w:t xml:space="preserve"> אמור להתגבר רק על בעיית הבעלות. אם ר' שמעון סובר כי מי שאחראי על חמץ של הקדש עובר בבל יראה ובבל ימצא, הוא אינו מקבל את הסברה שהעלינו לפיה פטור חמץ של הקדש מן הלאווים הללו נובע מקדושתו העצמית. יתר על כן, נראה כי גם רבנן</w:t>
      </w:r>
      <w:r w:rsidR="00364BD8">
        <w:rPr>
          <w:rFonts w:ascii="Narkisim" w:eastAsia="Calibri" w:hAnsi="Narkisim" w:hint="cs"/>
          <w:sz w:val="24"/>
          <w:szCs w:val="24"/>
          <w:rtl/>
        </w:rPr>
        <w:t>,</w:t>
      </w:r>
      <w:r w:rsidRPr="007B631F">
        <w:rPr>
          <w:rFonts w:ascii="Narkisim" w:eastAsia="Calibri" w:hAnsi="Narkisim"/>
          <w:sz w:val="24"/>
          <w:szCs w:val="24"/>
          <w:rtl/>
        </w:rPr>
        <w:t xml:space="preserve"> שחולקים על ר' שמעון בעניין דבר הגורם לממון ו</w:t>
      </w:r>
      <w:r w:rsidR="00364BD8">
        <w:rPr>
          <w:rFonts w:ascii="Narkisim" w:eastAsia="Calibri" w:hAnsi="Narkisim" w:hint="cs"/>
          <w:sz w:val="24"/>
          <w:szCs w:val="24"/>
          <w:rtl/>
        </w:rPr>
        <w:t>ה</w:t>
      </w:r>
      <w:r w:rsidRPr="007B631F">
        <w:rPr>
          <w:rFonts w:ascii="Narkisim" w:eastAsia="Calibri" w:hAnsi="Narkisim"/>
          <w:sz w:val="24"/>
          <w:szCs w:val="24"/>
          <w:rtl/>
        </w:rPr>
        <w:t xml:space="preserve">מעמד שהוא יוצר, מסכימים כי בעניין חמץ דבר הגורם לממון כממון דמי. אם כך, איסורי חמץ עדיין שייכים גם בחמץ של הקדש, אם מישהו קיבל עליו אחריות שמירה. מסקנה זו עומדת בניגוד למסקנה אליה הגענו לעיל. </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 xml:space="preserve">עם זאת, נראה כי מסקנת הסוגיה אינה צריכה לשמש כהוכחה למשהו, וכי החילוק בין חמץ של גוי ובין חמץ של הקדש נשמר. כל מה שנאמר בגמרא הוא כי הבסיס ליצירת קשר של בעלות בין אדם ובין חפץ שהוא שומר עליו, מושתת על דעת ר' שמעון. מר' שמעון </w:t>
      </w:r>
      <w:r w:rsidRPr="007B631F">
        <w:rPr>
          <w:rFonts w:ascii="Narkisim" w:eastAsia="Calibri" w:hAnsi="Narkisim"/>
          <w:sz w:val="24"/>
          <w:szCs w:val="24"/>
          <w:rtl/>
        </w:rPr>
        <w:lastRenderedPageBreak/>
        <w:t xml:space="preserve">למדנו כי אדם שקיבל אחריות על חמץ של גוי בפסח עובר עליו באיסורי חמץ. אולם אין כל הכרח כי שיטה זו חלה גם לגבי הקדש. </w:t>
      </w:r>
    </w:p>
    <w:p w:rsidR="00397BCD" w:rsidRPr="007B631F" w:rsidRDefault="00397BCD" w:rsidP="00364BD8">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אולם בירושלמי נאמר בפירוש כי יש איסורי חמץ בקבלת אחריות על חמץ של הקדש. הדברים אמורים רק לדעת ר' שמעון ורק בקדשים שאדם חייב באחריותם. אם כך, לדעת ר' שמעון אין הבדל בין חמץ של גוי ובין חמץ של הקדש לעניין בל ייראה ובל ימצא. לדעת ר' שמעון</w:t>
      </w:r>
      <w:r w:rsidR="00364BD8">
        <w:rPr>
          <w:rFonts w:ascii="Narkisim" w:eastAsia="Calibri" w:hAnsi="Narkisim" w:hint="cs"/>
          <w:sz w:val="24"/>
          <w:szCs w:val="24"/>
          <w:rtl/>
        </w:rPr>
        <w:t>,</w:t>
      </w:r>
      <w:r w:rsidRPr="007B631F">
        <w:rPr>
          <w:rFonts w:ascii="Narkisim" w:eastAsia="Calibri" w:hAnsi="Narkisim"/>
          <w:sz w:val="24"/>
          <w:szCs w:val="24"/>
          <w:rtl/>
        </w:rPr>
        <w:t xml:space="preserve"> זהותו של חמץ ההקדש נקבעת לא על פי מעמד הקדושה העצמי שלו, אלא על פי הגוף שאחראי לו מבחינה ממונית. על מנת לקשור בין החמץ ובין האדם, די בעובדה כי ההפסד הממוני במקרה של אובדן החמץ ייפול על השומר. לא הקדושה של החמץ (שלדעת ר' שמעון עדיין קיימת בחפץ) ולא הבעלות על יד</w:t>
      </w:r>
      <w:r w:rsidR="00364BD8">
        <w:rPr>
          <w:rFonts w:ascii="Narkisim" w:eastAsia="Calibri" w:hAnsi="Narkisim"/>
          <w:sz w:val="24"/>
          <w:szCs w:val="24"/>
          <w:rtl/>
        </w:rPr>
        <w:t>י ההקדש יכולים ליצור פטור מבל י</w:t>
      </w:r>
      <w:r w:rsidRPr="007B631F">
        <w:rPr>
          <w:rFonts w:ascii="Narkisim" w:eastAsia="Calibri" w:hAnsi="Narkisim"/>
          <w:sz w:val="24"/>
          <w:szCs w:val="24"/>
          <w:rtl/>
        </w:rPr>
        <w:t xml:space="preserve">ראה ומבל ימצא. </w:t>
      </w:r>
    </w:p>
    <w:p w:rsidR="00397BCD" w:rsidRPr="007B631F" w:rsidRDefault="00397BCD" w:rsidP="00364BD8">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מנגד, לדעת חכמים ולדעת הבבלי (אפילו בדעת ר' שמעון), זהותו הבסיסית של החמץ נקבעת על פי מצבו הנוכחי; ובשל כך, אפילו במקרים בהם אדם עובר על חמץ של גוי, אין הוא</w:t>
      </w:r>
      <w:r w:rsidR="00364BD8">
        <w:rPr>
          <w:rFonts w:ascii="Narkisim" w:eastAsia="Calibri" w:hAnsi="Narkisim"/>
          <w:sz w:val="24"/>
          <w:szCs w:val="24"/>
          <w:rtl/>
        </w:rPr>
        <w:t xml:space="preserve"> עובר איסורי חמץ בחמץ של הקדש. </w:t>
      </w:r>
    </w:p>
    <w:p w:rsidR="00397BCD" w:rsidRPr="00364BD8" w:rsidRDefault="00364BD8" w:rsidP="00364BD8">
      <w:pPr>
        <w:pStyle w:val="2"/>
        <w:rPr>
          <w:rtl/>
        </w:rPr>
      </w:pPr>
      <w:r>
        <w:rPr>
          <w:rtl/>
        </w:rPr>
        <w:t>סיכום</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אסור להשאיר חמץ של גוי בבית יהודי, כאשר היהודי קיבל עליו את החמץ</w:t>
      </w:r>
      <w:r w:rsidR="00364BD8">
        <w:rPr>
          <w:rFonts w:ascii="Narkisim" w:eastAsia="Calibri" w:hAnsi="Narkisim"/>
          <w:sz w:val="24"/>
          <w:szCs w:val="24"/>
          <w:rtl/>
        </w:rPr>
        <w:t xml:space="preserve"> כפיקדון. לדעת הצל"ח והפני יהוש</w:t>
      </w:r>
      <w:r w:rsidRPr="007B631F">
        <w:rPr>
          <w:rFonts w:ascii="Narkisim" w:eastAsia="Calibri" w:hAnsi="Narkisim"/>
          <w:sz w:val="24"/>
          <w:szCs w:val="24"/>
          <w:rtl/>
        </w:rPr>
        <w:t>ע</w:t>
      </w:r>
      <w:r w:rsidR="00364BD8">
        <w:rPr>
          <w:rFonts w:ascii="Narkisim" w:eastAsia="Calibri" w:hAnsi="Narkisim" w:hint="cs"/>
          <w:sz w:val="24"/>
          <w:szCs w:val="24"/>
          <w:rtl/>
        </w:rPr>
        <w:t>,</w:t>
      </w:r>
      <w:r w:rsidRPr="007B631F">
        <w:rPr>
          <w:rFonts w:ascii="Narkisim" w:eastAsia="Calibri" w:hAnsi="Narkisim"/>
          <w:sz w:val="24"/>
          <w:szCs w:val="24"/>
          <w:rtl/>
        </w:rPr>
        <w:t xml:space="preserve"> ישנו איסור דומה גם בחמץ של הקדש. </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t>מהרמב"ם אפשר להבין כאילו הקדש אינו כלול באיסור. לדעת הרב משה סולובייצ'יק זצ"ל</w:t>
      </w:r>
      <w:r w:rsidR="00364BD8">
        <w:rPr>
          <w:rFonts w:ascii="Narkisim" w:eastAsia="Calibri" w:hAnsi="Narkisim" w:hint="cs"/>
          <w:sz w:val="24"/>
          <w:szCs w:val="24"/>
          <w:rtl/>
        </w:rPr>
        <w:t>,</w:t>
      </w:r>
      <w:r w:rsidRPr="007B631F">
        <w:rPr>
          <w:rFonts w:ascii="Narkisim" w:eastAsia="Calibri" w:hAnsi="Narkisim"/>
          <w:sz w:val="24"/>
          <w:szCs w:val="24"/>
          <w:rtl/>
        </w:rPr>
        <w:t xml:space="preserve"> הדבר נובע מסיבה טכנית. אולם ניתן להציע כי לחמץ של הקדש ישנה זהות שונה לחלוטין מחמץ שאינו של הקדש, ועל כן, אין הוא נכלל באיסור. הבדל זה משמעותי גם בתחומים הלכתיים נוספים, דוגמת כפל ואונאה.</w:t>
      </w:r>
    </w:p>
    <w:p w:rsidR="00397BCD" w:rsidRPr="007B631F" w:rsidRDefault="00397BCD" w:rsidP="007B631F">
      <w:pPr>
        <w:autoSpaceDE/>
        <w:autoSpaceDN/>
        <w:spacing w:after="160" w:line="360" w:lineRule="auto"/>
        <w:rPr>
          <w:rFonts w:ascii="Narkisim" w:eastAsia="Calibri" w:hAnsi="Narkisim"/>
          <w:sz w:val="24"/>
          <w:szCs w:val="24"/>
          <w:rtl/>
        </w:rPr>
      </w:pPr>
      <w:r w:rsidRPr="007B631F">
        <w:rPr>
          <w:rFonts w:ascii="Narkisim" w:eastAsia="Calibri" w:hAnsi="Narkisim"/>
          <w:sz w:val="24"/>
          <w:szCs w:val="24"/>
          <w:rtl/>
        </w:rPr>
        <w:lastRenderedPageBreak/>
        <w:t xml:space="preserve">לדעת הירושלמי, ר' שמעון כולל הקדש באיסור; חכמים אינם כוללים אותו. </w:t>
      </w:r>
    </w:p>
    <w:p w:rsidR="00A3308A" w:rsidRDefault="00A3308A"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561E63" w:rsidRPr="00332F5E" w:rsidRDefault="00561E63"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בית המדרש הוירטואלי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הוירטואלי: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C5" w:rsidRDefault="004C15C5" w:rsidP="0075394C">
      <w:r>
        <w:separator/>
      </w:r>
    </w:p>
    <w:p w:rsidR="004C15C5" w:rsidRDefault="004C15C5" w:rsidP="0075394C"/>
  </w:endnote>
  <w:endnote w:type="continuationSeparator" w:id="0">
    <w:p w:rsidR="004C15C5" w:rsidRDefault="004C15C5" w:rsidP="0075394C">
      <w:r>
        <w:continuationSeparator/>
      </w:r>
    </w:p>
    <w:p w:rsidR="004C15C5" w:rsidRDefault="004C15C5"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C5" w:rsidRDefault="004C15C5" w:rsidP="0075394C">
      <w:r>
        <w:separator/>
      </w:r>
    </w:p>
  </w:footnote>
  <w:footnote w:type="continuationSeparator" w:id="0">
    <w:p w:rsidR="004C15C5" w:rsidRDefault="004C15C5" w:rsidP="0075394C">
      <w:r>
        <w:continuationSeparator/>
      </w:r>
    </w:p>
    <w:p w:rsidR="004C15C5" w:rsidRDefault="004C15C5" w:rsidP="0075394C"/>
  </w:footnote>
  <w:footnote w:id="1">
    <w:p w:rsidR="005C3873" w:rsidRPr="0044482C" w:rsidRDefault="005C3873" w:rsidP="005C3873">
      <w:pPr>
        <w:pStyle w:val="a4"/>
        <w:rPr>
          <w:rStyle w:val="a6"/>
        </w:rPr>
      </w:pPr>
      <w:r>
        <w:rPr>
          <w:rStyle w:val="a6"/>
          <w:rtl/>
        </w:rPr>
        <w:t>*</w:t>
      </w:r>
      <w:r w:rsidRPr="0044482C">
        <w:rPr>
          <w:rStyle w:val="a6"/>
          <w:rtl/>
        </w:rPr>
        <w:t xml:space="preserve"> </w:t>
      </w:r>
      <w:r>
        <w:rPr>
          <w:rFonts w:hint="cs"/>
          <w:rtl/>
        </w:rPr>
        <w:tab/>
      </w:r>
      <w:r>
        <w:rPr>
          <w:rStyle w:val="a6"/>
          <w:rFonts w:hint="cs"/>
          <w:rtl/>
        </w:rPr>
        <w:t>ז</w:t>
      </w:r>
      <w:r w:rsidRPr="00777CB4">
        <w:rPr>
          <w:rStyle w:val="a6"/>
          <w:rFonts w:hint="cs"/>
          <w:rtl/>
        </w:rPr>
        <w:t xml:space="preserve">הו סיכום של שיעור </w:t>
      </w:r>
      <w:r>
        <w:rPr>
          <w:rFonts w:hint="cs"/>
          <w:rtl/>
        </w:rPr>
        <w:t>ש</w:t>
      </w:r>
      <w:bookmarkStart w:id="0" w:name="_GoBack"/>
      <w:bookmarkEnd w:id="0"/>
      <w:r w:rsidRPr="0044482C">
        <w:rPr>
          <w:rStyle w:val="a6"/>
          <w:rtl/>
        </w:rPr>
        <w:t>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בית המדרש הוירטואלי (</w:t>
          </w:r>
          <w:r w:rsidRPr="000D4E46">
            <w:t>V.B.M</w:t>
          </w:r>
          <w:r w:rsidRPr="000D4E46">
            <w:rPr>
              <w:rtl/>
            </w:rPr>
            <w:t xml:space="preserve">) </w:t>
          </w:r>
          <w:r w:rsidRPr="000D4E46">
            <w:rPr>
              <w:rFonts w:hint="cs"/>
              <w:rtl/>
            </w:rPr>
            <w:t>ע"ש ישראל קושיצקי</w:t>
          </w:r>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8">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9">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2">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3">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4">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5">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7">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8">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9">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1">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2">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3">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4">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5">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6">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8">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9">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0">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25"/>
  </w:num>
  <w:num w:numId="2">
    <w:abstractNumId w:val="22"/>
  </w:num>
  <w:num w:numId="3">
    <w:abstractNumId w:val="29"/>
  </w:num>
  <w:num w:numId="4">
    <w:abstractNumId w:val="17"/>
  </w:num>
  <w:num w:numId="5">
    <w:abstractNumId w:val="6"/>
  </w:num>
  <w:num w:numId="6">
    <w:abstractNumId w:val="23"/>
  </w:num>
  <w:num w:numId="7">
    <w:abstractNumId w:val="14"/>
  </w:num>
  <w:num w:numId="8">
    <w:abstractNumId w:val="28"/>
  </w:num>
  <w:num w:numId="9">
    <w:abstractNumId w:val="1"/>
  </w:num>
  <w:num w:numId="10">
    <w:abstractNumId w:val="7"/>
  </w:num>
  <w:num w:numId="11">
    <w:abstractNumId w:val="24"/>
  </w:num>
  <w:num w:numId="12">
    <w:abstractNumId w:val="12"/>
  </w:num>
  <w:num w:numId="13">
    <w:abstractNumId w:val="20"/>
  </w:num>
  <w:num w:numId="14">
    <w:abstractNumId w:val="18"/>
  </w:num>
  <w:num w:numId="15">
    <w:abstractNumId w:val="21"/>
  </w:num>
  <w:num w:numId="16">
    <w:abstractNumId w:val="11"/>
  </w:num>
  <w:num w:numId="17">
    <w:abstractNumId w:val="13"/>
  </w:num>
  <w:num w:numId="18">
    <w:abstractNumId w:val="16"/>
  </w:num>
  <w:num w:numId="19">
    <w:abstractNumId w:val="27"/>
  </w:num>
  <w:num w:numId="20">
    <w:abstractNumId w:val="0"/>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9"/>
  </w:num>
  <w:num w:numId="27">
    <w:abstractNumId w:val="4"/>
  </w:num>
  <w:num w:numId="28">
    <w:abstractNumId w:val="15"/>
  </w:num>
  <w:num w:numId="29">
    <w:abstractNumId w:val="8"/>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014C"/>
    <w:rsid w:val="000F5280"/>
    <w:rsid w:val="000F64ED"/>
    <w:rsid w:val="000F6521"/>
    <w:rsid w:val="00102574"/>
    <w:rsid w:val="001304C1"/>
    <w:rsid w:val="00137956"/>
    <w:rsid w:val="0015157C"/>
    <w:rsid w:val="00160B6A"/>
    <w:rsid w:val="00177A1A"/>
    <w:rsid w:val="001B2269"/>
    <w:rsid w:val="001D2874"/>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31AB7"/>
    <w:rsid w:val="00332F5E"/>
    <w:rsid w:val="00342292"/>
    <w:rsid w:val="00364BD8"/>
    <w:rsid w:val="00366CCD"/>
    <w:rsid w:val="00370D33"/>
    <w:rsid w:val="00397BCD"/>
    <w:rsid w:val="003C504B"/>
    <w:rsid w:val="003C6D1A"/>
    <w:rsid w:val="003D423D"/>
    <w:rsid w:val="00400295"/>
    <w:rsid w:val="00424BC4"/>
    <w:rsid w:val="00430616"/>
    <w:rsid w:val="0044482C"/>
    <w:rsid w:val="004500E2"/>
    <w:rsid w:val="00470086"/>
    <w:rsid w:val="00475AAA"/>
    <w:rsid w:val="00480FD0"/>
    <w:rsid w:val="00482B1C"/>
    <w:rsid w:val="004C0E29"/>
    <w:rsid w:val="004C15C5"/>
    <w:rsid w:val="004D6FA4"/>
    <w:rsid w:val="004E0942"/>
    <w:rsid w:val="00506195"/>
    <w:rsid w:val="00521223"/>
    <w:rsid w:val="00522566"/>
    <w:rsid w:val="00523F84"/>
    <w:rsid w:val="00525293"/>
    <w:rsid w:val="00535514"/>
    <w:rsid w:val="00535E4A"/>
    <w:rsid w:val="005411E1"/>
    <w:rsid w:val="00552816"/>
    <w:rsid w:val="00556AC3"/>
    <w:rsid w:val="0055748A"/>
    <w:rsid w:val="00561E63"/>
    <w:rsid w:val="00563070"/>
    <w:rsid w:val="00567209"/>
    <w:rsid w:val="0059251A"/>
    <w:rsid w:val="005A7E95"/>
    <w:rsid w:val="005C3873"/>
    <w:rsid w:val="005C74E3"/>
    <w:rsid w:val="00611B3E"/>
    <w:rsid w:val="0062069C"/>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4D9C"/>
    <w:rsid w:val="006E3369"/>
    <w:rsid w:val="006F37B8"/>
    <w:rsid w:val="00703D7F"/>
    <w:rsid w:val="0075394C"/>
    <w:rsid w:val="007605E8"/>
    <w:rsid w:val="00767A49"/>
    <w:rsid w:val="00777CB4"/>
    <w:rsid w:val="007916C5"/>
    <w:rsid w:val="007945E3"/>
    <w:rsid w:val="007A070E"/>
    <w:rsid w:val="007A26A2"/>
    <w:rsid w:val="007A353B"/>
    <w:rsid w:val="007B631F"/>
    <w:rsid w:val="007B74AD"/>
    <w:rsid w:val="007B7CFE"/>
    <w:rsid w:val="007D31AE"/>
    <w:rsid w:val="00800A35"/>
    <w:rsid w:val="0081523B"/>
    <w:rsid w:val="0083416B"/>
    <w:rsid w:val="008369D0"/>
    <w:rsid w:val="00842B38"/>
    <w:rsid w:val="00892293"/>
    <w:rsid w:val="00893417"/>
    <w:rsid w:val="008A78F3"/>
    <w:rsid w:val="008C3F77"/>
    <w:rsid w:val="008C7900"/>
    <w:rsid w:val="008F3BD5"/>
    <w:rsid w:val="009052E2"/>
    <w:rsid w:val="00930C55"/>
    <w:rsid w:val="00946071"/>
    <w:rsid w:val="00950D52"/>
    <w:rsid w:val="00954318"/>
    <w:rsid w:val="00956AF7"/>
    <w:rsid w:val="00977CAF"/>
    <w:rsid w:val="00982354"/>
    <w:rsid w:val="00994CC7"/>
    <w:rsid w:val="0099503D"/>
    <w:rsid w:val="009B0145"/>
    <w:rsid w:val="009C48DB"/>
    <w:rsid w:val="009F029D"/>
    <w:rsid w:val="009F5862"/>
    <w:rsid w:val="00A12EDC"/>
    <w:rsid w:val="00A3308A"/>
    <w:rsid w:val="00A37BB8"/>
    <w:rsid w:val="00A4780D"/>
    <w:rsid w:val="00A62D29"/>
    <w:rsid w:val="00A939FA"/>
    <w:rsid w:val="00AA78F8"/>
    <w:rsid w:val="00AC4632"/>
    <w:rsid w:val="00AF3BB2"/>
    <w:rsid w:val="00B035A2"/>
    <w:rsid w:val="00B11364"/>
    <w:rsid w:val="00B153B4"/>
    <w:rsid w:val="00B210A2"/>
    <w:rsid w:val="00B27B72"/>
    <w:rsid w:val="00B41565"/>
    <w:rsid w:val="00B64F13"/>
    <w:rsid w:val="00B739AC"/>
    <w:rsid w:val="00BA46D0"/>
    <w:rsid w:val="00BA6457"/>
    <w:rsid w:val="00BD7501"/>
    <w:rsid w:val="00BF18BB"/>
    <w:rsid w:val="00BF1BC6"/>
    <w:rsid w:val="00BF2428"/>
    <w:rsid w:val="00BF7B98"/>
    <w:rsid w:val="00C04AAF"/>
    <w:rsid w:val="00C161EF"/>
    <w:rsid w:val="00C22CB9"/>
    <w:rsid w:val="00C3329A"/>
    <w:rsid w:val="00C41D53"/>
    <w:rsid w:val="00C51298"/>
    <w:rsid w:val="00C56C1D"/>
    <w:rsid w:val="00C768E3"/>
    <w:rsid w:val="00C917FB"/>
    <w:rsid w:val="00C94205"/>
    <w:rsid w:val="00C95806"/>
    <w:rsid w:val="00CA1B20"/>
    <w:rsid w:val="00CA5CBC"/>
    <w:rsid w:val="00CB0525"/>
    <w:rsid w:val="00CB1682"/>
    <w:rsid w:val="00CB774A"/>
    <w:rsid w:val="00CD4661"/>
    <w:rsid w:val="00CF2B9E"/>
    <w:rsid w:val="00CF5FE2"/>
    <w:rsid w:val="00D07DED"/>
    <w:rsid w:val="00D348A9"/>
    <w:rsid w:val="00D43824"/>
    <w:rsid w:val="00D627A0"/>
    <w:rsid w:val="00DA22A2"/>
    <w:rsid w:val="00DB0B28"/>
    <w:rsid w:val="00DB4898"/>
    <w:rsid w:val="00DE1CB0"/>
    <w:rsid w:val="00DE62C2"/>
    <w:rsid w:val="00E00CA2"/>
    <w:rsid w:val="00E0662B"/>
    <w:rsid w:val="00E414DE"/>
    <w:rsid w:val="00E56B93"/>
    <w:rsid w:val="00EA508F"/>
    <w:rsid w:val="00EB68CE"/>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1E55"/>
    <w:rsid w:val="00F657E9"/>
    <w:rsid w:val="00F76DBA"/>
    <w:rsid w:val="00FC5FB4"/>
    <w:rsid w:val="00FD480B"/>
    <w:rsid w:val="00FE100E"/>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08B9-DEF8-4778-BF65-72D529F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42</TotalTime>
  <Pages>4</Pages>
  <Words>1385</Words>
  <Characters>6925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8294</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2016-03-20T12:37:00Z</dcterms:created>
  <dcterms:modified xsi:type="dcterms:W3CDTF">2016-03-28T11:38:00Z</dcterms:modified>
</cp:coreProperties>
</file>