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1CB" w:rsidRPr="00B2558B" w:rsidRDefault="007D31CB" w:rsidP="00CF71B8">
      <w:pPr>
        <w:spacing w:afterLines="80" w:after="192" w:line="360" w:lineRule="auto"/>
        <w:jc w:val="center"/>
        <w:rPr>
          <w:rFonts w:hint="cs"/>
          <w:sz w:val="24"/>
          <w:szCs w:val="24"/>
          <w:rtl/>
        </w:rPr>
      </w:pPr>
    </w:p>
    <w:p w:rsidR="00CF71B8" w:rsidRPr="00B2558B" w:rsidRDefault="00F03672" w:rsidP="00CF71B8">
      <w:pPr>
        <w:spacing w:afterLines="80" w:after="192" w:line="360" w:lineRule="auto"/>
        <w:jc w:val="center"/>
        <w:rPr>
          <w:sz w:val="24"/>
          <w:szCs w:val="24"/>
          <w:rtl/>
        </w:rPr>
      </w:pPr>
      <w:r w:rsidRPr="00B2558B">
        <w:rPr>
          <w:rFonts w:hint="cs"/>
          <w:sz w:val="24"/>
          <w:szCs w:val="24"/>
          <w:rtl/>
        </w:rPr>
        <w:t>פסחים פרק ב</w:t>
      </w:r>
      <w:r w:rsidR="00167BBD" w:rsidRPr="00B2558B">
        <w:rPr>
          <w:rFonts w:hint="cs"/>
          <w:sz w:val="24"/>
          <w:szCs w:val="24"/>
          <w:rtl/>
        </w:rPr>
        <w:t>'</w:t>
      </w:r>
      <w:r w:rsidRPr="00B2558B">
        <w:rPr>
          <w:rFonts w:hint="cs"/>
          <w:sz w:val="24"/>
          <w:szCs w:val="24"/>
          <w:rtl/>
        </w:rPr>
        <w:t xml:space="preserve"> </w:t>
      </w:r>
      <w:r w:rsidR="00CF71B8" w:rsidRPr="00B2558B">
        <w:rPr>
          <w:rFonts w:hint="cs"/>
          <w:sz w:val="24"/>
          <w:szCs w:val="24"/>
          <w:rtl/>
        </w:rPr>
        <w:t>כד.</w:t>
      </w:r>
    </w:p>
    <w:p w:rsidR="00727A5C" w:rsidRPr="00B2558B" w:rsidRDefault="00727A5C" w:rsidP="00B67C7C">
      <w:pPr>
        <w:spacing w:afterLines="80" w:after="192" w:line="360" w:lineRule="auto"/>
        <w:jc w:val="center"/>
        <w:rPr>
          <w:sz w:val="24"/>
          <w:szCs w:val="24"/>
          <w:rtl/>
        </w:rPr>
      </w:pPr>
      <w:r w:rsidRPr="00B2558B">
        <w:rPr>
          <w:rFonts w:hint="cs"/>
          <w:sz w:val="24"/>
          <w:szCs w:val="24"/>
          <w:rtl/>
        </w:rPr>
        <w:t xml:space="preserve">איסורי הנאה </w:t>
      </w:r>
      <w:r w:rsidR="00B67C7C" w:rsidRPr="00B2558B">
        <w:rPr>
          <w:rFonts w:hint="cs"/>
          <w:sz w:val="24"/>
          <w:szCs w:val="24"/>
          <w:rtl/>
        </w:rPr>
        <w:t>(</w:t>
      </w:r>
      <w:r w:rsidRPr="00B2558B">
        <w:rPr>
          <w:rFonts w:hint="cs"/>
          <w:sz w:val="24"/>
          <w:szCs w:val="24"/>
          <w:rtl/>
        </w:rPr>
        <w:t>ד</w:t>
      </w:r>
      <w:r w:rsidR="00B67C7C" w:rsidRPr="00B2558B">
        <w:rPr>
          <w:rFonts w:hint="cs"/>
          <w:sz w:val="24"/>
          <w:szCs w:val="24"/>
          <w:rtl/>
        </w:rPr>
        <w:t>)</w:t>
      </w:r>
    </w:p>
    <w:p w:rsidR="00B95060" w:rsidRPr="00B2558B" w:rsidRDefault="00B95060" w:rsidP="00CF71B8">
      <w:pPr>
        <w:spacing w:afterLines="80" w:after="192" w:line="360" w:lineRule="auto"/>
        <w:jc w:val="center"/>
        <w:rPr>
          <w:sz w:val="24"/>
          <w:szCs w:val="24"/>
          <w:rtl/>
        </w:rPr>
      </w:pPr>
      <w:r w:rsidRPr="00B2558B">
        <w:rPr>
          <w:rFonts w:hint="cs"/>
          <w:sz w:val="24"/>
          <w:szCs w:val="24"/>
          <w:rtl/>
        </w:rPr>
        <w:t>הרב עזרא ביק</w:t>
      </w:r>
    </w:p>
    <w:p w:rsidR="00CF71B8" w:rsidRPr="00B2558B" w:rsidRDefault="00CF71B8" w:rsidP="00CF71B8">
      <w:pPr>
        <w:spacing w:afterLines="80" w:after="192" w:line="360" w:lineRule="auto"/>
        <w:rPr>
          <w:sz w:val="24"/>
          <w:szCs w:val="24"/>
          <w:rtl/>
        </w:rPr>
      </w:pPr>
    </w:p>
    <w:p w:rsidR="008D555C" w:rsidRPr="00B2558B" w:rsidRDefault="00B67C7C" w:rsidP="00CF71B8">
      <w:pPr>
        <w:spacing w:afterLines="80" w:after="192" w:line="360" w:lineRule="auto"/>
        <w:rPr>
          <w:sz w:val="24"/>
          <w:szCs w:val="24"/>
          <w:rtl/>
        </w:rPr>
      </w:pPr>
      <w:r w:rsidRPr="00B2558B">
        <w:rPr>
          <w:rFonts w:ascii="Arial" w:hAnsi="Arial"/>
          <w:color w:val="222222"/>
          <w:sz w:val="24"/>
          <w:szCs w:val="24"/>
          <w:rtl/>
        </w:rPr>
        <w:t>מקורות:</w:t>
      </w:r>
    </w:p>
    <w:p w:rsidR="008D555C" w:rsidRPr="00B2558B" w:rsidRDefault="008D555C" w:rsidP="00CF71B8">
      <w:pPr>
        <w:spacing w:afterLines="80" w:after="192" w:line="360" w:lineRule="auto"/>
        <w:rPr>
          <w:sz w:val="24"/>
          <w:szCs w:val="24"/>
          <w:rtl/>
        </w:rPr>
      </w:pPr>
      <w:r w:rsidRPr="00B2558B">
        <w:rPr>
          <w:rFonts w:hint="cs"/>
          <w:sz w:val="24"/>
          <w:szCs w:val="24"/>
          <w:rtl/>
        </w:rPr>
        <w:t xml:space="preserve">נמשיך גם בשבוע הבא בקצב מואץ. יש ללמוד עד כד: "... טומאת בשר בלאו". רוב הגמרא מכילה פסוקים חלופיים לאיסור הנאה. בסיום, מופיע קטע קצר הדן בחפיפה שבין האיסורים </w:t>
      </w:r>
      <w:r w:rsidRPr="00B2558B">
        <w:rPr>
          <w:sz w:val="24"/>
          <w:szCs w:val="24"/>
          <w:rtl/>
        </w:rPr>
        <w:t>–</w:t>
      </w:r>
      <w:r w:rsidRPr="00B2558B">
        <w:rPr>
          <w:rFonts w:hint="cs"/>
          <w:sz w:val="24"/>
          <w:szCs w:val="24"/>
          <w:rtl/>
        </w:rPr>
        <w:t xml:space="preserve"> האם מעשה אחד יכול להיות אסור ביותר מאיסור אחד. נושא זה הוא סלע מחלוקת ידועה בין הרמב"ם לרמב"ן. </w:t>
      </w:r>
    </w:p>
    <w:p w:rsidR="008D555C" w:rsidRPr="00B2558B" w:rsidRDefault="008D555C" w:rsidP="00CF71B8">
      <w:pPr>
        <w:spacing w:afterLines="80" w:after="192" w:line="360" w:lineRule="auto"/>
        <w:rPr>
          <w:sz w:val="24"/>
          <w:szCs w:val="24"/>
          <w:rtl/>
        </w:rPr>
      </w:pPr>
      <w:r w:rsidRPr="00B2558B">
        <w:rPr>
          <w:rFonts w:hint="cs"/>
          <w:sz w:val="24"/>
          <w:szCs w:val="24"/>
          <w:rtl/>
        </w:rPr>
        <w:t xml:space="preserve">עיין ברמב"ם הלכות מאכלות אסורות ב, </w:t>
      </w:r>
      <w:proofErr w:type="spellStart"/>
      <w:r w:rsidRPr="00B2558B">
        <w:rPr>
          <w:rFonts w:hint="cs"/>
          <w:sz w:val="24"/>
          <w:szCs w:val="24"/>
          <w:rtl/>
        </w:rPr>
        <w:t>כג</w:t>
      </w:r>
      <w:proofErr w:type="spellEnd"/>
    </w:p>
    <w:p w:rsidR="008D555C" w:rsidRPr="00B2558B" w:rsidRDefault="008D555C" w:rsidP="00CF71B8">
      <w:pPr>
        <w:spacing w:afterLines="80" w:after="192" w:line="360" w:lineRule="auto"/>
        <w:rPr>
          <w:sz w:val="24"/>
          <w:szCs w:val="24"/>
        </w:rPr>
      </w:pPr>
      <w:r w:rsidRPr="00B2558B">
        <w:rPr>
          <w:rFonts w:hint="cs"/>
          <w:sz w:val="24"/>
          <w:szCs w:val="24"/>
          <w:rtl/>
        </w:rPr>
        <w:t>רמב"ם הקדמה לספר המצוות, שורש ט (בקטע הראשון, עד בערך 10 שורות לאחר הציטוט מפסחים כד.) וברמב"ן על אתר.</w:t>
      </w:r>
    </w:p>
    <w:p w:rsidR="008D555C" w:rsidRPr="00B2558B" w:rsidRDefault="00CF71B8" w:rsidP="00CF71B8">
      <w:pPr>
        <w:spacing w:afterLines="80" w:after="192" w:line="360" w:lineRule="auto"/>
        <w:rPr>
          <w:sz w:val="24"/>
          <w:szCs w:val="24"/>
          <w:rtl/>
        </w:rPr>
      </w:pPr>
      <w:r w:rsidRPr="00B2558B">
        <w:rPr>
          <w:rFonts w:hint="cs"/>
          <w:sz w:val="24"/>
          <w:szCs w:val="24"/>
          <w:rtl/>
        </w:rPr>
        <w:t>**************************</w:t>
      </w:r>
    </w:p>
    <w:p w:rsidR="00CF71B8" w:rsidRPr="00B2558B" w:rsidRDefault="00CF71B8" w:rsidP="00CF71B8">
      <w:pPr>
        <w:spacing w:afterLines="80" w:after="192" w:line="360" w:lineRule="auto"/>
        <w:rPr>
          <w:sz w:val="24"/>
          <w:szCs w:val="24"/>
          <w:rtl/>
        </w:rPr>
      </w:pPr>
    </w:p>
    <w:p w:rsidR="008D555C" w:rsidRPr="00B2558B" w:rsidRDefault="008D555C" w:rsidP="0039356B">
      <w:pPr>
        <w:pStyle w:val="BodyTextIndent"/>
        <w:spacing w:afterLines="80" w:after="192" w:line="360" w:lineRule="auto"/>
        <w:ind w:left="0" w:firstLine="566"/>
        <w:rPr>
          <w:sz w:val="24"/>
          <w:szCs w:val="24"/>
          <w:rtl/>
        </w:rPr>
      </w:pPr>
      <w:bookmarkStart w:id="0" w:name="_GoBack"/>
      <w:bookmarkEnd w:id="0"/>
      <w:r w:rsidRPr="00B2558B">
        <w:rPr>
          <w:rFonts w:hint="cs"/>
          <w:sz w:val="24"/>
          <w:szCs w:val="24"/>
          <w:rtl/>
        </w:rPr>
        <w:t xml:space="preserve">הגמרא מעלה שתי הצעות ביחס ללימוד איסור הנאה, שתיהן מתבססות על החיוב לשרוף קרבן. היות שהפסוק מיותר, הגמרא דורשת אותו באמצעות "אם אינו עניין" ולומדת ממנו איסורי הנאה לכל איסורי אכילה. </w:t>
      </w:r>
    </w:p>
    <w:p w:rsidR="008D555C" w:rsidRPr="00B2558B" w:rsidRDefault="008D555C" w:rsidP="00CF71B8">
      <w:pPr>
        <w:spacing w:afterLines="80" w:after="192" w:line="360" w:lineRule="auto"/>
        <w:ind w:firstLine="566"/>
        <w:rPr>
          <w:sz w:val="24"/>
          <w:szCs w:val="24"/>
          <w:rtl/>
        </w:rPr>
      </w:pPr>
      <w:r w:rsidRPr="00B2558B">
        <w:rPr>
          <w:rFonts w:hint="cs"/>
          <w:sz w:val="24"/>
          <w:szCs w:val="24"/>
          <w:rtl/>
        </w:rPr>
        <w:t xml:space="preserve">הגמרא (סוף כד.) מנסה לדחות את עצם הרעיון של אם אינו עניין בכך שהיא מציעה כי שני הפסוקים באו לאסור את אותה פעולה </w:t>
      </w:r>
      <w:r w:rsidRPr="00B2558B">
        <w:rPr>
          <w:sz w:val="24"/>
          <w:szCs w:val="24"/>
          <w:rtl/>
        </w:rPr>
        <w:t>–</w:t>
      </w:r>
      <w:r w:rsidRPr="00B2558B">
        <w:rPr>
          <w:rFonts w:hint="cs"/>
          <w:sz w:val="24"/>
          <w:szCs w:val="24"/>
          <w:rtl/>
        </w:rPr>
        <w:t xml:space="preserve"> "לעבור עליו בשני </w:t>
      </w:r>
      <w:proofErr w:type="spellStart"/>
      <w:r w:rsidRPr="00B2558B">
        <w:rPr>
          <w:rFonts w:hint="cs"/>
          <w:sz w:val="24"/>
          <w:szCs w:val="24"/>
          <w:rtl/>
        </w:rPr>
        <w:t>לאוין</w:t>
      </w:r>
      <w:proofErr w:type="spellEnd"/>
      <w:r w:rsidRPr="00B2558B">
        <w:rPr>
          <w:rFonts w:hint="cs"/>
          <w:sz w:val="24"/>
          <w:szCs w:val="24"/>
          <w:rtl/>
        </w:rPr>
        <w:t xml:space="preserve">". אדם שעיבור על איסור זה יתחייב משום שני </w:t>
      </w:r>
      <w:proofErr w:type="spellStart"/>
      <w:r w:rsidRPr="00B2558B">
        <w:rPr>
          <w:rFonts w:hint="cs"/>
          <w:sz w:val="24"/>
          <w:szCs w:val="24"/>
          <w:rtl/>
        </w:rPr>
        <w:t>לאוים</w:t>
      </w:r>
      <w:proofErr w:type="spellEnd"/>
      <w:r w:rsidRPr="00B2558B">
        <w:rPr>
          <w:rFonts w:hint="cs"/>
          <w:sz w:val="24"/>
          <w:szCs w:val="24"/>
          <w:rtl/>
        </w:rPr>
        <w:t xml:space="preserve">. הגמרא מציינת את המקרה של אכילת חרקים, בו יש חיוב של כמה </w:t>
      </w:r>
      <w:proofErr w:type="spellStart"/>
      <w:r w:rsidRPr="00B2558B">
        <w:rPr>
          <w:rFonts w:hint="cs"/>
          <w:sz w:val="24"/>
          <w:szCs w:val="24"/>
          <w:rtl/>
        </w:rPr>
        <w:t>לאוים</w:t>
      </w:r>
      <w:proofErr w:type="spellEnd"/>
      <w:r w:rsidRPr="00B2558B">
        <w:rPr>
          <w:rFonts w:hint="cs"/>
          <w:sz w:val="24"/>
          <w:szCs w:val="24"/>
          <w:rtl/>
        </w:rPr>
        <w:t xml:space="preserve"> על פעולה אחת. הגמרא דוחה הצעה זו, שכן ללמוד את הייתור כבא לעבור עליו בשני </w:t>
      </w:r>
      <w:proofErr w:type="spellStart"/>
      <w:r w:rsidRPr="00B2558B">
        <w:rPr>
          <w:rFonts w:hint="cs"/>
          <w:sz w:val="24"/>
          <w:szCs w:val="24"/>
          <w:rtl/>
        </w:rPr>
        <w:t>לאוין</w:t>
      </w:r>
      <w:proofErr w:type="spellEnd"/>
      <w:r w:rsidRPr="00B2558B">
        <w:rPr>
          <w:rFonts w:hint="cs"/>
          <w:sz w:val="24"/>
          <w:szCs w:val="24"/>
          <w:rtl/>
        </w:rPr>
        <w:t xml:space="preserve"> זהו מוצא אחרון, בו משתמשים רק כשאי אפשר ללמוד מן הפסוק משהו חדש.  עדיף ללמוד מן הפסוק דבר מה חדש, ואפילו בהקשר שונה, </w:t>
      </w:r>
      <w:r w:rsidRPr="00B2558B">
        <w:rPr>
          <w:rFonts w:hint="cs"/>
          <w:sz w:val="24"/>
          <w:szCs w:val="24"/>
          <w:rtl/>
        </w:rPr>
        <w:lastRenderedPageBreak/>
        <w:t xml:space="preserve">מאשר להשתמש בייתור כדי לחייב כמה </w:t>
      </w:r>
      <w:proofErr w:type="spellStart"/>
      <w:r w:rsidRPr="00B2558B">
        <w:rPr>
          <w:rFonts w:hint="cs"/>
          <w:sz w:val="24"/>
          <w:szCs w:val="24"/>
          <w:rtl/>
        </w:rPr>
        <w:t>לאוים</w:t>
      </w:r>
      <w:proofErr w:type="spellEnd"/>
      <w:r w:rsidRPr="00B2558B">
        <w:rPr>
          <w:rFonts w:hint="cs"/>
          <w:sz w:val="24"/>
          <w:szCs w:val="24"/>
          <w:rtl/>
        </w:rPr>
        <w:t xml:space="preserve"> על אותה פעולה. </w:t>
      </w:r>
    </w:p>
    <w:p w:rsidR="008D555C" w:rsidRPr="00B2558B" w:rsidRDefault="008D555C" w:rsidP="00CF71B8">
      <w:pPr>
        <w:spacing w:afterLines="80" w:after="192" w:line="360" w:lineRule="auto"/>
        <w:ind w:firstLine="566"/>
        <w:rPr>
          <w:sz w:val="24"/>
          <w:szCs w:val="24"/>
          <w:rtl/>
        </w:rPr>
      </w:pPr>
      <w:r w:rsidRPr="00B2558B">
        <w:rPr>
          <w:rFonts w:hint="cs"/>
          <w:sz w:val="24"/>
          <w:szCs w:val="24"/>
          <w:rtl/>
        </w:rPr>
        <w:t xml:space="preserve">עניין ריבוי </w:t>
      </w:r>
      <w:proofErr w:type="spellStart"/>
      <w:r w:rsidRPr="00B2558B">
        <w:rPr>
          <w:rFonts w:hint="cs"/>
          <w:sz w:val="24"/>
          <w:szCs w:val="24"/>
          <w:rtl/>
        </w:rPr>
        <w:t>הלאוים</w:t>
      </w:r>
      <w:proofErr w:type="spellEnd"/>
      <w:r w:rsidRPr="00B2558B">
        <w:rPr>
          <w:rFonts w:hint="cs"/>
          <w:sz w:val="24"/>
          <w:szCs w:val="24"/>
          <w:rtl/>
        </w:rPr>
        <w:t xml:space="preserve"> שנוי במחלוקת הרמב"ם והרמב"ן. הרמב"ם, בהקדמה לספר המצוות (פרק ט), מצהיר כי כדי להגדיר מצווה כנפרדת, היא חייבת להתייחס לקטגוריה נפרדת. כמה פסוקים האוסרים את אותו דבר ("שם") נמנים כלאו אחד. בעוד בספר המצוות ההשלכה של עמדה זו היא בעיקר על מניין תרי"ג מצוות, יש לה גם משמעות משפטית, שכן על כל לאו לוקים חיוב מלקות נפרד. הרמב"ם פוסק כי לא ניתן לקבל שני עונשי מלקות עבור איסור מקטגוריה אחת. </w:t>
      </w:r>
    </w:p>
    <w:p w:rsidR="008D555C" w:rsidRPr="00B2558B" w:rsidRDefault="008D555C" w:rsidP="00CF71B8">
      <w:pPr>
        <w:spacing w:afterLines="80" w:after="192" w:line="360" w:lineRule="auto"/>
        <w:ind w:firstLine="566"/>
        <w:rPr>
          <w:sz w:val="24"/>
          <w:szCs w:val="24"/>
          <w:rtl/>
        </w:rPr>
      </w:pPr>
      <w:r w:rsidRPr="00B2558B">
        <w:rPr>
          <w:rFonts w:hint="cs"/>
          <w:sz w:val="24"/>
          <w:szCs w:val="24"/>
          <w:rtl/>
        </w:rPr>
        <w:t xml:space="preserve">אין הכוונה כי לא ניתן להתחייב בכמה עונשי מלקות על פעולה אחת. ייתכן כי ישנו מעשה אחד שבו עוברים על מספר קטגוריות. זהו הבסיס לסוגיית אין איסור חל על איסור, שנידונה בשיעור השני בפרק זה. מכל מקום, הרמב"ם פוסק כי לא ניתן לחייב על קטגוריה אחת יותר מפעם אחת; ובמלים אחרות, אין קטגוריה כזו שעליה ניתן להתחייב עונש כפול. </w:t>
      </w:r>
    </w:p>
    <w:p w:rsidR="008D555C" w:rsidRPr="00B2558B" w:rsidRDefault="008D555C" w:rsidP="00CF71B8">
      <w:pPr>
        <w:spacing w:afterLines="80" w:after="192" w:line="360" w:lineRule="auto"/>
        <w:ind w:firstLine="567"/>
        <w:rPr>
          <w:sz w:val="24"/>
          <w:szCs w:val="24"/>
          <w:rtl/>
        </w:rPr>
      </w:pPr>
      <w:r w:rsidRPr="00B2558B">
        <w:rPr>
          <w:rFonts w:hint="cs"/>
          <w:sz w:val="24"/>
          <w:szCs w:val="24"/>
          <w:rtl/>
        </w:rPr>
        <w:t xml:space="preserve">באופן מפתיע למדי, הרמב"ם מצטט את הסוגיה שלנו כמקור לשיטתו. הרמב"ם מיד מציין כי על פניו, מן הסוגיה שלנו משמע להפך. הגמרא הציעה </w:t>
      </w:r>
      <w:proofErr w:type="spellStart"/>
      <w:r w:rsidRPr="00B2558B">
        <w:rPr>
          <w:rFonts w:hint="cs"/>
          <w:sz w:val="24"/>
          <w:szCs w:val="24"/>
          <w:rtl/>
        </w:rPr>
        <w:t>בהווא</w:t>
      </w:r>
      <w:proofErr w:type="spellEnd"/>
      <w:r w:rsidRPr="00B2558B">
        <w:rPr>
          <w:rFonts w:hint="cs"/>
          <w:sz w:val="24"/>
          <w:szCs w:val="24"/>
          <w:rtl/>
        </w:rPr>
        <w:t xml:space="preserve"> </w:t>
      </w:r>
      <w:proofErr w:type="spellStart"/>
      <w:r w:rsidRPr="00B2558B">
        <w:rPr>
          <w:rFonts w:hint="cs"/>
          <w:sz w:val="24"/>
          <w:szCs w:val="24"/>
          <w:rtl/>
        </w:rPr>
        <w:t>אמינא</w:t>
      </w:r>
      <w:proofErr w:type="spellEnd"/>
      <w:r w:rsidRPr="00B2558B">
        <w:rPr>
          <w:rFonts w:hint="cs"/>
          <w:sz w:val="24"/>
          <w:szCs w:val="24"/>
          <w:rtl/>
        </w:rPr>
        <w:t xml:space="preserve"> כי הפסוק המיותר יידרש לעבור עליו בשני </w:t>
      </w:r>
      <w:proofErr w:type="spellStart"/>
      <w:r w:rsidRPr="00B2558B">
        <w:rPr>
          <w:rFonts w:hint="cs"/>
          <w:sz w:val="24"/>
          <w:szCs w:val="24"/>
          <w:rtl/>
        </w:rPr>
        <w:t>לאוין</w:t>
      </w:r>
      <w:proofErr w:type="spellEnd"/>
      <w:r w:rsidRPr="00B2558B">
        <w:rPr>
          <w:rFonts w:hint="cs"/>
          <w:sz w:val="24"/>
          <w:szCs w:val="24"/>
          <w:rtl/>
        </w:rPr>
        <w:t xml:space="preserve"> </w:t>
      </w:r>
      <w:r w:rsidRPr="00B2558B">
        <w:rPr>
          <w:sz w:val="24"/>
          <w:szCs w:val="24"/>
          <w:rtl/>
        </w:rPr>
        <w:t>–</w:t>
      </w:r>
      <w:r w:rsidRPr="00B2558B">
        <w:rPr>
          <w:rFonts w:hint="cs"/>
          <w:sz w:val="24"/>
          <w:szCs w:val="24"/>
          <w:rtl/>
        </w:rPr>
        <w:t xml:space="preserve"> יצירת לאו שני על אותה קטגוריה. הגמרא נותנת דוגמא לעיקרון זה </w:t>
      </w:r>
      <w:proofErr w:type="spellStart"/>
      <w:r w:rsidRPr="00B2558B">
        <w:rPr>
          <w:rFonts w:hint="cs"/>
          <w:sz w:val="24"/>
          <w:szCs w:val="24"/>
          <w:rtl/>
        </w:rPr>
        <w:t>מפוטיתא</w:t>
      </w:r>
      <w:proofErr w:type="spellEnd"/>
      <w:r w:rsidRPr="00B2558B">
        <w:rPr>
          <w:rFonts w:hint="cs"/>
          <w:sz w:val="24"/>
          <w:szCs w:val="24"/>
          <w:rtl/>
        </w:rPr>
        <w:t xml:space="preserve">, שלפי הסבר רש"י לוקים עליה כמה מלקות משום שיש בתורה יותר מפסוק אחד האוסר שרצים. אכילת שרצים אסורה פעמיים (חוץ מן העובדה כי ייצור מסוים יכול להשתייך לכמה קטגוריות). מן ההשוואה שעושה הגמרא בין המקרה שלנו ובין </w:t>
      </w:r>
      <w:proofErr w:type="spellStart"/>
      <w:r w:rsidRPr="00B2558B">
        <w:rPr>
          <w:rFonts w:hint="cs"/>
          <w:sz w:val="24"/>
          <w:szCs w:val="24"/>
          <w:rtl/>
        </w:rPr>
        <w:t>פוטיתא</w:t>
      </w:r>
      <w:proofErr w:type="spellEnd"/>
      <w:r w:rsidRPr="00B2558B">
        <w:rPr>
          <w:rFonts w:hint="cs"/>
          <w:sz w:val="24"/>
          <w:szCs w:val="24"/>
          <w:rtl/>
        </w:rPr>
        <w:t xml:space="preserve">, ברור כי ניתן להשתמש בלאו מיותר על מנת ליצור כפל חיובים על מעשה אחד. </w:t>
      </w:r>
    </w:p>
    <w:p w:rsidR="008D555C" w:rsidRPr="00B2558B" w:rsidRDefault="008D555C" w:rsidP="00CF71B8">
      <w:pPr>
        <w:spacing w:afterLines="80" w:after="192" w:line="360" w:lineRule="auto"/>
        <w:ind w:firstLine="566"/>
        <w:rPr>
          <w:sz w:val="24"/>
          <w:szCs w:val="24"/>
          <w:rtl/>
        </w:rPr>
      </w:pPr>
      <w:r w:rsidRPr="00B2558B">
        <w:rPr>
          <w:rFonts w:hint="cs"/>
          <w:sz w:val="24"/>
          <w:szCs w:val="24"/>
          <w:rtl/>
        </w:rPr>
        <w:t xml:space="preserve">ראשית, על הרמב"ם להסביר את ריבוי המלקות </w:t>
      </w:r>
      <w:proofErr w:type="spellStart"/>
      <w:r w:rsidRPr="00B2558B">
        <w:rPr>
          <w:rFonts w:hint="cs"/>
          <w:sz w:val="24"/>
          <w:szCs w:val="24"/>
          <w:rtl/>
        </w:rPr>
        <w:t>שבפוטיתא</w:t>
      </w:r>
      <w:proofErr w:type="spellEnd"/>
      <w:r w:rsidRPr="00B2558B">
        <w:rPr>
          <w:rFonts w:hint="cs"/>
          <w:sz w:val="24"/>
          <w:szCs w:val="24"/>
          <w:rtl/>
        </w:rPr>
        <w:t xml:space="preserve">. את זאת הוא עושה בכך שהוא משייך כל לאו </w:t>
      </w:r>
      <w:proofErr w:type="spellStart"/>
      <w:r w:rsidRPr="00B2558B">
        <w:rPr>
          <w:rFonts w:hint="cs"/>
          <w:sz w:val="24"/>
          <w:szCs w:val="24"/>
          <w:rtl/>
        </w:rPr>
        <w:t>בפוטיתא</w:t>
      </w:r>
      <w:proofErr w:type="spellEnd"/>
      <w:r w:rsidRPr="00B2558B">
        <w:rPr>
          <w:rFonts w:hint="cs"/>
          <w:sz w:val="24"/>
          <w:szCs w:val="24"/>
          <w:rtl/>
        </w:rPr>
        <w:t xml:space="preserve"> לקטגוריה אחרת, שיכולה מצד עצמה לחייב מלקות. הרמב"ם (בהלכות מאכלות אסורות ב, </w:t>
      </w:r>
      <w:proofErr w:type="spellStart"/>
      <w:r w:rsidRPr="00B2558B">
        <w:rPr>
          <w:rFonts w:hint="cs"/>
          <w:sz w:val="24"/>
          <w:szCs w:val="24"/>
          <w:rtl/>
        </w:rPr>
        <w:t>כג</w:t>
      </w:r>
      <w:proofErr w:type="spellEnd"/>
      <w:r w:rsidRPr="00B2558B">
        <w:rPr>
          <w:rFonts w:hint="cs"/>
          <w:sz w:val="24"/>
          <w:szCs w:val="24"/>
          <w:rtl/>
        </w:rPr>
        <w:t xml:space="preserve">) טוען כי החרקים המוזכרים בהלכה זו יש בהם </w:t>
      </w:r>
      <w:r w:rsidRPr="00B2558B">
        <w:rPr>
          <w:rFonts w:hint="cs"/>
          <w:sz w:val="24"/>
          <w:szCs w:val="24"/>
          <w:rtl/>
        </w:rPr>
        <w:lastRenderedPageBreak/>
        <w:t xml:space="preserve">משום "שרץ העוף" משום שיש להם כנפיים, "שרץ הארץ" משום שהם הולכים על הארץ ו- "שרץ המים" משום שהם שורצים על המים. הרמב"ם מוסיף קטגוריה נוספת, הנוגעת לחרקים השורצים בפירות, קטגוריה נפרדת לחרקים שמתרבים, וקטגוריה נפרדת לעוף. בסיכומו של דבר, יש בסך </w:t>
      </w:r>
      <w:proofErr w:type="spellStart"/>
      <w:r w:rsidRPr="00B2558B">
        <w:rPr>
          <w:rFonts w:hint="cs"/>
          <w:sz w:val="24"/>
          <w:szCs w:val="24"/>
          <w:rtl/>
        </w:rPr>
        <w:t>הכל</w:t>
      </w:r>
      <w:proofErr w:type="spellEnd"/>
      <w:r w:rsidRPr="00B2558B">
        <w:rPr>
          <w:rFonts w:hint="cs"/>
          <w:sz w:val="24"/>
          <w:szCs w:val="24"/>
          <w:rtl/>
        </w:rPr>
        <w:t xml:space="preserve">  6 קטגוריות שונות. אם ישנו יצור המשתייך לכל ששת הקטגוריות, </w:t>
      </w:r>
      <w:proofErr w:type="spellStart"/>
      <w:r w:rsidRPr="00B2558B">
        <w:rPr>
          <w:rFonts w:hint="cs"/>
          <w:sz w:val="24"/>
          <w:szCs w:val="24"/>
          <w:rtl/>
        </w:rPr>
        <w:t>האוכלו</w:t>
      </w:r>
      <w:proofErr w:type="spellEnd"/>
      <w:r w:rsidRPr="00B2558B">
        <w:rPr>
          <w:rFonts w:hint="cs"/>
          <w:sz w:val="24"/>
          <w:szCs w:val="24"/>
          <w:rtl/>
        </w:rPr>
        <w:t xml:space="preserve"> ילקה עליו משום 6 </w:t>
      </w:r>
      <w:proofErr w:type="spellStart"/>
      <w:r w:rsidRPr="00B2558B">
        <w:rPr>
          <w:rFonts w:hint="cs"/>
          <w:sz w:val="24"/>
          <w:szCs w:val="24"/>
          <w:rtl/>
        </w:rPr>
        <w:t>לאוים</w:t>
      </w:r>
      <w:proofErr w:type="spellEnd"/>
      <w:r w:rsidRPr="00B2558B">
        <w:rPr>
          <w:rFonts w:hint="cs"/>
          <w:sz w:val="24"/>
          <w:szCs w:val="24"/>
          <w:rtl/>
        </w:rPr>
        <w:t xml:space="preserve">. </w:t>
      </w:r>
      <w:proofErr w:type="spellStart"/>
      <w:r w:rsidRPr="00B2558B">
        <w:rPr>
          <w:rFonts w:hint="cs"/>
          <w:sz w:val="24"/>
          <w:szCs w:val="24"/>
          <w:rtl/>
        </w:rPr>
        <w:t>הראב"ד</w:t>
      </w:r>
      <w:proofErr w:type="spellEnd"/>
      <w:r w:rsidRPr="00B2558B">
        <w:rPr>
          <w:rFonts w:hint="cs"/>
          <w:sz w:val="24"/>
          <w:szCs w:val="24"/>
          <w:rtl/>
        </w:rPr>
        <w:t xml:space="preserve"> מציין כי לא קיים יצור כזה. בכל מקרה, הרמב"ם נאמן לשיטתו. שלא כרש"י, שסבר כי ישנם כמה עונשי מלקות על קטגוריה של שרץ, הרמב"ם סבר כי כל חיוב מלקות התייחס לקטגוריה אחרת של איסור. </w:t>
      </w:r>
    </w:p>
    <w:p w:rsidR="008D555C" w:rsidRPr="00B2558B" w:rsidRDefault="008D555C" w:rsidP="00CF71B8">
      <w:pPr>
        <w:spacing w:afterLines="80" w:after="192" w:line="360" w:lineRule="auto"/>
        <w:ind w:firstLine="566"/>
        <w:rPr>
          <w:sz w:val="24"/>
          <w:szCs w:val="24"/>
          <w:rtl/>
        </w:rPr>
      </w:pPr>
      <w:r w:rsidRPr="00B2558B">
        <w:rPr>
          <w:rFonts w:hint="cs"/>
          <w:sz w:val="24"/>
          <w:szCs w:val="24"/>
          <w:rtl/>
        </w:rPr>
        <w:t xml:space="preserve">אך השאלה אינה מן המקרה של </w:t>
      </w:r>
      <w:proofErr w:type="spellStart"/>
      <w:r w:rsidRPr="00B2558B">
        <w:rPr>
          <w:rFonts w:hint="cs"/>
          <w:sz w:val="24"/>
          <w:szCs w:val="24"/>
          <w:rtl/>
        </w:rPr>
        <w:t>פוטיתא</w:t>
      </w:r>
      <w:proofErr w:type="spellEnd"/>
      <w:r w:rsidRPr="00B2558B">
        <w:rPr>
          <w:rFonts w:hint="cs"/>
          <w:sz w:val="24"/>
          <w:szCs w:val="24"/>
          <w:rtl/>
        </w:rPr>
        <w:t xml:space="preserve"> כשלעצמו, אלא מהשוואת הגמרא את דין </w:t>
      </w:r>
      <w:proofErr w:type="spellStart"/>
      <w:r w:rsidRPr="00B2558B">
        <w:rPr>
          <w:rFonts w:hint="cs"/>
          <w:sz w:val="24"/>
          <w:szCs w:val="24"/>
          <w:rtl/>
        </w:rPr>
        <w:t>פוטיתא</w:t>
      </w:r>
      <w:proofErr w:type="spellEnd"/>
      <w:r w:rsidRPr="00B2558B">
        <w:rPr>
          <w:rFonts w:hint="cs"/>
          <w:sz w:val="24"/>
          <w:szCs w:val="24"/>
          <w:rtl/>
        </w:rPr>
        <w:t xml:space="preserve"> לדין טמא קודשים. שתי האפשרויות היחידות כאן הן או "לעבור עליו בשני </w:t>
      </w:r>
      <w:proofErr w:type="spellStart"/>
      <w:r w:rsidRPr="00B2558B">
        <w:rPr>
          <w:rFonts w:hint="cs"/>
          <w:sz w:val="24"/>
          <w:szCs w:val="24"/>
          <w:rtl/>
        </w:rPr>
        <w:t>לאוין</w:t>
      </w:r>
      <w:proofErr w:type="spellEnd"/>
      <w:r w:rsidRPr="00B2558B">
        <w:rPr>
          <w:rFonts w:hint="cs"/>
          <w:sz w:val="24"/>
          <w:szCs w:val="24"/>
          <w:rtl/>
        </w:rPr>
        <w:t xml:space="preserve">" או "אם אינו עניין". אין קטגוריה נוספת השייכת לקודשים. היות שהגמרא מקישה בין לעבור עליו בשני </w:t>
      </w:r>
      <w:proofErr w:type="spellStart"/>
      <w:r w:rsidRPr="00B2558B">
        <w:rPr>
          <w:rFonts w:hint="cs"/>
          <w:sz w:val="24"/>
          <w:szCs w:val="24"/>
          <w:rtl/>
        </w:rPr>
        <w:t>לאוין</w:t>
      </w:r>
      <w:proofErr w:type="spellEnd"/>
      <w:r w:rsidRPr="00B2558B">
        <w:rPr>
          <w:rFonts w:hint="cs"/>
          <w:sz w:val="24"/>
          <w:szCs w:val="24"/>
          <w:rtl/>
        </w:rPr>
        <w:t xml:space="preserve"> ובין </w:t>
      </w:r>
      <w:proofErr w:type="spellStart"/>
      <w:r w:rsidRPr="00B2558B">
        <w:rPr>
          <w:rFonts w:hint="cs"/>
          <w:sz w:val="24"/>
          <w:szCs w:val="24"/>
          <w:rtl/>
        </w:rPr>
        <w:t>פוטיתא</w:t>
      </w:r>
      <w:proofErr w:type="spellEnd"/>
      <w:r w:rsidRPr="00B2558B">
        <w:rPr>
          <w:rFonts w:hint="cs"/>
          <w:sz w:val="24"/>
          <w:szCs w:val="24"/>
          <w:rtl/>
        </w:rPr>
        <w:t xml:space="preserve">, נראה כי </w:t>
      </w:r>
      <w:proofErr w:type="spellStart"/>
      <w:r w:rsidRPr="00B2558B">
        <w:rPr>
          <w:rFonts w:hint="cs"/>
          <w:sz w:val="24"/>
          <w:szCs w:val="24"/>
          <w:rtl/>
        </w:rPr>
        <w:t>הלאוים</w:t>
      </w:r>
      <w:proofErr w:type="spellEnd"/>
      <w:r w:rsidRPr="00B2558B">
        <w:rPr>
          <w:rFonts w:hint="cs"/>
          <w:sz w:val="24"/>
          <w:szCs w:val="24"/>
          <w:rtl/>
        </w:rPr>
        <w:t xml:space="preserve"> החוזרים על עצמם מלמדים על עונשי מלקות נוספים. זו שאלת הרמב"ן בספר המצוות, והיא קשה עוד יותר לאור העובדה כי הרמב"ם הביא את הגמרא שלנו כראיה לשיטתו. </w:t>
      </w:r>
    </w:p>
    <w:p w:rsidR="008D555C" w:rsidRPr="00B2558B" w:rsidRDefault="008D555C" w:rsidP="00CF71B8">
      <w:pPr>
        <w:spacing w:afterLines="80" w:after="192" w:line="360" w:lineRule="auto"/>
        <w:ind w:firstLine="566"/>
        <w:rPr>
          <w:sz w:val="24"/>
          <w:szCs w:val="24"/>
          <w:rtl/>
        </w:rPr>
      </w:pPr>
      <w:r w:rsidRPr="00B2558B">
        <w:rPr>
          <w:rFonts w:hint="cs"/>
          <w:sz w:val="24"/>
          <w:szCs w:val="24"/>
          <w:rtl/>
        </w:rPr>
        <w:t xml:space="preserve">אם נעיין היטב ברמב"ם שבספר המצוות, נראה כי ראייתו מן הגמרא שלנו היא בעיקר לשונית. כשהגמרא דוחה את האפשרות של שני </w:t>
      </w:r>
      <w:proofErr w:type="spellStart"/>
      <w:r w:rsidRPr="00B2558B">
        <w:rPr>
          <w:rFonts w:hint="cs"/>
          <w:sz w:val="24"/>
          <w:szCs w:val="24"/>
          <w:rtl/>
        </w:rPr>
        <w:t>לאוים</w:t>
      </w:r>
      <w:proofErr w:type="spellEnd"/>
      <w:r w:rsidRPr="00B2558B">
        <w:rPr>
          <w:rFonts w:hint="cs"/>
          <w:sz w:val="24"/>
          <w:szCs w:val="24"/>
          <w:rtl/>
        </w:rPr>
        <w:t xml:space="preserve"> היא כותבת: "כל </w:t>
      </w:r>
      <w:proofErr w:type="spellStart"/>
      <w:r w:rsidRPr="00B2558B">
        <w:rPr>
          <w:rFonts w:hint="cs"/>
          <w:sz w:val="24"/>
          <w:szCs w:val="24"/>
          <w:rtl/>
        </w:rPr>
        <w:t>היכא</w:t>
      </w:r>
      <w:proofErr w:type="spellEnd"/>
      <w:r w:rsidRPr="00B2558B">
        <w:rPr>
          <w:rFonts w:hint="cs"/>
          <w:sz w:val="24"/>
          <w:szCs w:val="24"/>
          <w:rtl/>
        </w:rPr>
        <w:t xml:space="preserve"> </w:t>
      </w:r>
      <w:proofErr w:type="spellStart"/>
      <w:r w:rsidRPr="00B2558B">
        <w:rPr>
          <w:rFonts w:hint="cs"/>
          <w:sz w:val="24"/>
          <w:szCs w:val="24"/>
          <w:rtl/>
        </w:rPr>
        <w:t>דאיכא</w:t>
      </w:r>
      <w:proofErr w:type="spellEnd"/>
      <w:r w:rsidRPr="00B2558B">
        <w:rPr>
          <w:rFonts w:hint="cs"/>
          <w:sz w:val="24"/>
          <w:szCs w:val="24"/>
          <w:rtl/>
        </w:rPr>
        <w:t xml:space="preserve"> למדרש </w:t>
      </w:r>
      <w:proofErr w:type="spellStart"/>
      <w:r w:rsidRPr="00B2558B">
        <w:rPr>
          <w:rFonts w:hint="cs"/>
          <w:sz w:val="24"/>
          <w:szCs w:val="24"/>
          <w:rtl/>
        </w:rPr>
        <w:t>דרשינן</w:t>
      </w:r>
      <w:proofErr w:type="spellEnd"/>
      <w:r w:rsidRPr="00B2558B">
        <w:rPr>
          <w:rFonts w:hint="cs"/>
          <w:sz w:val="24"/>
          <w:szCs w:val="24"/>
          <w:rtl/>
        </w:rPr>
        <w:t xml:space="preserve"> ולא </w:t>
      </w:r>
      <w:proofErr w:type="spellStart"/>
      <w:r w:rsidRPr="00B2558B">
        <w:rPr>
          <w:rFonts w:hint="cs"/>
          <w:sz w:val="24"/>
          <w:szCs w:val="24"/>
          <w:rtl/>
        </w:rPr>
        <w:t>מוקמינן</w:t>
      </w:r>
      <w:proofErr w:type="spellEnd"/>
      <w:r w:rsidRPr="00B2558B">
        <w:rPr>
          <w:rFonts w:hint="cs"/>
          <w:sz w:val="24"/>
          <w:szCs w:val="24"/>
          <w:rtl/>
        </w:rPr>
        <w:t xml:space="preserve"> </w:t>
      </w:r>
      <w:proofErr w:type="spellStart"/>
      <w:r w:rsidRPr="00B2558B">
        <w:rPr>
          <w:rFonts w:hint="cs"/>
          <w:sz w:val="24"/>
          <w:szCs w:val="24"/>
          <w:u w:val="single"/>
          <w:rtl/>
        </w:rPr>
        <w:t>בלאוי</w:t>
      </w:r>
      <w:proofErr w:type="spellEnd"/>
      <w:r w:rsidRPr="00B2558B">
        <w:rPr>
          <w:rFonts w:hint="cs"/>
          <w:sz w:val="24"/>
          <w:szCs w:val="24"/>
          <w:u w:val="single"/>
          <w:rtl/>
        </w:rPr>
        <w:t xml:space="preserve"> </w:t>
      </w:r>
      <w:proofErr w:type="spellStart"/>
      <w:r w:rsidRPr="00B2558B">
        <w:rPr>
          <w:rFonts w:hint="cs"/>
          <w:sz w:val="24"/>
          <w:szCs w:val="24"/>
          <w:u w:val="single"/>
          <w:rtl/>
        </w:rPr>
        <w:t>יתירי</w:t>
      </w:r>
      <w:proofErr w:type="spellEnd"/>
      <w:r w:rsidRPr="00B2558B">
        <w:rPr>
          <w:rFonts w:hint="cs"/>
          <w:sz w:val="24"/>
          <w:szCs w:val="24"/>
          <w:rtl/>
        </w:rPr>
        <w:t>". הרמב"ם מבין את המונח "</w:t>
      </w:r>
      <w:proofErr w:type="spellStart"/>
      <w:r w:rsidRPr="00B2558B">
        <w:rPr>
          <w:rFonts w:hint="cs"/>
          <w:sz w:val="24"/>
          <w:szCs w:val="24"/>
          <w:rtl/>
        </w:rPr>
        <w:t>בלאוי</w:t>
      </w:r>
      <w:proofErr w:type="spellEnd"/>
      <w:r w:rsidRPr="00B2558B">
        <w:rPr>
          <w:rFonts w:hint="cs"/>
          <w:sz w:val="24"/>
          <w:szCs w:val="24"/>
          <w:rtl/>
        </w:rPr>
        <w:t xml:space="preserve"> </w:t>
      </w:r>
      <w:proofErr w:type="spellStart"/>
      <w:r w:rsidRPr="00B2558B">
        <w:rPr>
          <w:rFonts w:hint="cs"/>
          <w:sz w:val="24"/>
          <w:szCs w:val="24"/>
          <w:rtl/>
        </w:rPr>
        <w:t>יתירי</w:t>
      </w:r>
      <w:proofErr w:type="spellEnd"/>
      <w:r w:rsidRPr="00B2558B">
        <w:rPr>
          <w:rFonts w:hint="cs"/>
          <w:sz w:val="24"/>
          <w:szCs w:val="24"/>
          <w:rtl/>
        </w:rPr>
        <w:t xml:space="preserve">" </w:t>
      </w:r>
      <w:proofErr w:type="spellStart"/>
      <w:r w:rsidRPr="00B2558B">
        <w:rPr>
          <w:rFonts w:hint="cs"/>
          <w:sz w:val="24"/>
          <w:szCs w:val="24"/>
          <w:rtl/>
        </w:rPr>
        <w:t>כלאוים</w:t>
      </w:r>
      <w:proofErr w:type="spellEnd"/>
      <w:r w:rsidRPr="00B2558B">
        <w:rPr>
          <w:rFonts w:hint="cs"/>
          <w:sz w:val="24"/>
          <w:szCs w:val="24"/>
          <w:rtl/>
        </w:rPr>
        <w:t xml:space="preserve"> מיותרים ללא כל משמעות משפטית. על כן הוא מסביר כי הגמרא אומרת כי היות שאין משמעות הלכתית להופעת הלאו בשנית, עדיף להבין אותו לאור הדין של "אם אינו עניין", למרות שאין זו הבנה פשוטה. אפשרות זו עדיפה מאשר לא להבין את הפסוק כבעל משמעות הלכתית בכלל. רק אם אין אפשרות אחרת נשתמש במונח "</w:t>
      </w:r>
      <w:proofErr w:type="spellStart"/>
      <w:r w:rsidRPr="00B2558B">
        <w:rPr>
          <w:rFonts w:hint="cs"/>
          <w:sz w:val="24"/>
          <w:szCs w:val="24"/>
          <w:rtl/>
        </w:rPr>
        <w:t>לאוי</w:t>
      </w:r>
      <w:proofErr w:type="spellEnd"/>
      <w:r w:rsidRPr="00B2558B">
        <w:rPr>
          <w:rFonts w:hint="cs"/>
          <w:sz w:val="24"/>
          <w:szCs w:val="24"/>
          <w:rtl/>
        </w:rPr>
        <w:t xml:space="preserve"> </w:t>
      </w:r>
      <w:proofErr w:type="spellStart"/>
      <w:r w:rsidRPr="00B2558B">
        <w:rPr>
          <w:rFonts w:hint="cs"/>
          <w:sz w:val="24"/>
          <w:szCs w:val="24"/>
          <w:rtl/>
        </w:rPr>
        <w:t>יתירי</w:t>
      </w:r>
      <w:proofErr w:type="spellEnd"/>
      <w:r w:rsidRPr="00B2558B">
        <w:rPr>
          <w:rFonts w:hint="cs"/>
          <w:sz w:val="24"/>
          <w:szCs w:val="24"/>
          <w:rtl/>
        </w:rPr>
        <w:t xml:space="preserve">", כלומר חזרה על מנת להדגיש את חומרת המעשה, ללא כל משמעות משפטית. </w:t>
      </w:r>
    </w:p>
    <w:p w:rsidR="008D555C" w:rsidRPr="00B2558B" w:rsidRDefault="008D555C" w:rsidP="00CF71B8">
      <w:pPr>
        <w:spacing w:afterLines="80" w:after="192" w:line="360" w:lineRule="auto"/>
        <w:ind w:firstLine="566"/>
        <w:rPr>
          <w:sz w:val="24"/>
          <w:szCs w:val="24"/>
          <w:rtl/>
        </w:rPr>
      </w:pPr>
      <w:r w:rsidRPr="00B2558B">
        <w:rPr>
          <w:rFonts w:hint="cs"/>
          <w:sz w:val="24"/>
          <w:szCs w:val="24"/>
          <w:rtl/>
        </w:rPr>
        <w:t xml:space="preserve">מכל מקום, צודק הרמב"ן בטענתו כי מקרה זה של </w:t>
      </w:r>
      <w:proofErr w:type="spellStart"/>
      <w:r w:rsidRPr="00B2558B">
        <w:rPr>
          <w:rFonts w:hint="cs"/>
          <w:sz w:val="24"/>
          <w:szCs w:val="24"/>
          <w:rtl/>
        </w:rPr>
        <w:t>לאוי</w:t>
      </w:r>
      <w:proofErr w:type="spellEnd"/>
      <w:r w:rsidRPr="00B2558B">
        <w:rPr>
          <w:rFonts w:hint="cs"/>
          <w:sz w:val="24"/>
          <w:szCs w:val="24"/>
          <w:rtl/>
        </w:rPr>
        <w:t xml:space="preserve"> </w:t>
      </w:r>
      <w:proofErr w:type="spellStart"/>
      <w:r w:rsidRPr="00B2558B">
        <w:rPr>
          <w:rFonts w:hint="cs"/>
          <w:sz w:val="24"/>
          <w:szCs w:val="24"/>
          <w:rtl/>
        </w:rPr>
        <w:t>יתירי</w:t>
      </w:r>
      <w:proofErr w:type="spellEnd"/>
      <w:r w:rsidRPr="00B2558B">
        <w:rPr>
          <w:rFonts w:hint="cs"/>
          <w:sz w:val="24"/>
          <w:szCs w:val="24"/>
          <w:rtl/>
        </w:rPr>
        <w:t xml:space="preserve"> הושווה </w:t>
      </w:r>
      <w:proofErr w:type="spellStart"/>
      <w:r w:rsidRPr="00B2558B">
        <w:rPr>
          <w:rFonts w:hint="cs"/>
          <w:sz w:val="24"/>
          <w:szCs w:val="24"/>
          <w:rtl/>
        </w:rPr>
        <w:t>לפוטיתא</w:t>
      </w:r>
      <w:proofErr w:type="spellEnd"/>
      <w:r w:rsidRPr="00B2558B">
        <w:rPr>
          <w:rFonts w:hint="cs"/>
          <w:sz w:val="24"/>
          <w:szCs w:val="24"/>
          <w:rtl/>
        </w:rPr>
        <w:t xml:space="preserve">, שלפי הרמב"ם אינו </w:t>
      </w:r>
      <w:r w:rsidRPr="00B2558B">
        <w:rPr>
          <w:rFonts w:hint="cs"/>
          <w:sz w:val="24"/>
          <w:szCs w:val="24"/>
          <w:rtl/>
        </w:rPr>
        <w:lastRenderedPageBreak/>
        <w:t>מקרה של "</w:t>
      </w:r>
      <w:proofErr w:type="spellStart"/>
      <w:r w:rsidRPr="00B2558B">
        <w:rPr>
          <w:rFonts w:hint="cs"/>
          <w:sz w:val="24"/>
          <w:szCs w:val="24"/>
          <w:rtl/>
        </w:rPr>
        <w:t>לאוי</w:t>
      </w:r>
      <w:proofErr w:type="spellEnd"/>
      <w:r w:rsidRPr="00B2558B">
        <w:rPr>
          <w:rFonts w:hint="cs"/>
          <w:sz w:val="24"/>
          <w:szCs w:val="24"/>
          <w:rtl/>
        </w:rPr>
        <w:t xml:space="preserve"> </w:t>
      </w:r>
      <w:proofErr w:type="spellStart"/>
      <w:r w:rsidRPr="00B2558B">
        <w:rPr>
          <w:rFonts w:hint="cs"/>
          <w:sz w:val="24"/>
          <w:szCs w:val="24"/>
          <w:rtl/>
        </w:rPr>
        <w:t>יתירי</w:t>
      </w:r>
      <w:proofErr w:type="spellEnd"/>
      <w:r w:rsidRPr="00B2558B">
        <w:rPr>
          <w:rFonts w:hint="cs"/>
          <w:sz w:val="24"/>
          <w:szCs w:val="24"/>
          <w:rtl/>
        </w:rPr>
        <w:t xml:space="preserve">", אלא מקרה של קטגוריות מרובות (משום שיש בו כמה מלקות). נראה כי הרמב"ם מתעלם מחלק זה של הגמרא. </w:t>
      </w:r>
    </w:p>
    <w:p w:rsidR="008D555C" w:rsidRPr="00B2558B" w:rsidRDefault="008D555C" w:rsidP="00CF71B8">
      <w:pPr>
        <w:spacing w:afterLines="80" w:after="192" w:line="360" w:lineRule="auto"/>
        <w:ind w:firstLine="566"/>
        <w:rPr>
          <w:sz w:val="24"/>
          <w:szCs w:val="24"/>
          <w:rtl/>
        </w:rPr>
      </w:pPr>
      <w:r w:rsidRPr="00B2558B">
        <w:rPr>
          <w:rFonts w:hint="cs"/>
          <w:sz w:val="24"/>
          <w:szCs w:val="24"/>
          <w:rtl/>
        </w:rPr>
        <w:t xml:space="preserve">הרב יצחק זאב </w:t>
      </w:r>
      <w:proofErr w:type="spellStart"/>
      <w:r w:rsidRPr="00B2558B">
        <w:rPr>
          <w:rFonts w:hint="cs"/>
          <w:sz w:val="24"/>
          <w:szCs w:val="24"/>
          <w:rtl/>
        </w:rPr>
        <w:t>סולובייצ'יק</w:t>
      </w:r>
      <w:proofErr w:type="spellEnd"/>
      <w:r w:rsidRPr="00B2558B">
        <w:rPr>
          <w:rFonts w:hint="cs"/>
          <w:sz w:val="24"/>
          <w:szCs w:val="24"/>
          <w:rtl/>
        </w:rPr>
        <w:t xml:space="preserve"> (ר' </w:t>
      </w:r>
      <w:proofErr w:type="spellStart"/>
      <w:r w:rsidRPr="00B2558B">
        <w:rPr>
          <w:rFonts w:hint="cs"/>
          <w:sz w:val="24"/>
          <w:szCs w:val="24"/>
          <w:rtl/>
        </w:rPr>
        <w:t>וולוול</w:t>
      </w:r>
      <w:proofErr w:type="spellEnd"/>
      <w:r w:rsidRPr="00B2558B">
        <w:rPr>
          <w:rFonts w:hint="cs"/>
          <w:sz w:val="24"/>
          <w:szCs w:val="24"/>
          <w:rtl/>
        </w:rPr>
        <w:t xml:space="preserve">) עונה על שאלה זו  על ידי ניתוח הפסוק "לא ביערתי ממנו בטמא" (יחד עם ההיקש לפסוק "לא תוכל לאכול בשעריך..."). האם עלינו להבין מפסוק זה כי ישנו איסור עצמאי לאכול קרבן טמא המבוסס על היקש (כשם שיש איסור לאכול מעשה שני טמא, וכיוון שישנו היקש של קרבן למעשר שני, ישנו גם איסור לאכול קרבן טמא), או שמא ישנו איסור קטגורי כללי, על אכילת קדשים טמאים ("לא ביערתי ממנו בטמא") הכולל את כל סוגי הקדשים (כפי שמשתמע מן ההיקש). ההבדל בין שתי הגישות הוא כי אם האיסור הוא ספציפי לקרבן, יש צורך בקרבן כשר (חוץ מטומאה) על מנת שהאיסור יחול. אם, למשל, הדם שהיה צריך להיות מוזה על המזבח נשפך, כך שהקרבן לא יכול להיאכל ממילא, אין איסור מיוחד על אכילתו בטומאה. כעת, ר' </w:t>
      </w:r>
      <w:proofErr w:type="spellStart"/>
      <w:r w:rsidRPr="00B2558B">
        <w:rPr>
          <w:rFonts w:hint="cs"/>
          <w:sz w:val="24"/>
          <w:szCs w:val="24"/>
          <w:rtl/>
        </w:rPr>
        <w:t>וולוול</w:t>
      </w:r>
      <w:proofErr w:type="spellEnd"/>
      <w:r w:rsidRPr="00B2558B">
        <w:rPr>
          <w:rFonts w:hint="cs"/>
          <w:sz w:val="24"/>
          <w:szCs w:val="24"/>
          <w:rtl/>
        </w:rPr>
        <w:t xml:space="preserve"> טוען כי הרמב"ם סבר כאפשרות הראשונה; במילים אחרות, יש כאן שתי קטגוריות נפרדות, כמו במקרה של </w:t>
      </w:r>
      <w:proofErr w:type="spellStart"/>
      <w:r w:rsidRPr="00B2558B">
        <w:rPr>
          <w:rFonts w:hint="cs"/>
          <w:sz w:val="24"/>
          <w:szCs w:val="24"/>
          <w:rtl/>
        </w:rPr>
        <w:t>פוטיתא</w:t>
      </w:r>
      <w:proofErr w:type="spellEnd"/>
      <w:r w:rsidRPr="00B2558B">
        <w:rPr>
          <w:rFonts w:hint="cs"/>
          <w:sz w:val="24"/>
          <w:szCs w:val="24"/>
          <w:rtl/>
        </w:rPr>
        <w:t xml:space="preserve"> (לפי הרמב"ם את המקרה). </w:t>
      </w:r>
    </w:p>
    <w:p w:rsidR="008D555C" w:rsidRPr="00B2558B" w:rsidRDefault="008D555C" w:rsidP="00CF71B8">
      <w:pPr>
        <w:spacing w:afterLines="80" w:after="192" w:line="360" w:lineRule="auto"/>
        <w:ind w:firstLine="566"/>
        <w:rPr>
          <w:sz w:val="24"/>
          <w:szCs w:val="24"/>
          <w:rtl/>
        </w:rPr>
      </w:pPr>
      <w:r w:rsidRPr="00B2558B">
        <w:rPr>
          <w:rFonts w:hint="cs"/>
          <w:sz w:val="24"/>
          <w:szCs w:val="24"/>
          <w:rtl/>
        </w:rPr>
        <w:t xml:space="preserve">הבה נסביר מהו הבדל בקטגוריה. האפשרות הראשונה שהעלה ר' </w:t>
      </w:r>
      <w:proofErr w:type="spellStart"/>
      <w:r w:rsidRPr="00B2558B">
        <w:rPr>
          <w:rFonts w:hint="cs"/>
          <w:sz w:val="24"/>
          <w:szCs w:val="24"/>
          <w:rtl/>
        </w:rPr>
        <w:t>וולוול</w:t>
      </w:r>
      <w:proofErr w:type="spellEnd"/>
      <w:r w:rsidRPr="00B2558B">
        <w:rPr>
          <w:rFonts w:hint="cs"/>
          <w:sz w:val="24"/>
          <w:szCs w:val="24"/>
          <w:rtl/>
        </w:rPr>
        <w:t xml:space="preserve"> היא לחלק בין שני סוגים שונים לחלוטין של איסורים. האיסור "לא ביערתי ממנו בטמא" אומר כי כל דבר שיש בו קדושה, קדושתו נפגעת מטומאה, ונוצר איסור הדומה לאיסור מאכלות אסורות. האיסור השני (הנלמד ישירות מההיקש) אומר כי אין לאכול את הקרבן בעודו טמא. איסור זה הוא מסוג שונה (ואינו רק תת איסור של הקודם). קרבן אמור להיאכל, ישנו חיוב לאכול את הבשר. טומאה מפריעה לחיוב זה להתבצע, היא מסיטה את הקרבן ממסלולו. אכילת קרבן בטומאה היא חילול מטרתו העיקרית. זו הסיבה שבגללה טוען ר' </w:t>
      </w:r>
      <w:proofErr w:type="spellStart"/>
      <w:r w:rsidRPr="00B2558B">
        <w:rPr>
          <w:rFonts w:hint="cs"/>
          <w:sz w:val="24"/>
          <w:szCs w:val="24"/>
          <w:rtl/>
        </w:rPr>
        <w:t>וולוול</w:t>
      </w:r>
      <w:proofErr w:type="spellEnd"/>
      <w:r w:rsidRPr="00B2558B">
        <w:rPr>
          <w:rFonts w:hint="cs"/>
          <w:sz w:val="24"/>
          <w:szCs w:val="24"/>
          <w:rtl/>
        </w:rPr>
        <w:t xml:space="preserve"> כי אם קרבן חולל על ידי גורם אחר, אין עוד איסור קרבן טמא. זהו איסור שונה לחלוטין מן האיסור הראשוני, ועל כן לפי הרמב"ם יהיו כאן שני חיובי מלקות, בדיוק כמו </w:t>
      </w:r>
      <w:proofErr w:type="spellStart"/>
      <w:r w:rsidRPr="00B2558B">
        <w:rPr>
          <w:rFonts w:hint="cs"/>
          <w:sz w:val="24"/>
          <w:szCs w:val="24"/>
          <w:rtl/>
        </w:rPr>
        <w:t>בפוטיתא</w:t>
      </w:r>
      <w:proofErr w:type="spellEnd"/>
      <w:r w:rsidRPr="00B2558B">
        <w:rPr>
          <w:rFonts w:hint="cs"/>
          <w:sz w:val="24"/>
          <w:szCs w:val="24"/>
          <w:rtl/>
        </w:rPr>
        <w:t xml:space="preserve">. </w:t>
      </w:r>
    </w:p>
    <w:p w:rsidR="008D555C" w:rsidRPr="00B2558B" w:rsidRDefault="008D555C" w:rsidP="00CF71B8">
      <w:pPr>
        <w:spacing w:afterLines="80" w:after="192" w:line="360" w:lineRule="auto"/>
        <w:ind w:firstLine="566"/>
        <w:rPr>
          <w:sz w:val="24"/>
          <w:szCs w:val="24"/>
          <w:rtl/>
        </w:rPr>
      </w:pPr>
      <w:r w:rsidRPr="00B2558B">
        <w:rPr>
          <w:rFonts w:hint="cs"/>
          <w:sz w:val="24"/>
          <w:szCs w:val="24"/>
          <w:rtl/>
        </w:rPr>
        <w:lastRenderedPageBreak/>
        <w:t xml:space="preserve">אך עדיין ישנה קושיה בהבנת תשובתו של רב אשי "כל </w:t>
      </w:r>
      <w:proofErr w:type="spellStart"/>
      <w:r w:rsidRPr="00B2558B">
        <w:rPr>
          <w:rFonts w:hint="cs"/>
          <w:sz w:val="24"/>
          <w:szCs w:val="24"/>
          <w:rtl/>
        </w:rPr>
        <w:t>היכא</w:t>
      </w:r>
      <w:proofErr w:type="spellEnd"/>
      <w:r w:rsidRPr="00B2558B">
        <w:rPr>
          <w:rFonts w:hint="cs"/>
          <w:sz w:val="24"/>
          <w:szCs w:val="24"/>
          <w:rtl/>
        </w:rPr>
        <w:t xml:space="preserve"> </w:t>
      </w:r>
      <w:proofErr w:type="spellStart"/>
      <w:r w:rsidRPr="00B2558B">
        <w:rPr>
          <w:rFonts w:hint="cs"/>
          <w:sz w:val="24"/>
          <w:szCs w:val="24"/>
          <w:rtl/>
        </w:rPr>
        <w:t>דאיכא</w:t>
      </w:r>
      <w:proofErr w:type="spellEnd"/>
      <w:r w:rsidRPr="00B2558B">
        <w:rPr>
          <w:rFonts w:hint="cs"/>
          <w:sz w:val="24"/>
          <w:szCs w:val="24"/>
          <w:rtl/>
        </w:rPr>
        <w:t xml:space="preserve"> למדרש...". הרמב"ם לומד כי תשובה זו מתייחסת </w:t>
      </w:r>
      <w:proofErr w:type="spellStart"/>
      <w:r w:rsidRPr="00B2558B">
        <w:rPr>
          <w:rFonts w:hint="cs"/>
          <w:sz w:val="24"/>
          <w:szCs w:val="24"/>
          <w:rtl/>
        </w:rPr>
        <w:t>ללאוים</w:t>
      </w:r>
      <w:proofErr w:type="spellEnd"/>
      <w:r w:rsidRPr="00B2558B">
        <w:rPr>
          <w:rFonts w:hint="cs"/>
          <w:sz w:val="24"/>
          <w:szCs w:val="24"/>
          <w:rtl/>
        </w:rPr>
        <w:t xml:space="preserve"> מיותרים לגמרי (</w:t>
      </w:r>
      <w:proofErr w:type="spellStart"/>
      <w:r w:rsidRPr="00B2558B">
        <w:rPr>
          <w:rFonts w:hint="cs"/>
          <w:sz w:val="24"/>
          <w:szCs w:val="24"/>
          <w:rtl/>
        </w:rPr>
        <w:t>לאוי</w:t>
      </w:r>
      <w:proofErr w:type="spellEnd"/>
      <w:r w:rsidRPr="00B2558B">
        <w:rPr>
          <w:rFonts w:hint="cs"/>
          <w:sz w:val="24"/>
          <w:szCs w:val="24"/>
          <w:rtl/>
        </w:rPr>
        <w:t xml:space="preserve"> </w:t>
      </w:r>
      <w:proofErr w:type="spellStart"/>
      <w:r w:rsidRPr="00B2558B">
        <w:rPr>
          <w:rFonts w:hint="cs"/>
          <w:sz w:val="24"/>
          <w:szCs w:val="24"/>
          <w:rtl/>
        </w:rPr>
        <w:t>יתירי</w:t>
      </w:r>
      <w:proofErr w:type="spellEnd"/>
      <w:r w:rsidRPr="00B2558B">
        <w:rPr>
          <w:rFonts w:hint="cs"/>
          <w:sz w:val="24"/>
          <w:szCs w:val="24"/>
          <w:rtl/>
        </w:rPr>
        <w:t xml:space="preserve">). אך כרגע הגדרנו את </w:t>
      </w:r>
      <w:proofErr w:type="spellStart"/>
      <w:r w:rsidRPr="00B2558B">
        <w:rPr>
          <w:rFonts w:hint="cs"/>
          <w:sz w:val="24"/>
          <w:szCs w:val="24"/>
          <w:rtl/>
        </w:rPr>
        <w:t>הלאוין</w:t>
      </w:r>
      <w:proofErr w:type="spellEnd"/>
      <w:r w:rsidRPr="00B2558B">
        <w:rPr>
          <w:rFonts w:hint="cs"/>
          <w:sz w:val="24"/>
          <w:szCs w:val="24"/>
          <w:rtl/>
        </w:rPr>
        <w:t xml:space="preserve"> של תרומה </w:t>
      </w:r>
      <w:proofErr w:type="spellStart"/>
      <w:r w:rsidRPr="00B2558B">
        <w:rPr>
          <w:rFonts w:hint="cs"/>
          <w:sz w:val="24"/>
          <w:szCs w:val="24"/>
          <w:rtl/>
        </w:rPr>
        <w:t>כלאוין</w:t>
      </w:r>
      <w:proofErr w:type="spellEnd"/>
      <w:r w:rsidRPr="00B2558B">
        <w:rPr>
          <w:rFonts w:hint="cs"/>
          <w:sz w:val="24"/>
          <w:szCs w:val="24"/>
          <w:rtl/>
        </w:rPr>
        <w:t xml:space="preserve"> שאינם מיותרים. התשובה היא שרב אשי אינו מתייחס ישירות למקרה אותו העלה </w:t>
      </w:r>
      <w:proofErr w:type="spellStart"/>
      <w:r w:rsidRPr="00B2558B">
        <w:rPr>
          <w:rFonts w:hint="cs"/>
          <w:sz w:val="24"/>
          <w:szCs w:val="24"/>
          <w:rtl/>
        </w:rPr>
        <w:t>רבינא</w:t>
      </w:r>
      <w:proofErr w:type="spellEnd"/>
      <w:r w:rsidRPr="00B2558B">
        <w:rPr>
          <w:rFonts w:hint="cs"/>
          <w:sz w:val="24"/>
          <w:szCs w:val="24"/>
          <w:rtl/>
        </w:rPr>
        <w:t xml:space="preserve">, אלא רק מסביר את העיקרון. כשם שבמקרה של איסורים החוזרים על עצמם אני אעדיף להשתמש בדין "אם אינו עניין" ללמוד על משהו חדש, כך גם במקרה זה ישנה עדיפות לשימוש באם אינו עניין ללימוד משהו חדש, כאשר על פי זה, נסביר את איסור קרבן טמא בדרך השנייה שהציע ר' </w:t>
      </w:r>
      <w:proofErr w:type="spellStart"/>
      <w:r w:rsidRPr="00B2558B">
        <w:rPr>
          <w:rFonts w:hint="cs"/>
          <w:sz w:val="24"/>
          <w:szCs w:val="24"/>
          <w:rtl/>
        </w:rPr>
        <w:t>וולוול</w:t>
      </w:r>
      <w:proofErr w:type="spellEnd"/>
      <w:r w:rsidRPr="00B2558B">
        <w:rPr>
          <w:rFonts w:hint="cs"/>
          <w:sz w:val="24"/>
          <w:szCs w:val="24"/>
          <w:rtl/>
        </w:rPr>
        <w:t>, כאיסור הכלול באיסור קודשים טמאים (לא תאכלו ממנו בטמא). [לא כל כך משכנע, אבל זה מה שאני מבין כרגע.]</w:t>
      </w:r>
    </w:p>
    <w:p w:rsidR="008D555C" w:rsidRPr="00B2558B" w:rsidRDefault="008D555C" w:rsidP="00CF71B8">
      <w:pPr>
        <w:spacing w:afterLines="80" w:after="192" w:line="360" w:lineRule="auto"/>
        <w:ind w:firstLine="566"/>
        <w:rPr>
          <w:sz w:val="24"/>
          <w:szCs w:val="24"/>
          <w:rtl/>
        </w:rPr>
      </w:pPr>
      <w:r w:rsidRPr="00B2558B">
        <w:rPr>
          <w:rFonts w:hint="cs"/>
          <w:sz w:val="24"/>
          <w:szCs w:val="24"/>
          <w:rtl/>
        </w:rPr>
        <w:t xml:space="preserve">חשיבותו של דיון זה באה לידי ביטוי בדוגמא אותה מביא ר' </w:t>
      </w:r>
      <w:proofErr w:type="spellStart"/>
      <w:r w:rsidRPr="00B2558B">
        <w:rPr>
          <w:rFonts w:hint="cs"/>
          <w:sz w:val="24"/>
          <w:szCs w:val="24"/>
          <w:rtl/>
        </w:rPr>
        <w:t>וולוול</w:t>
      </w:r>
      <w:proofErr w:type="spellEnd"/>
      <w:r w:rsidRPr="00B2558B">
        <w:rPr>
          <w:rFonts w:hint="cs"/>
          <w:sz w:val="24"/>
          <w:szCs w:val="24"/>
          <w:rtl/>
        </w:rPr>
        <w:t xml:space="preserve"> לדין זה. גם במקרה בו האיסור חל על אותו חפץ פיסי (קרבן טמא), </w:t>
      </w:r>
      <w:r w:rsidRPr="00B2558B">
        <w:rPr>
          <w:rFonts w:hint="cs"/>
          <w:sz w:val="24"/>
          <w:szCs w:val="24"/>
          <w:u w:val="single"/>
          <w:rtl/>
        </w:rPr>
        <w:t>הקטגוריה</w:t>
      </w:r>
      <w:r w:rsidRPr="00B2558B">
        <w:rPr>
          <w:rFonts w:hint="cs"/>
          <w:sz w:val="24"/>
          <w:szCs w:val="24"/>
          <w:rtl/>
        </w:rPr>
        <w:t xml:space="preserve"> שתחתיה מסווג החפץ עשויה להיות שונה. הבנת הקטגוריה עשויה להוביל למספר נפקא מינות, חוץ מכך שהיא עשויה להוסיף עוד עונשי מלקות לדעת הרמב"ם. על כן יש לנתח כל איסור חדש בדקדקנות מרובה, גם במקרה כמו זה, בו נדמה כי הפסוק מקיש אותו לאיסור אחר. כפי שכבר עמד על כך ר' </w:t>
      </w:r>
      <w:proofErr w:type="spellStart"/>
      <w:r w:rsidRPr="00B2558B">
        <w:rPr>
          <w:rFonts w:hint="cs"/>
          <w:sz w:val="24"/>
          <w:szCs w:val="24"/>
          <w:rtl/>
        </w:rPr>
        <w:t>וולוול</w:t>
      </w:r>
      <w:proofErr w:type="spellEnd"/>
      <w:r w:rsidRPr="00B2558B">
        <w:rPr>
          <w:rFonts w:hint="cs"/>
          <w:sz w:val="24"/>
          <w:szCs w:val="24"/>
          <w:rtl/>
        </w:rPr>
        <w:t xml:space="preserve">, ישנן שתי דרכים להבין את השימוש בפסוק המדובר (או לחלופין, בשני הפסוקים בהם נעשה שימוש). </w:t>
      </w:r>
    </w:p>
    <w:p w:rsidR="008D555C" w:rsidRPr="00B2558B" w:rsidRDefault="008D555C" w:rsidP="00CF71B8">
      <w:pPr>
        <w:spacing w:afterLines="80" w:after="192" w:line="360" w:lineRule="auto"/>
        <w:ind w:firstLine="566"/>
        <w:rPr>
          <w:sz w:val="24"/>
          <w:szCs w:val="24"/>
          <w:rtl/>
        </w:rPr>
      </w:pPr>
      <w:r w:rsidRPr="00B2558B">
        <w:rPr>
          <w:rFonts w:hint="cs"/>
          <w:sz w:val="24"/>
          <w:szCs w:val="24"/>
          <w:rtl/>
        </w:rPr>
        <w:t xml:space="preserve">עד כאן להיום. סיימנו את ההתקדמות המהירה בגמרא, ובפעם הבאה נעסוק בסוגיה המצריכה יותר ניתוח. </w:t>
      </w:r>
    </w:p>
    <w:p w:rsidR="00CF71B8" w:rsidRPr="00B2558B" w:rsidRDefault="00CF71B8" w:rsidP="00CF71B8">
      <w:pPr>
        <w:spacing w:afterLines="80" w:after="192" w:line="360" w:lineRule="auto"/>
        <w:rPr>
          <w:sz w:val="24"/>
          <w:szCs w:val="24"/>
          <w:rtl/>
        </w:rPr>
      </w:pPr>
    </w:p>
    <w:p w:rsidR="008D555C" w:rsidRPr="00B2558B" w:rsidRDefault="008D555C" w:rsidP="00720DEA">
      <w:pPr>
        <w:spacing w:afterLines="80" w:after="192" w:line="360" w:lineRule="auto"/>
        <w:rPr>
          <w:rFonts w:hint="cs"/>
          <w:sz w:val="24"/>
          <w:szCs w:val="24"/>
          <w:rtl/>
        </w:rPr>
      </w:pPr>
      <w:r w:rsidRPr="00B2558B">
        <w:rPr>
          <w:rFonts w:hint="cs"/>
          <w:sz w:val="24"/>
          <w:szCs w:val="24"/>
          <w:rtl/>
        </w:rPr>
        <w:t xml:space="preserve">בשבוע הבא: שלא כדרך </w:t>
      </w:r>
      <w:r w:rsidR="00720DEA" w:rsidRPr="00B2558B">
        <w:rPr>
          <w:rFonts w:hint="cs"/>
          <w:sz w:val="24"/>
          <w:szCs w:val="24"/>
          <w:rtl/>
        </w:rPr>
        <w:t>הנאתו</w:t>
      </w:r>
    </w:p>
    <w:p w:rsidR="008D555C" w:rsidRPr="00B2558B" w:rsidRDefault="008D555C" w:rsidP="00CF71B8">
      <w:pPr>
        <w:spacing w:afterLines="80" w:after="192" w:line="360" w:lineRule="auto"/>
        <w:rPr>
          <w:sz w:val="24"/>
          <w:szCs w:val="24"/>
          <w:rtl/>
        </w:rPr>
      </w:pPr>
      <w:r w:rsidRPr="00B2558B">
        <w:rPr>
          <w:rFonts w:hint="cs"/>
          <w:sz w:val="24"/>
          <w:szCs w:val="24"/>
          <w:rtl/>
        </w:rPr>
        <w:t xml:space="preserve">גמרא כד: "אמר רבי </w:t>
      </w:r>
      <w:proofErr w:type="spellStart"/>
      <w:r w:rsidRPr="00B2558B">
        <w:rPr>
          <w:rFonts w:hint="cs"/>
          <w:sz w:val="24"/>
          <w:szCs w:val="24"/>
          <w:rtl/>
        </w:rPr>
        <w:t>אבהו</w:t>
      </w:r>
      <w:proofErr w:type="spellEnd"/>
      <w:r w:rsidRPr="00B2558B">
        <w:rPr>
          <w:rFonts w:hint="cs"/>
          <w:sz w:val="24"/>
          <w:szCs w:val="24"/>
          <w:rtl/>
        </w:rPr>
        <w:t xml:space="preserve"> ... אמר </w:t>
      </w:r>
      <w:proofErr w:type="spellStart"/>
      <w:r w:rsidRPr="00B2558B">
        <w:rPr>
          <w:rFonts w:hint="cs"/>
          <w:sz w:val="24"/>
          <w:szCs w:val="24"/>
          <w:rtl/>
        </w:rPr>
        <w:t>אביי</w:t>
      </w:r>
      <w:proofErr w:type="spellEnd"/>
      <w:r w:rsidRPr="00B2558B">
        <w:rPr>
          <w:rFonts w:hint="cs"/>
          <w:sz w:val="24"/>
          <w:szCs w:val="24"/>
          <w:rtl/>
        </w:rPr>
        <w:t>... דלא כתיבי בהו אכילה".</w:t>
      </w:r>
    </w:p>
    <w:p w:rsidR="008D555C" w:rsidRPr="00B2558B" w:rsidRDefault="008D555C" w:rsidP="00CF71B8">
      <w:pPr>
        <w:spacing w:afterLines="80" w:after="192" w:line="360" w:lineRule="auto"/>
        <w:rPr>
          <w:sz w:val="24"/>
          <w:szCs w:val="24"/>
          <w:rtl/>
        </w:rPr>
      </w:pPr>
      <w:r w:rsidRPr="00B2558B">
        <w:rPr>
          <w:rFonts w:hint="cs"/>
          <w:sz w:val="24"/>
          <w:szCs w:val="24"/>
          <w:rtl/>
        </w:rPr>
        <w:t>רבנו דוד ד"ה "איכא"</w:t>
      </w:r>
    </w:p>
    <w:p w:rsidR="008D555C" w:rsidRPr="00B2558B" w:rsidRDefault="008D555C" w:rsidP="00CF71B8">
      <w:pPr>
        <w:spacing w:afterLines="80" w:after="192" w:line="360" w:lineRule="auto"/>
        <w:rPr>
          <w:sz w:val="24"/>
          <w:szCs w:val="24"/>
          <w:rtl/>
        </w:rPr>
      </w:pPr>
      <w:r w:rsidRPr="00B2558B">
        <w:rPr>
          <w:rFonts w:hint="cs"/>
          <w:sz w:val="24"/>
          <w:szCs w:val="24"/>
          <w:rtl/>
        </w:rPr>
        <w:t xml:space="preserve">רמב"ם הלכות מאכלות אסורות יד, י </w:t>
      </w:r>
      <w:r w:rsidRPr="00B2558B">
        <w:rPr>
          <w:sz w:val="24"/>
          <w:szCs w:val="24"/>
          <w:rtl/>
        </w:rPr>
        <w:t>–</w:t>
      </w:r>
      <w:r w:rsidRPr="00B2558B">
        <w:rPr>
          <w:rFonts w:hint="cs"/>
          <w:sz w:val="24"/>
          <w:szCs w:val="24"/>
          <w:rtl/>
        </w:rPr>
        <w:t xml:space="preserve"> יא. </w:t>
      </w:r>
    </w:p>
    <w:p w:rsidR="008D555C" w:rsidRPr="00B2558B" w:rsidRDefault="008D555C" w:rsidP="00E529F1">
      <w:pPr>
        <w:pStyle w:val="BodyTextIndent"/>
        <w:spacing w:afterLines="80" w:after="192" w:line="360" w:lineRule="auto"/>
        <w:ind w:left="0"/>
        <w:rPr>
          <w:sz w:val="24"/>
          <w:szCs w:val="24"/>
        </w:rPr>
      </w:pPr>
      <w:r w:rsidRPr="00B2558B">
        <w:rPr>
          <w:rFonts w:hint="cs"/>
          <w:sz w:val="24"/>
          <w:szCs w:val="24"/>
          <w:rtl/>
        </w:rPr>
        <w:lastRenderedPageBreak/>
        <w:t xml:space="preserve">הבעיה כאן היא להבין את ההבדל ואת היחס שבין שתי המימרות של רבי </w:t>
      </w:r>
      <w:proofErr w:type="spellStart"/>
      <w:r w:rsidRPr="00B2558B">
        <w:rPr>
          <w:rFonts w:hint="cs"/>
          <w:sz w:val="24"/>
          <w:szCs w:val="24"/>
          <w:rtl/>
        </w:rPr>
        <w:t>אבהו</w:t>
      </w:r>
      <w:proofErr w:type="spellEnd"/>
      <w:r w:rsidRPr="00B2558B">
        <w:rPr>
          <w:rFonts w:hint="cs"/>
          <w:sz w:val="24"/>
          <w:szCs w:val="24"/>
          <w:rtl/>
        </w:rPr>
        <w:t xml:space="preserve">. הרמב"ם מבין את הסוגיה באופן שונה לחלוטין. שים לב כי לפי הבנת רש"י בסוגיה קשה להבין כאיזו </w:t>
      </w:r>
      <w:proofErr w:type="spellStart"/>
      <w:r w:rsidRPr="00B2558B">
        <w:rPr>
          <w:rFonts w:hint="cs"/>
          <w:sz w:val="24"/>
          <w:szCs w:val="24"/>
          <w:rtl/>
        </w:rPr>
        <w:t>גירסה</w:t>
      </w:r>
      <w:proofErr w:type="spellEnd"/>
      <w:r w:rsidRPr="00B2558B">
        <w:rPr>
          <w:rFonts w:hint="cs"/>
          <w:sz w:val="24"/>
          <w:szCs w:val="24"/>
          <w:rtl/>
        </w:rPr>
        <w:t xml:space="preserve"> פסק הרמב"ם!</w:t>
      </w:r>
    </w:p>
    <w:p w:rsidR="00B95060" w:rsidRPr="00B2558B" w:rsidRDefault="00B95060" w:rsidP="00CF71B8">
      <w:pPr>
        <w:spacing w:afterLines="80" w:after="192" w:line="360" w:lineRule="auto"/>
        <w:ind w:firstLine="566"/>
        <w:rPr>
          <w:sz w:val="24"/>
          <w:szCs w:val="24"/>
        </w:rPr>
      </w:pPr>
    </w:p>
    <w:sectPr w:rsidR="00B95060" w:rsidRPr="00B2558B">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E2E" w:rsidRDefault="00A33E2E">
      <w:r>
        <w:separator/>
      </w:r>
    </w:p>
  </w:endnote>
  <w:endnote w:type="continuationSeparator" w:id="0">
    <w:p w:rsidR="00A33E2E" w:rsidRDefault="00A3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FrankRuehl">
    <w:panose1 w:val="020E050306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E2E" w:rsidRDefault="00A33E2E">
      <w:r>
        <w:separator/>
      </w:r>
    </w:p>
  </w:footnote>
  <w:footnote w:type="continuationSeparator" w:id="0">
    <w:p w:rsidR="00A33E2E" w:rsidRDefault="00A33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2E" w:rsidRDefault="00A33E2E">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B2558B">
      <w:rPr>
        <w:b/>
        <w:bCs/>
        <w:noProof/>
        <w:sz w:val="21"/>
        <w:rtl/>
      </w:rPr>
      <w:t>3</w:t>
    </w:r>
    <w:r>
      <w:rPr>
        <w:b/>
        <w:bCs/>
        <w:sz w:val="21"/>
        <w:rtl/>
      </w:rPr>
      <w:fldChar w:fldCharType="end"/>
    </w:r>
    <w:r>
      <w:rPr>
        <w:b/>
        <w:bCs/>
        <w:sz w:val="21"/>
        <w:rtl/>
      </w:rPr>
      <w:t xml:space="preserve"> -</w:t>
    </w:r>
  </w:p>
  <w:p w:rsidR="00A33E2E" w:rsidRDefault="00A33E2E"/>
  <w:p w:rsidR="00A33E2E" w:rsidRDefault="00A33E2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A33E2E">
      <w:tc>
        <w:tcPr>
          <w:tcW w:w="4927" w:type="dxa"/>
          <w:tcBorders>
            <w:top w:val="nil"/>
            <w:left w:val="nil"/>
            <w:bottom w:val="double" w:sz="4" w:space="0" w:color="auto"/>
            <w:right w:val="nil"/>
          </w:tcBorders>
        </w:tcPr>
        <w:p w:rsidR="00A33E2E" w:rsidRDefault="00A33E2E">
          <w:pPr>
            <w:pStyle w:val="Header"/>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שליד ישיבת הר עציון</w:t>
          </w:r>
        </w:p>
        <w:p w:rsidR="00A33E2E" w:rsidRDefault="00A33E2E" w:rsidP="00A33E2E">
          <w:pPr>
            <w:pStyle w:val="Header"/>
            <w:tabs>
              <w:tab w:val="clear" w:pos="4153"/>
              <w:tab w:val="clear" w:pos="8306"/>
              <w:tab w:val="center" w:pos="4818"/>
              <w:tab w:val="right" w:pos="8220"/>
            </w:tabs>
            <w:spacing w:after="0"/>
            <w:rPr>
              <w:sz w:val="21"/>
            </w:rPr>
          </w:pPr>
          <w:r>
            <w:rPr>
              <w:sz w:val="21"/>
              <w:rtl/>
            </w:rPr>
            <w:t xml:space="preserve">שיעורים בעיון במסכת </w:t>
          </w:r>
          <w:r>
            <w:rPr>
              <w:rFonts w:hint="cs"/>
              <w:sz w:val="21"/>
              <w:rtl/>
            </w:rPr>
            <w:t>פסחים</w:t>
          </w:r>
          <w:r>
            <w:rPr>
              <w:sz w:val="21"/>
              <w:rtl/>
            </w:rPr>
            <w:t xml:space="preserve"> מאת רבני הישיבה</w:t>
          </w:r>
        </w:p>
      </w:tc>
      <w:tc>
        <w:tcPr>
          <w:tcW w:w="4927" w:type="dxa"/>
          <w:tcBorders>
            <w:top w:val="nil"/>
            <w:left w:val="nil"/>
            <w:bottom w:val="double" w:sz="4" w:space="0" w:color="auto"/>
            <w:right w:val="nil"/>
          </w:tcBorders>
          <w:vAlign w:val="center"/>
        </w:tcPr>
        <w:p w:rsidR="00A33E2E" w:rsidRDefault="00A33E2E" w:rsidP="000A6E46">
          <w:pPr>
            <w:pStyle w:val="Header"/>
            <w:tabs>
              <w:tab w:val="clear" w:pos="4153"/>
              <w:tab w:val="clear" w:pos="8306"/>
              <w:tab w:val="right" w:pos="8220"/>
            </w:tabs>
            <w:bidi w:val="0"/>
            <w:spacing w:after="0" w:line="240" w:lineRule="auto"/>
            <w:jc w:val="left"/>
            <w:rPr>
              <w:sz w:val="28"/>
              <w:szCs w:val="24"/>
            </w:rPr>
          </w:pPr>
          <w:r>
            <w:rPr>
              <w:b/>
              <w:bCs/>
              <w:sz w:val="28"/>
              <w:szCs w:val="24"/>
            </w:rPr>
            <w:t>www.etzion.org.il</w:t>
          </w:r>
        </w:p>
      </w:tc>
    </w:tr>
  </w:tbl>
  <w:p w:rsidR="00A33E2E" w:rsidRDefault="00A33E2E">
    <w:pPr>
      <w:pStyle w:val="Header"/>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7360E"/>
    <w:multiLevelType w:val="multilevel"/>
    <w:tmpl w:val="EAB6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2082D"/>
    <w:multiLevelType w:val="hybridMultilevel"/>
    <w:tmpl w:val="C6AEB14C"/>
    <w:lvl w:ilvl="0" w:tplc="FFFFFFFF">
      <w:start w:val="1"/>
      <w:numFmt w:val="decimal"/>
      <w:lvlText w:val="%1."/>
      <w:lvlJc w:val="left"/>
      <w:pPr>
        <w:tabs>
          <w:tab w:val="num" w:pos="720"/>
        </w:tabs>
        <w:ind w:left="720" w:right="720" w:hanging="360"/>
      </w:p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abstractNum w:abstractNumId="2">
    <w:nsid w:val="3ED94E3C"/>
    <w:multiLevelType w:val="hybridMultilevel"/>
    <w:tmpl w:val="47B0A016"/>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
    <w:nsid w:val="3FE873CA"/>
    <w:multiLevelType w:val="hybridMultilevel"/>
    <w:tmpl w:val="9A9A8BBC"/>
    <w:lvl w:ilvl="0" w:tplc="11C88BF4">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4">
    <w:nsid w:val="45410DC6"/>
    <w:multiLevelType w:val="multilevel"/>
    <w:tmpl w:val="0C38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3950CF"/>
    <w:multiLevelType w:val="multilevel"/>
    <w:tmpl w:val="DA36DB7E"/>
    <w:lvl w:ilvl="0">
      <w:start w:val="1"/>
      <w:numFmt w:val="koreanLegal"/>
      <w:lvlText w:val="%1."/>
      <w:lvlJc w:val="center"/>
      <w:pPr>
        <w:tabs>
          <w:tab w:val="num" w:pos="720"/>
        </w:tabs>
        <w:ind w:left="720" w:hanging="360"/>
      </w:pPr>
    </w:lvl>
    <w:lvl w:ilvl="1">
      <w:start w:val="1"/>
      <w:numFmt w:val="decimal"/>
      <w:lvlText w:val="%2."/>
      <w:lvlJc w:val="left"/>
      <w:pPr>
        <w:tabs>
          <w:tab w:val="num" w:pos="397"/>
        </w:tabs>
        <w:ind w:left="397" w:hanging="397"/>
      </w:pPr>
      <w:rPr>
        <w:rFonts w:hint="cs"/>
      </w:rPr>
    </w:lvl>
    <w:lvl w:ilvl="2">
      <w:start w:val="1"/>
      <w:numFmt w:val="hebrew2"/>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hebrew2"/>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hebrew2"/>
      <w:lvlText w:val="%9."/>
      <w:lvlJc w:val="right"/>
      <w:pPr>
        <w:tabs>
          <w:tab w:val="num" w:pos="6480"/>
        </w:tabs>
        <w:ind w:left="6480" w:hanging="180"/>
      </w:pPr>
    </w:lvl>
  </w:abstractNum>
  <w:num w:numId="1">
    <w:abstractNumId w:val="3"/>
  </w:num>
  <w:num w:numId="2">
    <w:abstractNumId w:val="0"/>
  </w:num>
  <w:num w:numId="3">
    <w:abstractNumId w:val="4"/>
  </w:num>
  <w:num w:numId="4">
    <w:abstractNumId w:val="5"/>
  </w:num>
  <w:num w:numId="5">
    <w:abstractNumId w:val="2"/>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AD6"/>
    <w:rsid w:val="00006F48"/>
    <w:rsid w:val="00020D8A"/>
    <w:rsid w:val="00021AD6"/>
    <w:rsid w:val="00033D21"/>
    <w:rsid w:val="000407D3"/>
    <w:rsid w:val="0005121A"/>
    <w:rsid w:val="00061F9D"/>
    <w:rsid w:val="00065200"/>
    <w:rsid w:val="00080635"/>
    <w:rsid w:val="00090B74"/>
    <w:rsid w:val="0009220A"/>
    <w:rsid w:val="000A6E46"/>
    <w:rsid w:val="000A7A9B"/>
    <w:rsid w:val="000B2015"/>
    <w:rsid w:val="000B5981"/>
    <w:rsid w:val="000B6138"/>
    <w:rsid w:val="000C3095"/>
    <w:rsid w:val="000E6912"/>
    <w:rsid w:val="000F0293"/>
    <w:rsid w:val="00105126"/>
    <w:rsid w:val="001225F6"/>
    <w:rsid w:val="001231AC"/>
    <w:rsid w:val="0012482F"/>
    <w:rsid w:val="00133D8A"/>
    <w:rsid w:val="00141826"/>
    <w:rsid w:val="001472B1"/>
    <w:rsid w:val="00147F88"/>
    <w:rsid w:val="001568DB"/>
    <w:rsid w:val="001570A0"/>
    <w:rsid w:val="0016009A"/>
    <w:rsid w:val="00167BBD"/>
    <w:rsid w:val="00184BF6"/>
    <w:rsid w:val="00195031"/>
    <w:rsid w:val="00196895"/>
    <w:rsid w:val="001A7A33"/>
    <w:rsid w:val="001B75A8"/>
    <w:rsid w:val="001C043B"/>
    <w:rsid w:val="001C1C7E"/>
    <w:rsid w:val="001C5BB8"/>
    <w:rsid w:val="001C6A76"/>
    <w:rsid w:val="001C727F"/>
    <w:rsid w:val="001C744D"/>
    <w:rsid w:val="001D7FBF"/>
    <w:rsid w:val="001F6A81"/>
    <w:rsid w:val="0020679D"/>
    <w:rsid w:val="00207380"/>
    <w:rsid w:val="00212325"/>
    <w:rsid w:val="00213DF1"/>
    <w:rsid w:val="00223193"/>
    <w:rsid w:val="002232F7"/>
    <w:rsid w:val="002237D8"/>
    <w:rsid w:val="00233098"/>
    <w:rsid w:val="00234630"/>
    <w:rsid w:val="002427C8"/>
    <w:rsid w:val="00242FDB"/>
    <w:rsid w:val="002523B4"/>
    <w:rsid w:val="002564F5"/>
    <w:rsid w:val="00256B1A"/>
    <w:rsid w:val="002804B3"/>
    <w:rsid w:val="002A15EE"/>
    <w:rsid w:val="002B3F3B"/>
    <w:rsid w:val="002B6FFE"/>
    <w:rsid w:val="002C089F"/>
    <w:rsid w:val="002D5136"/>
    <w:rsid w:val="002E5538"/>
    <w:rsid w:val="002E7501"/>
    <w:rsid w:val="002F33B1"/>
    <w:rsid w:val="003162C5"/>
    <w:rsid w:val="003237F5"/>
    <w:rsid w:val="0032598B"/>
    <w:rsid w:val="00330853"/>
    <w:rsid w:val="00332489"/>
    <w:rsid w:val="003324BD"/>
    <w:rsid w:val="00333FAC"/>
    <w:rsid w:val="003412D1"/>
    <w:rsid w:val="0035650D"/>
    <w:rsid w:val="00360C62"/>
    <w:rsid w:val="00361BED"/>
    <w:rsid w:val="003907DB"/>
    <w:rsid w:val="00390837"/>
    <w:rsid w:val="0039356B"/>
    <w:rsid w:val="00396005"/>
    <w:rsid w:val="003A5E55"/>
    <w:rsid w:val="003B4C5E"/>
    <w:rsid w:val="003C25AA"/>
    <w:rsid w:val="003E203D"/>
    <w:rsid w:val="00406E33"/>
    <w:rsid w:val="00413328"/>
    <w:rsid w:val="004149AB"/>
    <w:rsid w:val="00422DBE"/>
    <w:rsid w:val="00425CC9"/>
    <w:rsid w:val="00431CC8"/>
    <w:rsid w:val="00436D76"/>
    <w:rsid w:val="004425DD"/>
    <w:rsid w:val="00445940"/>
    <w:rsid w:val="00462593"/>
    <w:rsid w:val="00463CBE"/>
    <w:rsid w:val="00476C67"/>
    <w:rsid w:val="004808FA"/>
    <w:rsid w:val="00480B7F"/>
    <w:rsid w:val="004A0F71"/>
    <w:rsid w:val="004A4CF1"/>
    <w:rsid w:val="004C627F"/>
    <w:rsid w:val="004D1E6C"/>
    <w:rsid w:val="004E731F"/>
    <w:rsid w:val="0051404B"/>
    <w:rsid w:val="00515146"/>
    <w:rsid w:val="0051518D"/>
    <w:rsid w:val="0051555A"/>
    <w:rsid w:val="00522EEC"/>
    <w:rsid w:val="005250B3"/>
    <w:rsid w:val="00532685"/>
    <w:rsid w:val="005441B6"/>
    <w:rsid w:val="0054460C"/>
    <w:rsid w:val="00551E15"/>
    <w:rsid w:val="00570D01"/>
    <w:rsid w:val="00582524"/>
    <w:rsid w:val="00584F1F"/>
    <w:rsid w:val="005A46F8"/>
    <w:rsid w:val="005A507F"/>
    <w:rsid w:val="005A798E"/>
    <w:rsid w:val="005B3283"/>
    <w:rsid w:val="005D0112"/>
    <w:rsid w:val="005D7A3C"/>
    <w:rsid w:val="005E7C9D"/>
    <w:rsid w:val="005F175D"/>
    <w:rsid w:val="005F31C0"/>
    <w:rsid w:val="005F433D"/>
    <w:rsid w:val="00601F39"/>
    <w:rsid w:val="00616A25"/>
    <w:rsid w:val="00622BE0"/>
    <w:rsid w:val="0062361A"/>
    <w:rsid w:val="00630648"/>
    <w:rsid w:val="006309ED"/>
    <w:rsid w:val="00632129"/>
    <w:rsid w:val="006336F8"/>
    <w:rsid w:val="0064200B"/>
    <w:rsid w:val="00661F82"/>
    <w:rsid w:val="00667D01"/>
    <w:rsid w:val="00694A9A"/>
    <w:rsid w:val="0069679D"/>
    <w:rsid w:val="006A2D30"/>
    <w:rsid w:val="006B43F4"/>
    <w:rsid w:val="006B684E"/>
    <w:rsid w:val="006B6EEA"/>
    <w:rsid w:val="006C0E20"/>
    <w:rsid w:val="006C774A"/>
    <w:rsid w:val="006D56AD"/>
    <w:rsid w:val="006D5C52"/>
    <w:rsid w:val="006E3229"/>
    <w:rsid w:val="006F121B"/>
    <w:rsid w:val="006F38D9"/>
    <w:rsid w:val="006F4884"/>
    <w:rsid w:val="006F6533"/>
    <w:rsid w:val="006F6A8D"/>
    <w:rsid w:val="00705898"/>
    <w:rsid w:val="007070EC"/>
    <w:rsid w:val="007157E1"/>
    <w:rsid w:val="00720DEA"/>
    <w:rsid w:val="00727A5C"/>
    <w:rsid w:val="00741FA3"/>
    <w:rsid w:val="007455A8"/>
    <w:rsid w:val="007539E1"/>
    <w:rsid w:val="0076358B"/>
    <w:rsid w:val="00763CDF"/>
    <w:rsid w:val="00765B5E"/>
    <w:rsid w:val="007675FA"/>
    <w:rsid w:val="00771C4B"/>
    <w:rsid w:val="00774798"/>
    <w:rsid w:val="00783F30"/>
    <w:rsid w:val="00785B62"/>
    <w:rsid w:val="007908D0"/>
    <w:rsid w:val="0079480D"/>
    <w:rsid w:val="007B242A"/>
    <w:rsid w:val="007C1577"/>
    <w:rsid w:val="007D31CB"/>
    <w:rsid w:val="007E3FB0"/>
    <w:rsid w:val="007E5688"/>
    <w:rsid w:val="007F249F"/>
    <w:rsid w:val="007F381C"/>
    <w:rsid w:val="00812F14"/>
    <w:rsid w:val="00814AFB"/>
    <w:rsid w:val="00815737"/>
    <w:rsid w:val="00845BBD"/>
    <w:rsid w:val="00856223"/>
    <w:rsid w:val="00857848"/>
    <w:rsid w:val="008816E7"/>
    <w:rsid w:val="00883332"/>
    <w:rsid w:val="008A6B36"/>
    <w:rsid w:val="008B2946"/>
    <w:rsid w:val="008C4A9D"/>
    <w:rsid w:val="008C6D8D"/>
    <w:rsid w:val="008D555C"/>
    <w:rsid w:val="008E0111"/>
    <w:rsid w:val="008E0AF3"/>
    <w:rsid w:val="008F0AF6"/>
    <w:rsid w:val="008F18B8"/>
    <w:rsid w:val="008F3595"/>
    <w:rsid w:val="008F57D8"/>
    <w:rsid w:val="008F6C19"/>
    <w:rsid w:val="0090318D"/>
    <w:rsid w:val="00904AD0"/>
    <w:rsid w:val="00916B5B"/>
    <w:rsid w:val="00925B52"/>
    <w:rsid w:val="0093078F"/>
    <w:rsid w:val="00933869"/>
    <w:rsid w:val="00934F72"/>
    <w:rsid w:val="00946061"/>
    <w:rsid w:val="00950094"/>
    <w:rsid w:val="00952FAF"/>
    <w:rsid w:val="0097110F"/>
    <w:rsid w:val="00976B14"/>
    <w:rsid w:val="00977FFC"/>
    <w:rsid w:val="009831CD"/>
    <w:rsid w:val="0098591D"/>
    <w:rsid w:val="00986677"/>
    <w:rsid w:val="009A12D6"/>
    <w:rsid w:val="009A2A00"/>
    <w:rsid w:val="009A3B55"/>
    <w:rsid w:val="009A6999"/>
    <w:rsid w:val="009B12A5"/>
    <w:rsid w:val="009B1ED1"/>
    <w:rsid w:val="009B1F8D"/>
    <w:rsid w:val="009B3191"/>
    <w:rsid w:val="009C682B"/>
    <w:rsid w:val="009C7457"/>
    <w:rsid w:val="009C7CEC"/>
    <w:rsid w:val="009E219E"/>
    <w:rsid w:val="009E5C6D"/>
    <w:rsid w:val="009F5229"/>
    <w:rsid w:val="009F799E"/>
    <w:rsid w:val="00A01250"/>
    <w:rsid w:val="00A06458"/>
    <w:rsid w:val="00A10BCC"/>
    <w:rsid w:val="00A31881"/>
    <w:rsid w:val="00A33E2E"/>
    <w:rsid w:val="00A3496A"/>
    <w:rsid w:val="00A36B61"/>
    <w:rsid w:val="00A730A5"/>
    <w:rsid w:val="00A73EFE"/>
    <w:rsid w:val="00A8182D"/>
    <w:rsid w:val="00A86A01"/>
    <w:rsid w:val="00AA036F"/>
    <w:rsid w:val="00AA5848"/>
    <w:rsid w:val="00AB483F"/>
    <w:rsid w:val="00AB6BE2"/>
    <w:rsid w:val="00AB6CB7"/>
    <w:rsid w:val="00AC0122"/>
    <w:rsid w:val="00AC4198"/>
    <w:rsid w:val="00AC5F48"/>
    <w:rsid w:val="00AC6175"/>
    <w:rsid w:val="00AF0DDB"/>
    <w:rsid w:val="00AF63E2"/>
    <w:rsid w:val="00B05085"/>
    <w:rsid w:val="00B10EEA"/>
    <w:rsid w:val="00B144C7"/>
    <w:rsid w:val="00B2558B"/>
    <w:rsid w:val="00B27C2F"/>
    <w:rsid w:val="00B3602E"/>
    <w:rsid w:val="00B646AE"/>
    <w:rsid w:val="00B67C7C"/>
    <w:rsid w:val="00B85DE6"/>
    <w:rsid w:val="00B9082F"/>
    <w:rsid w:val="00B95060"/>
    <w:rsid w:val="00BA67E7"/>
    <w:rsid w:val="00BB497B"/>
    <w:rsid w:val="00BC3090"/>
    <w:rsid w:val="00BC3E32"/>
    <w:rsid w:val="00BC4C83"/>
    <w:rsid w:val="00BC5A42"/>
    <w:rsid w:val="00BC74DC"/>
    <w:rsid w:val="00BD13E6"/>
    <w:rsid w:val="00BD38E6"/>
    <w:rsid w:val="00BE1E43"/>
    <w:rsid w:val="00BF2212"/>
    <w:rsid w:val="00BF4FF3"/>
    <w:rsid w:val="00C05E39"/>
    <w:rsid w:val="00C40DFC"/>
    <w:rsid w:val="00C4736F"/>
    <w:rsid w:val="00C605D2"/>
    <w:rsid w:val="00C655DB"/>
    <w:rsid w:val="00C74290"/>
    <w:rsid w:val="00C74E38"/>
    <w:rsid w:val="00C86970"/>
    <w:rsid w:val="00CA0B8B"/>
    <w:rsid w:val="00CA13F6"/>
    <w:rsid w:val="00CA310A"/>
    <w:rsid w:val="00CA4E9E"/>
    <w:rsid w:val="00CC79CC"/>
    <w:rsid w:val="00CD401D"/>
    <w:rsid w:val="00CD4792"/>
    <w:rsid w:val="00CD4FF3"/>
    <w:rsid w:val="00CD6F1D"/>
    <w:rsid w:val="00CE49D1"/>
    <w:rsid w:val="00CF71B8"/>
    <w:rsid w:val="00D060B5"/>
    <w:rsid w:val="00D11D96"/>
    <w:rsid w:val="00D21CA3"/>
    <w:rsid w:val="00D22ECF"/>
    <w:rsid w:val="00D246FA"/>
    <w:rsid w:val="00D57A54"/>
    <w:rsid w:val="00D57AAA"/>
    <w:rsid w:val="00D60991"/>
    <w:rsid w:val="00D6226F"/>
    <w:rsid w:val="00D66BA4"/>
    <w:rsid w:val="00D71AEE"/>
    <w:rsid w:val="00D75494"/>
    <w:rsid w:val="00D846AD"/>
    <w:rsid w:val="00D93529"/>
    <w:rsid w:val="00D941C6"/>
    <w:rsid w:val="00DB01B9"/>
    <w:rsid w:val="00DB0D53"/>
    <w:rsid w:val="00DB1B98"/>
    <w:rsid w:val="00DB4619"/>
    <w:rsid w:val="00DB4F1E"/>
    <w:rsid w:val="00DC6475"/>
    <w:rsid w:val="00DD628F"/>
    <w:rsid w:val="00DD779C"/>
    <w:rsid w:val="00DF08EE"/>
    <w:rsid w:val="00DF39FE"/>
    <w:rsid w:val="00DF497F"/>
    <w:rsid w:val="00E00BAC"/>
    <w:rsid w:val="00E35070"/>
    <w:rsid w:val="00E37312"/>
    <w:rsid w:val="00E44AC6"/>
    <w:rsid w:val="00E5253C"/>
    <w:rsid w:val="00E529F1"/>
    <w:rsid w:val="00E7637B"/>
    <w:rsid w:val="00E8498E"/>
    <w:rsid w:val="00E85E1C"/>
    <w:rsid w:val="00E90E75"/>
    <w:rsid w:val="00EA021D"/>
    <w:rsid w:val="00EA13B9"/>
    <w:rsid w:val="00EB2165"/>
    <w:rsid w:val="00EB301D"/>
    <w:rsid w:val="00EC1B20"/>
    <w:rsid w:val="00EC2D70"/>
    <w:rsid w:val="00EC3EA1"/>
    <w:rsid w:val="00ED0DE0"/>
    <w:rsid w:val="00ED26CB"/>
    <w:rsid w:val="00ED3C6A"/>
    <w:rsid w:val="00ED4507"/>
    <w:rsid w:val="00EE0405"/>
    <w:rsid w:val="00EE3381"/>
    <w:rsid w:val="00EE4964"/>
    <w:rsid w:val="00EF0DDD"/>
    <w:rsid w:val="00EF5691"/>
    <w:rsid w:val="00F00600"/>
    <w:rsid w:val="00F03672"/>
    <w:rsid w:val="00F03A38"/>
    <w:rsid w:val="00F13307"/>
    <w:rsid w:val="00F366CE"/>
    <w:rsid w:val="00F36C01"/>
    <w:rsid w:val="00F44AFE"/>
    <w:rsid w:val="00F45E12"/>
    <w:rsid w:val="00F47A5A"/>
    <w:rsid w:val="00F61A71"/>
    <w:rsid w:val="00F66DD4"/>
    <w:rsid w:val="00F70934"/>
    <w:rsid w:val="00F734D6"/>
    <w:rsid w:val="00F739CE"/>
    <w:rsid w:val="00F91E5E"/>
    <w:rsid w:val="00FA2F32"/>
    <w:rsid w:val="00FE4C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80" w:line="280" w:lineRule="exact"/>
      <w:jc w:val="both"/>
    </w:pPr>
    <w:rPr>
      <w:rFonts w:cs="Narkisim"/>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paragraph" w:styleId="FootnoteText">
    <w:name w:val="footnote text"/>
    <w:basedOn w:val="Normal"/>
    <w:link w:val="FootnoteTextChar"/>
    <w:uiPriority w:val="99"/>
    <w:semiHidden/>
    <w:pPr>
      <w:spacing w:line="240" w:lineRule="auto"/>
      <w:ind w:left="227" w:hanging="227"/>
    </w:pPr>
    <w:rPr>
      <w:position w:val="6"/>
      <w:szCs w:val="16"/>
    </w:rPr>
  </w:style>
  <w:style w:type="character" w:customStyle="1" w:styleId="FootnoteTextChar">
    <w:name w:val="Footnote Text Char"/>
    <w:basedOn w:val="DefaultParagraphFont"/>
    <w:link w:val="FootnoteText"/>
    <w:uiPriority w:val="99"/>
    <w:semiHidden/>
    <w:locked/>
    <w:rPr>
      <w:rFonts w:cs="Narkisim"/>
      <w:sz w:val="20"/>
      <w:szCs w:val="20"/>
      <w:lang w:bidi="he-IL"/>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Narkisim"/>
      <w:sz w:val="20"/>
      <w:lang w:bidi="he-IL"/>
    </w:rPr>
  </w:style>
  <w:style w:type="paragraph" w:customStyle="1" w:styleId="a">
    <w:name w:val="פרשה"/>
    <w:basedOn w:val="Heading1"/>
    <w:uiPriority w:val="99"/>
    <w:pPr>
      <w:spacing w:before="240" w:after="240" w:line="240" w:lineRule="auto"/>
      <w:jc w:val="center"/>
    </w:pPr>
    <w:rPr>
      <w:rFonts w:ascii="Times New Roman" w:hAnsi="Times New Roman"/>
      <w:b/>
      <w:bCs/>
      <w:sz w:val="46"/>
      <w:szCs w:val="50"/>
    </w:rPr>
  </w:style>
  <w:style w:type="paragraph" w:customStyle="1" w:styleId="1">
    <w:name w:val="ציטוט1"/>
    <w:basedOn w:val="Normal"/>
    <w:uiPriority w:val="99"/>
    <w:rsid w:val="00CA4E9E"/>
    <w:pPr>
      <w:tabs>
        <w:tab w:val="right" w:pos="4620"/>
      </w:tabs>
      <w:ind w:left="567"/>
    </w:pPr>
  </w:style>
  <w:style w:type="paragraph" w:customStyle="1" w:styleId="a0">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0"/>
    <w:uiPriority w:val="99"/>
    <w:pPr>
      <w:spacing w:after="60"/>
    </w:pPr>
    <w:rPr>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locked/>
    <w:rPr>
      <w:rFonts w:cs="Narkisim"/>
      <w:sz w:val="20"/>
      <w:lang w:bidi="he-IL"/>
    </w:rPr>
  </w:style>
  <w:style w:type="paragraph" w:styleId="BodyText">
    <w:name w:val="Body Text"/>
    <w:basedOn w:val="Normal"/>
    <w:link w:val="BodyTextChar"/>
    <w:uiPriority w:val="99"/>
    <w:pPr>
      <w:spacing w:after="120" w:line="360" w:lineRule="auto"/>
    </w:pPr>
    <w:rPr>
      <w:sz w:val="24"/>
      <w:szCs w:val="24"/>
    </w:rPr>
  </w:style>
  <w:style w:type="character" w:customStyle="1" w:styleId="BodyTextChar">
    <w:name w:val="Body Text Char"/>
    <w:basedOn w:val="DefaultParagraphFont"/>
    <w:link w:val="BodyText"/>
    <w:uiPriority w:val="99"/>
    <w:semiHidden/>
    <w:locked/>
    <w:rPr>
      <w:rFonts w:cs="Narkisim"/>
      <w:sz w:val="20"/>
      <w:lang w:bidi="he-IL"/>
    </w:rPr>
  </w:style>
  <w:style w:type="paragraph" w:styleId="BodyText2">
    <w:name w:val="Body Text 2"/>
    <w:basedOn w:val="Normal"/>
    <w:link w:val="BodyText2Char"/>
    <w:uiPriority w:val="99"/>
    <w:pPr>
      <w:spacing w:after="0" w:line="240" w:lineRule="auto"/>
      <w:jc w:val="left"/>
    </w:pPr>
    <w:rPr>
      <w:color w:val="000000"/>
      <w:sz w:val="32"/>
      <w:szCs w:val="24"/>
    </w:rPr>
  </w:style>
  <w:style w:type="character" w:customStyle="1" w:styleId="BodyText2Char">
    <w:name w:val="Body Text 2 Char"/>
    <w:basedOn w:val="DefaultParagraphFont"/>
    <w:link w:val="BodyText2"/>
    <w:uiPriority w:val="99"/>
    <w:semiHidden/>
    <w:locked/>
    <w:rPr>
      <w:rFonts w:cs="Narkisim"/>
      <w:sz w:val="20"/>
      <w:lang w:bidi="he-IL"/>
    </w:rPr>
  </w:style>
  <w:style w:type="paragraph" w:customStyle="1" w:styleId="3">
    <w:name w:val="כותרת3"/>
    <w:basedOn w:val="Normal"/>
    <w:uiPriority w:val="99"/>
    <w:rsid w:val="00CA4E9E"/>
    <w:pPr>
      <w:keepNext/>
      <w:spacing w:before="120"/>
    </w:pPr>
    <w:rPr>
      <w:rFonts w:ascii="Arial" w:hAnsi="Arial" w:cs="Arial"/>
      <w:b/>
      <w:bCs/>
    </w:rPr>
  </w:style>
  <w:style w:type="paragraph" w:styleId="BodyText3">
    <w:name w:val="Body Text 3"/>
    <w:basedOn w:val="Normal"/>
    <w:link w:val="BodyText3Char"/>
    <w:uiPriority w:val="99"/>
    <w:pPr>
      <w:spacing w:after="0" w:line="360" w:lineRule="auto"/>
    </w:pPr>
  </w:style>
  <w:style w:type="character" w:customStyle="1" w:styleId="BodyText3Char">
    <w:name w:val="Body Text 3 Char"/>
    <w:basedOn w:val="DefaultParagraphFont"/>
    <w:link w:val="BodyText3"/>
    <w:uiPriority w:val="99"/>
    <w:semiHidden/>
    <w:locked/>
    <w:rPr>
      <w:rFonts w:cs="Narkisim"/>
      <w:sz w:val="16"/>
      <w:szCs w:val="16"/>
      <w:lang w:bidi="he-IL"/>
    </w:rPr>
  </w:style>
  <w:style w:type="paragraph" w:styleId="BodyTextIndent2">
    <w:name w:val="Body Text Indent 2"/>
    <w:basedOn w:val="Normal"/>
    <w:link w:val="BodyTextIndent2Char"/>
    <w:uiPriority w:val="99"/>
    <w:pPr>
      <w:spacing w:after="0" w:line="360" w:lineRule="auto"/>
      <w:ind w:firstLine="720"/>
    </w:pPr>
    <w:rPr>
      <w:b/>
      <w:bCs/>
      <w:sz w:val="24"/>
    </w:rPr>
  </w:style>
  <w:style w:type="character" w:customStyle="1" w:styleId="BodyTextIndent2Char">
    <w:name w:val="Body Text Indent 2 Char"/>
    <w:basedOn w:val="DefaultParagraphFont"/>
    <w:link w:val="BodyTextIndent2"/>
    <w:uiPriority w:val="99"/>
    <w:semiHidden/>
    <w:locked/>
    <w:rPr>
      <w:rFonts w:cs="Narkisim"/>
      <w:sz w:val="20"/>
      <w:lang w:bidi="he-IL"/>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uiPriority w:val="99"/>
    <w:pPr>
      <w:spacing w:after="0" w:line="240" w:lineRule="auto"/>
      <w:ind w:left="720"/>
    </w:pPr>
    <w:rPr>
      <w:rFonts w:ascii="Arial" w:hAnsi="Arial"/>
      <w:sz w:val="24"/>
      <w:szCs w:val="24"/>
    </w:rPr>
  </w:style>
  <w:style w:type="paragraph" w:customStyle="1" w:styleId="10">
    <w:name w:val="סגנון1"/>
    <w:basedOn w:val="1"/>
    <w:uiPriority w:val="99"/>
  </w:style>
  <w:style w:type="paragraph" w:customStyle="1" w:styleId="20">
    <w:name w:val="סגנון2"/>
    <w:basedOn w:val="1"/>
    <w:uiPriority w:val="99"/>
  </w:style>
  <w:style w:type="paragraph" w:customStyle="1" w:styleId="30">
    <w:name w:val="סגנון3"/>
    <w:basedOn w:val="Normal"/>
    <w:uiPriority w:val="99"/>
    <w:rPr>
      <w:sz w:val="21"/>
    </w:rPr>
  </w:style>
  <w:style w:type="paragraph" w:customStyle="1" w:styleId="a2">
    <w:name w:val="שיעור"/>
    <w:basedOn w:val="2"/>
    <w:uiPriority w:val="99"/>
    <w:pPr>
      <w:spacing w:before="0" w:after="0"/>
      <w:jc w:val="both"/>
    </w:pPr>
    <w:rPr>
      <w:sz w:val="28"/>
      <w:szCs w:val="24"/>
    </w:rPr>
  </w:style>
  <w:style w:type="paragraph" w:customStyle="1" w:styleId="vbm-quot">
    <w:name w:val="vbm-quot"/>
    <w:basedOn w:val="vbm-norm"/>
    <w:uiPriority w:val="99"/>
    <w:rsid w:val="00D246FA"/>
    <w:pPr>
      <w:tabs>
        <w:tab w:val="right" w:pos="7837"/>
      </w:tabs>
      <w:spacing w:before="150" w:after="150" w:line="300" w:lineRule="exact"/>
      <w:ind w:left="300" w:right="480"/>
    </w:pPr>
    <w:rPr>
      <w:rFonts w:cs="FrankRuehl"/>
    </w:rPr>
  </w:style>
  <w:style w:type="paragraph" w:customStyle="1" w:styleId="vbm-norm">
    <w:name w:val="vbm-norm"/>
    <w:basedOn w:val="Normal"/>
    <w:uiPriority w:val="99"/>
    <w:rsid w:val="00D246FA"/>
    <w:pPr>
      <w:autoSpaceDE/>
      <w:autoSpaceDN/>
      <w:spacing w:before="90" w:after="90" w:line="320" w:lineRule="exact"/>
    </w:pPr>
    <w:rPr>
      <w:sz w:val="24"/>
      <w:szCs w:val="24"/>
    </w:rPr>
  </w:style>
  <w:style w:type="paragraph" w:customStyle="1" w:styleId="quotation">
    <w:name w:val="quotation"/>
    <w:basedOn w:val="Normal"/>
    <w:uiPriority w:val="99"/>
    <w:rsid w:val="008C6D8D"/>
    <w:pPr>
      <w:spacing w:after="0" w:line="240" w:lineRule="auto"/>
      <w:ind w:left="851" w:right="851"/>
    </w:pPr>
    <w:rPr>
      <w:rFonts w:ascii="Courier New" w:hAnsi="Courier New" w:cs="Miriam"/>
      <w:sz w:val="24"/>
    </w:rPr>
  </w:style>
  <w:style w:type="paragraph" w:styleId="EndnoteText">
    <w:name w:val="endnote text"/>
    <w:basedOn w:val="Normal"/>
    <w:link w:val="EndnoteTextChar"/>
    <w:uiPriority w:val="99"/>
    <w:semiHidden/>
    <w:rsid w:val="00A01250"/>
    <w:rPr>
      <w:szCs w:val="20"/>
    </w:rPr>
  </w:style>
  <w:style w:type="character" w:customStyle="1" w:styleId="EndnoteTextChar">
    <w:name w:val="Endnote Text Char"/>
    <w:basedOn w:val="DefaultParagraphFont"/>
    <w:link w:val="EndnoteText"/>
    <w:uiPriority w:val="99"/>
    <w:semiHidden/>
    <w:locked/>
    <w:rPr>
      <w:rFonts w:cs="Narkisim"/>
      <w:sz w:val="20"/>
      <w:szCs w:val="20"/>
      <w:lang w:bidi="he-IL"/>
    </w:rPr>
  </w:style>
  <w:style w:type="character" w:styleId="EndnoteReference">
    <w:name w:val="endnote reference"/>
    <w:basedOn w:val="DefaultParagraphFont"/>
    <w:uiPriority w:val="99"/>
    <w:semiHidden/>
    <w:rsid w:val="00A01250"/>
    <w:rPr>
      <w:rFonts w:cs="Times New Roman"/>
      <w:vertAlign w:val="superscript"/>
    </w:rPr>
  </w:style>
  <w:style w:type="paragraph" w:styleId="BodyTextIndent">
    <w:name w:val="Body Text Indent"/>
    <w:basedOn w:val="Normal"/>
    <w:link w:val="BodyTextIndentChar"/>
    <w:uiPriority w:val="99"/>
    <w:semiHidden/>
    <w:unhideWhenUsed/>
    <w:rsid w:val="00A33E2E"/>
    <w:pPr>
      <w:spacing w:after="120"/>
      <w:ind w:left="283"/>
    </w:pPr>
  </w:style>
  <w:style w:type="character" w:customStyle="1" w:styleId="BodyTextIndentChar">
    <w:name w:val="Body Text Indent Char"/>
    <w:basedOn w:val="DefaultParagraphFont"/>
    <w:link w:val="BodyTextIndent"/>
    <w:uiPriority w:val="99"/>
    <w:semiHidden/>
    <w:rsid w:val="00A33E2E"/>
    <w:rPr>
      <w:rFonts w:cs="Narkisim"/>
      <w:sz w:val="20"/>
    </w:rPr>
  </w:style>
  <w:style w:type="paragraph" w:styleId="BodyTextIndent3">
    <w:name w:val="Body Text Indent 3"/>
    <w:basedOn w:val="Normal"/>
    <w:link w:val="BodyTextIndent3Char"/>
    <w:uiPriority w:val="99"/>
    <w:semiHidden/>
    <w:unhideWhenUsed/>
    <w:rsid w:val="00A33E2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33E2E"/>
    <w:rPr>
      <w:rFonts w:cs="Narkisim"/>
      <w:sz w:val="16"/>
      <w:szCs w:val="16"/>
    </w:rPr>
  </w:style>
  <w:style w:type="paragraph" w:customStyle="1" w:styleId="Normal1">
    <w:name w:val="Normal1"/>
    <w:basedOn w:val="Normal"/>
    <w:rsid w:val="00D21CA3"/>
    <w:pPr>
      <w:autoSpaceDE/>
      <w:autoSpaceDN/>
      <w:bidi w:val="0"/>
      <w:spacing w:before="100" w:beforeAutospacing="1" w:after="100" w:afterAutospacing="1" w:line="240" w:lineRule="auto"/>
      <w:jc w:val="left"/>
    </w:pPr>
    <w:rPr>
      <w:rFonts w:cs="Times New Roman"/>
      <w:sz w:val="24"/>
      <w:szCs w:val="24"/>
    </w:rPr>
  </w:style>
  <w:style w:type="paragraph" w:styleId="ListParagraph">
    <w:name w:val="List Paragraph"/>
    <w:basedOn w:val="Normal"/>
    <w:uiPriority w:val="34"/>
    <w:qFormat/>
    <w:rsid w:val="00C655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80" w:line="280" w:lineRule="exact"/>
      <w:jc w:val="both"/>
    </w:pPr>
    <w:rPr>
      <w:rFonts w:cs="Narkisim"/>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paragraph" w:styleId="FootnoteText">
    <w:name w:val="footnote text"/>
    <w:basedOn w:val="Normal"/>
    <w:link w:val="FootnoteTextChar"/>
    <w:uiPriority w:val="99"/>
    <w:semiHidden/>
    <w:pPr>
      <w:spacing w:line="240" w:lineRule="auto"/>
      <w:ind w:left="227" w:hanging="227"/>
    </w:pPr>
    <w:rPr>
      <w:position w:val="6"/>
      <w:szCs w:val="16"/>
    </w:rPr>
  </w:style>
  <w:style w:type="character" w:customStyle="1" w:styleId="FootnoteTextChar">
    <w:name w:val="Footnote Text Char"/>
    <w:basedOn w:val="DefaultParagraphFont"/>
    <w:link w:val="FootnoteText"/>
    <w:uiPriority w:val="99"/>
    <w:semiHidden/>
    <w:locked/>
    <w:rPr>
      <w:rFonts w:cs="Narkisim"/>
      <w:sz w:val="20"/>
      <w:szCs w:val="20"/>
      <w:lang w:bidi="he-IL"/>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Narkisim"/>
      <w:sz w:val="20"/>
      <w:lang w:bidi="he-IL"/>
    </w:rPr>
  </w:style>
  <w:style w:type="paragraph" w:customStyle="1" w:styleId="a">
    <w:name w:val="פרשה"/>
    <w:basedOn w:val="Heading1"/>
    <w:uiPriority w:val="99"/>
    <w:pPr>
      <w:spacing w:before="240" w:after="240" w:line="240" w:lineRule="auto"/>
      <w:jc w:val="center"/>
    </w:pPr>
    <w:rPr>
      <w:rFonts w:ascii="Times New Roman" w:hAnsi="Times New Roman"/>
      <w:b/>
      <w:bCs/>
      <w:sz w:val="46"/>
      <w:szCs w:val="50"/>
    </w:rPr>
  </w:style>
  <w:style w:type="paragraph" w:customStyle="1" w:styleId="1">
    <w:name w:val="ציטוט1"/>
    <w:basedOn w:val="Normal"/>
    <w:uiPriority w:val="99"/>
    <w:rsid w:val="00CA4E9E"/>
    <w:pPr>
      <w:tabs>
        <w:tab w:val="right" w:pos="4620"/>
      </w:tabs>
      <w:ind w:left="567"/>
    </w:pPr>
  </w:style>
  <w:style w:type="paragraph" w:customStyle="1" w:styleId="a0">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0"/>
    <w:uiPriority w:val="99"/>
    <w:pPr>
      <w:spacing w:after="60"/>
    </w:pPr>
    <w:rPr>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locked/>
    <w:rPr>
      <w:rFonts w:cs="Narkisim"/>
      <w:sz w:val="20"/>
      <w:lang w:bidi="he-IL"/>
    </w:rPr>
  </w:style>
  <w:style w:type="paragraph" w:styleId="BodyText">
    <w:name w:val="Body Text"/>
    <w:basedOn w:val="Normal"/>
    <w:link w:val="BodyTextChar"/>
    <w:uiPriority w:val="99"/>
    <w:pPr>
      <w:spacing w:after="120" w:line="360" w:lineRule="auto"/>
    </w:pPr>
    <w:rPr>
      <w:sz w:val="24"/>
      <w:szCs w:val="24"/>
    </w:rPr>
  </w:style>
  <w:style w:type="character" w:customStyle="1" w:styleId="BodyTextChar">
    <w:name w:val="Body Text Char"/>
    <w:basedOn w:val="DefaultParagraphFont"/>
    <w:link w:val="BodyText"/>
    <w:uiPriority w:val="99"/>
    <w:semiHidden/>
    <w:locked/>
    <w:rPr>
      <w:rFonts w:cs="Narkisim"/>
      <w:sz w:val="20"/>
      <w:lang w:bidi="he-IL"/>
    </w:rPr>
  </w:style>
  <w:style w:type="paragraph" w:styleId="BodyText2">
    <w:name w:val="Body Text 2"/>
    <w:basedOn w:val="Normal"/>
    <w:link w:val="BodyText2Char"/>
    <w:uiPriority w:val="99"/>
    <w:pPr>
      <w:spacing w:after="0" w:line="240" w:lineRule="auto"/>
      <w:jc w:val="left"/>
    </w:pPr>
    <w:rPr>
      <w:color w:val="000000"/>
      <w:sz w:val="32"/>
      <w:szCs w:val="24"/>
    </w:rPr>
  </w:style>
  <w:style w:type="character" w:customStyle="1" w:styleId="BodyText2Char">
    <w:name w:val="Body Text 2 Char"/>
    <w:basedOn w:val="DefaultParagraphFont"/>
    <w:link w:val="BodyText2"/>
    <w:uiPriority w:val="99"/>
    <w:semiHidden/>
    <w:locked/>
    <w:rPr>
      <w:rFonts w:cs="Narkisim"/>
      <w:sz w:val="20"/>
      <w:lang w:bidi="he-IL"/>
    </w:rPr>
  </w:style>
  <w:style w:type="paragraph" w:customStyle="1" w:styleId="3">
    <w:name w:val="כותרת3"/>
    <w:basedOn w:val="Normal"/>
    <w:uiPriority w:val="99"/>
    <w:rsid w:val="00CA4E9E"/>
    <w:pPr>
      <w:keepNext/>
      <w:spacing w:before="120"/>
    </w:pPr>
    <w:rPr>
      <w:rFonts w:ascii="Arial" w:hAnsi="Arial" w:cs="Arial"/>
      <w:b/>
      <w:bCs/>
    </w:rPr>
  </w:style>
  <w:style w:type="paragraph" w:styleId="BodyText3">
    <w:name w:val="Body Text 3"/>
    <w:basedOn w:val="Normal"/>
    <w:link w:val="BodyText3Char"/>
    <w:uiPriority w:val="99"/>
    <w:pPr>
      <w:spacing w:after="0" w:line="360" w:lineRule="auto"/>
    </w:pPr>
  </w:style>
  <w:style w:type="character" w:customStyle="1" w:styleId="BodyText3Char">
    <w:name w:val="Body Text 3 Char"/>
    <w:basedOn w:val="DefaultParagraphFont"/>
    <w:link w:val="BodyText3"/>
    <w:uiPriority w:val="99"/>
    <w:semiHidden/>
    <w:locked/>
    <w:rPr>
      <w:rFonts w:cs="Narkisim"/>
      <w:sz w:val="16"/>
      <w:szCs w:val="16"/>
      <w:lang w:bidi="he-IL"/>
    </w:rPr>
  </w:style>
  <w:style w:type="paragraph" w:styleId="BodyTextIndent2">
    <w:name w:val="Body Text Indent 2"/>
    <w:basedOn w:val="Normal"/>
    <w:link w:val="BodyTextIndent2Char"/>
    <w:uiPriority w:val="99"/>
    <w:pPr>
      <w:spacing w:after="0" w:line="360" w:lineRule="auto"/>
      <w:ind w:firstLine="720"/>
    </w:pPr>
    <w:rPr>
      <w:b/>
      <w:bCs/>
      <w:sz w:val="24"/>
    </w:rPr>
  </w:style>
  <w:style w:type="character" w:customStyle="1" w:styleId="BodyTextIndent2Char">
    <w:name w:val="Body Text Indent 2 Char"/>
    <w:basedOn w:val="DefaultParagraphFont"/>
    <w:link w:val="BodyTextIndent2"/>
    <w:uiPriority w:val="99"/>
    <w:semiHidden/>
    <w:locked/>
    <w:rPr>
      <w:rFonts w:cs="Narkisim"/>
      <w:sz w:val="20"/>
      <w:lang w:bidi="he-IL"/>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uiPriority w:val="99"/>
    <w:pPr>
      <w:spacing w:after="0" w:line="240" w:lineRule="auto"/>
      <w:ind w:left="720"/>
    </w:pPr>
    <w:rPr>
      <w:rFonts w:ascii="Arial" w:hAnsi="Arial"/>
      <w:sz w:val="24"/>
      <w:szCs w:val="24"/>
    </w:rPr>
  </w:style>
  <w:style w:type="paragraph" w:customStyle="1" w:styleId="10">
    <w:name w:val="סגנון1"/>
    <w:basedOn w:val="1"/>
    <w:uiPriority w:val="99"/>
  </w:style>
  <w:style w:type="paragraph" w:customStyle="1" w:styleId="20">
    <w:name w:val="סגנון2"/>
    <w:basedOn w:val="1"/>
    <w:uiPriority w:val="99"/>
  </w:style>
  <w:style w:type="paragraph" w:customStyle="1" w:styleId="30">
    <w:name w:val="סגנון3"/>
    <w:basedOn w:val="Normal"/>
    <w:uiPriority w:val="99"/>
    <w:rPr>
      <w:sz w:val="21"/>
    </w:rPr>
  </w:style>
  <w:style w:type="paragraph" w:customStyle="1" w:styleId="a2">
    <w:name w:val="שיעור"/>
    <w:basedOn w:val="2"/>
    <w:uiPriority w:val="99"/>
    <w:pPr>
      <w:spacing w:before="0" w:after="0"/>
      <w:jc w:val="both"/>
    </w:pPr>
    <w:rPr>
      <w:sz w:val="28"/>
      <w:szCs w:val="24"/>
    </w:rPr>
  </w:style>
  <w:style w:type="paragraph" w:customStyle="1" w:styleId="vbm-quot">
    <w:name w:val="vbm-quot"/>
    <w:basedOn w:val="vbm-norm"/>
    <w:uiPriority w:val="99"/>
    <w:rsid w:val="00D246FA"/>
    <w:pPr>
      <w:tabs>
        <w:tab w:val="right" w:pos="7837"/>
      </w:tabs>
      <w:spacing w:before="150" w:after="150" w:line="300" w:lineRule="exact"/>
      <w:ind w:left="300" w:right="480"/>
    </w:pPr>
    <w:rPr>
      <w:rFonts w:cs="FrankRuehl"/>
    </w:rPr>
  </w:style>
  <w:style w:type="paragraph" w:customStyle="1" w:styleId="vbm-norm">
    <w:name w:val="vbm-norm"/>
    <w:basedOn w:val="Normal"/>
    <w:uiPriority w:val="99"/>
    <w:rsid w:val="00D246FA"/>
    <w:pPr>
      <w:autoSpaceDE/>
      <w:autoSpaceDN/>
      <w:spacing w:before="90" w:after="90" w:line="320" w:lineRule="exact"/>
    </w:pPr>
    <w:rPr>
      <w:sz w:val="24"/>
      <w:szCs w:val="24"/>
    </w:rPr>
  </w:style>
  <w:style w:type="paragraph" w:customStyle="1" w:styleId="quotation">
    <w:name w:val="quotation"/>
    <w:basedOn w:val="Normal"/>
    <w:uiPriority w:val="99"/>
    <w:rsid w:val="008C6D8D"/>
    <w:pPr>
      <w:spacing w:after="0" w:line="240" w:lineRule="auto"/>
      <w:ind w:left="851" w:right="851"/>
    </w:pPr>
    <w:rPr>
      <w:rFonts w:ascii="Courier New" w:hAnsi="Courier New" w:cs="Miriam"/>
      <w:sz w:val="24"/>
    </w:rPr>
  </w:style>
  <w:style w:type="paragraph" w:styleId="EndnoteText">
    <w:name w:val="endnote text"/>
    <w:basedOn w:val="Normal"/>
    <w:link w:val="EndnoteTextChar"/>
    <w:uiPriority w:val="99"/>
    <w:semiHidden/>
    <w:rsid w:val="00A01250"/>
    <w:rPr>
      <w:szCs w:val="20"/>
    </w:rPr>
  </w:style>
  <w:style w:type="character" w:customStyle="1" w:styleId="EndnoteTextChar">
    <w:name w:val="Endnote Text Char"/>
    <w:basedOn w:val="DefaultParagraphFont"/>
    <w:link w:val="EndnoteText"/>
    <w:uiPriority w:val="99"/>
    <w:semiHidden/>
    <w:locked/>
    <w:rPr>
      <w:rFonts w:cs="Narkisim"/>
      <w:sz w:val="20"/>
      <w:szCs w:val="20"/>
      <w:lang w:bidi="he-IL"/>
    </w:rPr>
  </w:style>
  <w:style w:type="character" w:styleId="EndnoteReference">
    <w:name w:val="endnote reference"/>
    <w:basedOn w:val="DefaultParagraphFont"/>
    <w:uiPriority w:val="99"/>
    <w:semiHidden/>
    <w:rsid w:val="00A01250"/>
    <w:rPr>
      <w:rFonts w:cs="Times New Roman"/>
      <w:vertAlign w:val="superscript"/>
    </w:rPr>
  </w:style>
  <w:style w:type="paragraph" w:styleId="BodyTextIndent">
    <w:name w:val="Body Text Indent"/>
    <w:basedOn w:val="Normal"/>
    <w:link w:val="BodyTextIndentChar"/>
    <w:uiPriority w:val="99"/>
    <w:semiHidden/>
    <w:unhideWhenUsed/>
    <w:rsid w:val="00A33E2E"/>
    <w:pPr>
      <w:spacing w:after="120"/>
      <w:ind w:left="283"/>
    </w:pPr>
  </w:style>
  <w:style w:type="character" w:customStyle="1" w:styleId="BodyTextIndentChar">
    <w:name w:val="Body Text Indent Char"/>
    <w:basedOn w:val="DefaultParagraphFont"/>
    <w:link w:val="BodyTextIndent"/>
    <w:uiPriority w:val="99"/>
    <w:semiHidden/>
    <w:rsid w:val="00A33E2E"/>
    <w:rPr>
      <w:rFonts w:cs="Narkisim"/>
      <w:sz w:val="20"/>
    </w:rPr>
  </w:style>
  <w:style w:type="paragraph" w:styleId="BodyTextIndent3">
    <w:name w:val="Body Text Indent 3"/>
    <w:basedOn w:val="Normal"/>
    <w:link w:val="BodyTextIndent3Char"/>
    <w:uiPriority w:val="99"/>
    <w:semiHidden/>
    <w:unhideWhenUsed/>
    <w:rsid w:val="00A33E2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33E2E"/>
    <w:rPr>
      <w:rFonts w:cs="Narkisim"/>
      <w:sz w:val="16"/>
      <w:szCs w:val="16"/>
    </w:rPr>
  </w:style>
  <w:style w:type="paragraph" w:customStyle="1" w:styleId="Normal1">
    <w:name w:val="Normal1"/>
    <w:basedOn w:val="Normal"/>
    <w:rsid w:val="00D21CA3"/>
    <w:pPr>
      <w:autoSpaceDE/>
      <w:autoSpaceDN/>
      <w:bidi w:val="0"/>
      <w:spacing w:before="100" w:beforeAutospacing="1" w:after="100" w:afterAutospacing="1" w:line="240" w:lineRule="auto"/>
      <w:jc w:val="left"/>
    </w:pPr>
    <w:rPr>
      <w:rFonts w:cs="Times New Roman"/>
      <w:sz w:val="24"/>
      <w:szCs w:val="24"/>
    </w:rPr>
  </w:style>
  <w:style w:type="paragraph" w:styleId="ListParagraph">
    <w:name w:val="List Paragraph"/>
    <w:basedOn w:val="Normal"/>
    <w:uiPriority w:val="34"/>
    <w:qFormat/>
    <w:rsid w:val="00C65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21448">
      <w:bodyDiv w:val="1"/>
      <w:marLeft w:val="0"/>
      <w:marRight w:val="0"/>
      <w:marTop w:val="0"/>
      <w:marBottom w:val="0"/>
      <w:divBdr>
        <w:top w:val="none" w:sz="0" w:space="0" w:color="auto"/>
        <w:left w:val="none" w:sz="0" w:space="0" w:color="auto"/>
        <w:bottom w:val="none" w:sz="0" w:space="0" w:color="auto"/>
        <w:right w:val="none" w:sz="0" w:space="0" w:color="auto"/>
      </w:divBdr>
      <w:divsChild>
        <w:div w:id="429668452">
          <w:marLeft w:val="0"/>
          <w:marRight w:val="0"/>
          <w:marTop w:val="0"/>
          <w:marBottom w:val="0"/>
          <w:divBdr>
            <w:top w:val="none" w:sz="0" w:space="0" w:color="auto"/>
            <w:left w:val="none" w:sz="0" w:space="0" w:color="auto"/>
            <w:bottom w:val="none" w:sz="0" w:space="0" w:color="auto"/>
            <w:right w:val="none" w:sz="0" w:space="0" w:color="auto"/>
          </w:divBdr>
        </w:div>
        <w:div w:id="1814521073">
          <w:marLeft w:val="0"/>
          <w:marRight w:val="0"/>
          <w:marTop w:val="0"/>
          <w:marBottom w:val="0"/>
          <w:divBdr>
            <w:top w:val="none" w:sz="0" w:space="0" w:color="auto"/>
            <w:left w:val="none" w:sz="0" w:space="0" w:color="auto"/>
            <w:bottom w:val="none" w:sz="0" w:space="0" w:color="auto"/>
            <w:right w:val="none" w:sz="0" w:space="0" w:color="auto"/>
          </w:divBdr>
        </w:div>
      </w:divsChild>
    </w:div>
    <w:div w:id="347492513">
      <w:bodyDiv w:val="1"/>
      <w:marLeft w:val="0"/>
      <w:marRight w:val="0"/>
      <w:marTop w:val="0"/>
      <w:marBottom w:val="0"/>
      <w:divBdr>
        <w:top w:val="none" w:sz="0" w:space="0" w:color="auto"/>
        <w:left w:val="none" w:sz="0" w:space="0" w:color="auto"/>
        <w:bottom w:val="none" w:sz="0" w:space="0" w:color="auto"/>
        <w:right w:val="none" w:sz="0" w:space="0" w:color="auto"/>
      </w:divBdr>
      <w:divsChild>
        <w:div w:id="281619726">
          <w:marLeft w:val="0"/>
          <w:marRight w:val="0"/>
          <w:marTop w:val="0"/>
          <w:marBottom w:val="2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1358</Words>
  <Characters>5999</Characters>
  <Application>Microsoft Office Word</Application>
  <DocSecurity>0</DocSecurity>
  <Lines>49</Lines>
  <Paragraphs>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tmpUser</cp:lastModifiedBy>
  <cp:revision>11</cp:revision>
  <cp:lastPrinted>2005-12-27T02:53:00Z</cp:lastPrinted>
  <dcterms:created xsi:type="dcterms:W3CDTF">2019-07-24T08:27:00Z</dcterms:created>
  <dcterms:modified xsi:type="dcterms:W3CDTF">2019-07-24T09:23:00Z</dcterms:modified>
</cp:coreProperties>
</file>