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38" w:rsidRDefault="000B6138" w:rsidP="008C6D8D">
      <w:pPr>
        <w:pStyle w:val="a2"/>
        <w:jc w:val="right"/>
        <w:rPr>
          <w:rtl/>
        </w:rPr>
      </w:pPr>
      <w:r>
        <w:rPr>
          <w:rtl/>
        </w:rPr>
        <w:t xml:space="preserve">הרב </w:t>
      </w:r>
      <w:r w:rsidR="008C6D8D">
        <w:rPr>
          <w:rtl/>
        </w:rPr>
        <w:t>משה ליכטנשטיין</w:t>
      </w:r>
    </w:p>
    <w:p w:rsidR="008C6D8D" w:rsidRPr="008C6D8D" w:rsidRDefault="008C6D8D" w:rsidP="008C6D8D">
      <w:pPr>
        <w:pStyle w:val="a2"/>
        <w:rPr>
          <w:rtl/>
        </w:rPr>
      </w:pPr>
      <w:bookmarkStart w:id="0" w:name="OLE_LINK1"/>
      <w:r w:rsidRPr="008C6D8D">
        <w:rPr>
          <w:rtl/>
        </w:rPr>
        <w:t xml:space="preserve">גיטין </w:t>
      </w:r>
      <w:proofErr w:type="spellStart"/>
      <w:r w:rsidRPr="008C6D8D">
        <w:rPr>
          <w:rtl/>
        </w:rPr>
        <w:t>יח</w:t>
      </w:r>
      <w:proofErr w:type="spellEnd"/>
      <w:r w:rsidRPr="008C6D8D">
        <w:rPr>
          <w:rtl/>
        </w:rPr>
        <w:t>:</w:t>
      </w:r>
    </w:p>
    <w:p w:rsidR="00141826" w:rsidRPr="008C6D8D" w:rsidRDefault="00141826" w:rsidP="008C6D8D">
      <w:pPr>
        <w:pStyle w:val="a0"/>
        <w:rPr>
          <w:sz w:val="40"/>
          <w:szCs w:val="40"/>
          <w:rtl/>
        </w:rPr>
      </w:pPr>
      <w:r w:rsidRPr="008C6D8D">
        <w:rPr>
          <w:sz w:val="40"/>
          <w:szCs w:val="40"/>
          <w:rtl/>
        </w:rPr>
        <w:t>נמצא אחד מהן קרוב או פסול</w:t>
      </w:r>
    </w:p>
    <w:p w:rsidR="00141826" w:rsidRPr="008C6D8D" w:rsidRDefault="008C6D8D" w:rsidP="008C6D8D">
      <w:pPr>
        <w:pStyle w:val="2"/>
        <w:rPr>
          <w:rtl/>
        </w:rPr>
      </w:pPr>
      <w:r>
        <w:rPr>
          <w:rtl/>
        </w:rPr>
        <w:t>מקורות</w:t>
      </w:r>
    </w:p>
    <w:p w:rsidR="00141826" w:rsidRPr="008C6D8D" w:rsidRDefault="00141826" w:rsidP="008C6D8D">
      <w:pPr>
        <w:rPr>
          <w:rtl/>
        </w:rPr>
      </w:pPr>
      <w:r w:rsidRPr="008C6D8D">
        <w:rPr>
          <w:rtl/>
        </w:rPr>
        <w:t xml:space="preserve">גיטין </w:t>
      </w:r>
      <w:proofErr w:type="spellStart"/>
      <w:r w:rsidRPr="008C6D8D">
        <w:rPr>
          <w:rtl/>
        </w:rPr>
        <w:t>יח</w:t>
      </w:r>
      <w:proofErr w:type="spellEnd"/>
      <w:r w:rsidRPr="008C6D8D">
        <w:rPr>
          <w:rtl/>
        </w:rPr>
        <w:t xml:space="preserve">: "איתמר אמר לעשרה </w:t>
      </w:r>
      <w:proofErr w:type="spellStart"/>
      <w:r w:rsidRPr="008C6D8D">
        <w:rPr>
          <w:rtl/>
        </w:rPr>
        <w:t>וכו</w:t>
      </w:r>
      <w:proofErr w:type="spellEnd"/>
      <w:r w:rsidRPr="008C6D8D">
        <w:rPr>
          <w:rtl/>
        </w:rPr>
        <w:t xml:space="preserve">'. רש"י ד"ה נמצא. </w:t>
      </w:r>
    </w:p>
    <w:p w:rsidR="00141826" w:rsidRPr="008C6D8D" w:rsidRDefault="00141826" w:rsidP="008C6D8D">
      <w:pPr>
        <w:rPr>
          <w:rtl/>
        </w:rPr>
      </w:pPr>
      <w:r w:rsidRPr="008C6D8D">
        <w:rPr>
          <w:rtl/>
        </w:rPr>
        <w:t xml:space="preserve">מכות ה:, המשנה השנייה. </w:t>
      </w:r>
      <w:proofErr w:type="spellStart"/>
      <w:r w:rsidRPr="008C6D8D">
        <w:rPr>
          <w:rtl/>
        </w:rPr>
        <w:t>רי"ף</w:t>
      </w:r>
      <w:proofErr w:type="spellEnd"/>
      <w:r w:rsidRPr="008C6D8D">
        <w:rPr>
          <w:rtl/>
        </w:rPr>
        <w:t xml:space="preserve"> שם (ב: מדפי האלפס) "</w:t>
      </w:r>
      <w:proofErr w:type="spellStart"/>
      <w:r w:rsidRPr="008C6D8D">
        <w:rPr>
          <w:rtl/>
        </w:rPr>
        <w:t>וחזינן</w:t>
      </w:r>
      <w:proofErr w:type="spellEnd"/>
      <w:r w:rsidRPr="008C6D8D">
        <w:rPr>
          <w:rtl/>
        </w:rPr>
        <w:t xml:space="preserve"> לגאון</w:t>
      </w:r>
      <w:r w:rsidR="008C6D8D">
        <w:rPr>
          <w:rtl/>
        </w:rPr>
        <w:t>... שלא מדעת חברו". רמב"ם הל'</w:t>
      </w:r>
      <w:r w:rsidRPr="008C6D8D">
        <w:rPr>
          <w:rtl/>
        </w:rPr>
        <w:t xml:space="preserve"> עדות פ</w:t>
      </w:r>
      <w:r w:rsidR="008C6D8D">
        <w:rPr>
          <w:rtl/>
        </w:rPr>
        <w:t>"</w:t>
      </w:r>
      <w:r w:rsidRPr="008C6D8D">
        <w:rPr>
          <w:rtl/>
        </w:rPr>
        <w:t>ה ה</w:t>
      </w:r>
      <w:r w:rsidR="008C6D8D">
        <w:rPr>
          <w:rtl/>
        </w:rPr>
        <w:t>"</w:t>
      </w:r>
      <w:r w:rsidRPr="008C6D8D">
        <w:rPr>
          <w:rtl/>
        </w:rPr>
        <w:t>ה-</w:t>
      </w:r>
      <w:proofErr w:type="spellStart"/>
      <w:r w:rsidR="008C6D8D">
        <w:rPr>
          <w:rtl/>
        </w:rPr>
        <w:t>ה"</w:t>
      </w:r>
      <w:r w:rsidRPr="008C6D8D">
        <w:rPr>
          <w:rtl/>
        </w:rPr>
        <w:t>ו</w:t>
      </w:r>
      <w:proofErr w:type="spellEnd"/>
      <w:r w:rsidRPr="008C6D8D">
        <w:rPr>
          <w:rtl/>
        </w:rPr>
        <w:t>.</w:t>
      </w:r>
    </w:p>
    <w:p w:rsidR="00141826" w:rsidRPr="008C6D8D" w:rsidRDefault="00141826" w:rsidP="008C6D8D">
      <w:pPr>
        <w:rPr>
          <w:rtl/>
        </w:rPr>
      </w:pPr>
      <w:r w:rsidRPr="008C6D8D">
        <w:rPr>
          <w:rtl/>
        </w:rPr>
        <w:t xml:space="preserve">בבא </w:t>
      </w:r>
      <w:proofErr w:type="spellStart"/>
      <w:r w:rsidRPr="008C6D8D">
        <w:rPr>
          <w:rtl/>
        </w:rPr>
        <w:t>בתרא</w:t>
      </w:r>
      <w:proofErr w:type="spellEnd"/>
      <w:r w:rsidRPr="008C6D8D">
        <w:rPr>
          <w:rtl/>
        </w:rPr>
        <w:t xml:space="preserve"> </w:t>
      </w:r>
      <w:proofErr w:type="spellStart"/>
      <w:r w:rsidRPr="008C6D8D">
        <w:rPr>
          <w:rtl/>
        </w:rPr>
        <w:t>קסב</w:t>
      </w:r>
      <w:proofErr w:type="spellEnd"/>
      <w:r w:rsidRPr="008C6D8D">
        <w:rPr>
          <w:rtl/>
        </w:rPr>
        <w:t>: "</w:t>
      </w:r>
      <w:proofErr w:type="spellStart"/>
      <w:r w:rsidRPr="008C6D8D">
        <w:rPr>
          <w:rtl/>
        </w:rPr>
        <w:t>דתניא</w:t>
      </w:r>
      <w:proofErr w:type="spellEnd"/>
      <w:r w:rsidRPr="008C6D8D">
        <w:rPr>
          <w:rtl/>
        </w:rPr>
        <w:t xml:space="preserve"> הרחיק את העדים</w:t>
      </w:r>
      <w:r w:rsidR="008C6D8D">
        <w:rPr>
          <w:rtl/>
        </w:rPr>
        <w:t>...</w:t>
      </w:r>
      <w:r w:rsidRPr="008C6D8D">
        <w:rPr>
          <w:rtl/>
        </w:rPr>
        <w:t xml:space="preserve"> פוסל בארבעה". </w:t>
      </w:r>
      <w:proofErr w:type="spellStart"/>
      <w:r w:rsidRPr="008C6D8D">
        <w:rPr>
          <w:rtl/>
        </w:rPr>
        <w:t>תוד"ה</w:t>
      </w:r>
      <w:proofErr w:type="spellEnd"/>
      <w:r w:rsidRPr="008C6D8D">
        <w:rPr>
          <w:rtl/>
        </w:rPr>
        <w:t xml:space="preserve"> נמצא (עד סוף העמוד).</w:t>
      </w:r>
    </w:p>
    <w:p w:rsidR="00141826" w:rsidRPr="008C6D8D" w:rsidRDefault="00141826" w:rsidP="008C6D8D">
      <w:pPr>
        <w:rPr>
          <w:rtl/>
        </w:rPr>
      </w:pPr>
      <w:r w:rsidRPr="008C6D8D">
        <w:rPr>
          <w:rtl/>
        </w:rPr>
        <w:t xml:space="preserve">[חידושי רבנו חיים הלוי על הרמב"ם, </w:t>
      </w:r>
      <w:r w:rsidR="008C6D8D">
        <w:rPr>
          <w:rtl/>
        </w:rPr>
        <w:t xml:space="preserve">הל' </w:t>
      </w:r>
      <w:r w:rsidRPr="008C6D8D">
        <w:rPr>
          <w:rtl/>
        </w:rPr>
        <w:t xml:space="preserve">עדות </w:t>
      </w:r>
      <w:r w:rsidR="008C6D8D">
        <w:rPr>
          <w:rtl/>
        </w:rPr>
        <w:t>פ"</w:t>
      </w:r>
      <w:r w:rsidRPr="008C6D8D">
        <w:rPr>
          <w:rtl/>
        </w:rPr>
        <w:t>ה</w:t>
      </w:r>
      <w:r w:rsidR="008C6D8D">
        <w:rPr>
          <w:rtl/>
        </w:rPr>
        <w:t xml:space="preserve"> </w:t>
      </w:r>
      <w:proofErr w:type="spellStart"/>
      <w:r w:rsidR="008C6D8D">
        <w:rPr>
          <w:rtl/>
        </w:rPr>
        <w:t>ה"</w:t>
      </w:r>
      <w:r w:rsidRPr="008C6D8D">
        <w:rPr>
          <w:rtl/>
        </w:rPr>
        <w:t>ו</w:t>
      </w:r>
      <w:proofErr w:type="spellEnd"/>
      <w:r w:rsidR="008C6D8D">
        <w:rPr>
          <w:rtl/>
        </w:rPr>
        <w:t xml:space="preserve">, </w:t>
      </w:r>
      <w:r w:rsidRPr="008C6D8D">
        <w:rPr>
          <w:rtl/>
        </w:rPr>
        <w:t>ד"ה ובעיקר]</w:t>
      </w:r>
    </w:p>
    <w:p w:rsidR="00141826" w:rsidRPr="008C6D8D" w:rsidRDefault="00141826" w:rsidP="008C6D8D">
      <w:pPr>
        <w:pStyle w:val="2"/>
        <w:rPr>
          <w:rtl/>
        </w:rPr>
      </w:pPr>
      <w:r w:rsidRPr="008C6D8D">
        <w:rPr>
          <w:rtl/>
        </w:rPr>
        <w:t>שאלות הכנה</w:t>
      </w:r>
    </w:p>
    <w:p w:rsidR="00141826" w:rsidRPr="008C6D8D" w:rsidRDefault="008C6D8D" w:rsidP="008C6D8D">
      <w:pPr>
        <w:ind w:left="210" w:hanging="210"/>
        <w:rPr>
          <w:rtl/>
        </w:rPr>
      </w:pPr>
      <w:r>
        <w:rPr>
          <w:rtl/>
        </w:rPr>
        <w:t>1. </w:t>
      </w:r>
      <w:r w:rsidR="00141826" w:rsidRPr="008C6D8D">
        <w:rPr>
          <w:rtl/>
        </w:rPr>
        <w:t>האם מובן מאליו שדין נמצא אחד מהן קרוב או פסול עדותן בטלה נוהג אף בשטרות? נסה להשיב תוך התייחסות לאפשרויות שונות בדבר אופיו של שטר וטיב העדות שבו.</w:t>
      </w:r>
    </w:p>
    <w:p w:rsidR="00141826" w:rsidRPr="008C6D8D" w:rsidRDefault="008C6D8D" w:rsidP="008C6D8D">
      <w:pPr>
        <w:ind w:left="210" w:hanging="210"/>
        <w:rPr>
          <w:rtl/>
        </w:rPr>
      </w:pPr>
      <w:r>
        <w:rPr>
          <w:rtl/>
        </w:rPr>
        <w:t>2. </w:t>
      </w:r>
      <w:r w:rsidR="00141826" w:rsidRPr="008C6D8D">
        <w:rPr>
          <w:rtl/>
        </w:rPr>
        <w:t xml:space="preserve">מהו הרושם העולה מתוך הגמרא </w:t>
      </w:r>
      <w:proofErr w:type="spellStart"/>
      <w:r w:rsidR="00141826" w:rsidRPr="008C6D8D">
        <w:rPr>
          <w:rtl/>
        </w:rPr>
        <w:t>בבבא</w:t>
      </w:r>
      <w:proofErr w:type="spellEnd"/>
      <w:r w:rsidR="00141826" w:rsidRPr="008C6D8D">
        <w:rPr>
          <w:rtl/>
        </w:rPr>
        <w:t xml:space="preserve"> </w:t>
      </w:r>
      <w:proofErr w:type="spellStart"/>
      <w:r w:rsidR="00141826" w:rsidRPr="008C6D8D">
        <w:rPr>
          <w:rtl/>
        </w:rPr>
        <w:t>בתרא</w:t>
      </w:r>
      <w:proofErr w:type="spellEnd"/>
      <w:r w:rsidR="00007BF6">
        <w:rPr>
          <w:rtl/>
        </w:rPr>
        <w:t xml:space="preserve"> </w:t>
      </w:r>
      <w:proofErr w:type="spellStart"/>
      <w:r w:rsidR="00007BF6">
        <w:rPr>
          <w:rtl/>
        </w:rPr>
        <w:t>קס</w:t>
      </w:r>
      <w:r w:rsidR="00141826" w:rsidRPr="008C6D8D">
        <w:rPr>
          <w:rtl/>
        </w:rPr>
        <w:t>ב</w:t>
      </w:r>
      <w:proofErr w:type="spellEnd"/>
      <w:r w:rsidR="00141826" w:rsidRPr="008C6D8D">
        <w:rPr>
          <w:rtl/>
        </w:rPr>
        <w:t>: ביחס לשאלה זו? מה דעת הראשונים בנידון?</w:t>
      </w:r>
    </w:p>
    <w:p w:rsidR="00141826" w:rsidRDefault="008C6D8D" w:rsidP="008C6D8D">
      <w:pPr>
        <w:ind w:left="210" w:hanging="210"/>
      </w:pPr>
      <w:r>
        <w:rPr>
          <w:rtl/>
        </w:rPr>
        <w:t>3. </w:t>
      </w:r>
      <w:r w:rsidR="00141826" w:rsidRPr="008C6D8D">
        <w:rPr>
          <w:rtl/>
        </w:rPr>
        <w:t>האם ניתן להסביר את פסול נמצא אחד מ</w:t>
      </w:r>
      <w:r w:rsidR="0035650D">
        <w:rPr>
          <w:rtl/>
        </w:rPr>
        <w:t xml:space="preserve">הן קרוב או פסול בסוגיה </w:t>
      </w:r>
      <w:proofErr w:type="spellStart"/>
      <w:r w:rsidR="0035650D">
        <w:rPr>
          <w:rtl/>
        </w:rPr>
        <w:t>בגיטין</w:t>
      </w:r>
      <w:proofErr w:type="spellEnd"/>
      <w:r w:rsidR="0035650D">
        <w:rPr>
          <w:rtl/>
        </w:rPr>
        <w:t xml:space="preserve"> </w:t>
      </w:r>
      <w:proofErr w:type="spellStart"/>
      <w:r w:rsidR="0035650D">
        <w:rPr>
          <w:rtl/>
        </w:rPr>
        <w:t>י</w:t>
      </w:r>
      <w:r w:rsidR="00141826" w:rsidRPr="008C6D8D">
        <w:rPr>
          <w:rtl/>
        </w:rPr>
        <w:t>ח</w:t>
      </w:r>
      <w:proofErr w:type="spellEnd"/>
      <w:r w:rsidR="00141826" w:rsidRPr="008C6D8D">
        <w:rPr>
          <w:rtl/>
        </w:rPr>
        <w:t>: באופן שונה מהסברו של רש"י?</w:t>
      </w:r>
    </w:p>
    <w:p w:rsidR="002562FA" w:rsidRDefault="002562FA" w:rsidP="00007BF6">
      <w:pPr>
        <w:pStyle w:val="2"/>
      </w:pPr>
    </w:p>
    <w:p w:rsidR="00141826" w:rsidRDefault="00007BF6" w:rsidP="00007BF6">
      <w:pPr>
        <w:pStyle w:val="2"/>
        <w:rPr>
          <w:rtl/>
        </w:rPr>
      </w:pPr>
      <w:bookmarkStart w:id="1" w:name="_GoBack"/>
      <w:bookmarkEnd w:id="1"/>
      <w:r>
        <w:rPr>
          <w:rtl/>
        </w:rPr>
        <w:t>פתיחה</w:t>
      </w:r>
    </w:p>
    <w:p w:rsidR="00141826" w:rsidRDefault="00141826" w:rsidP="00007BF6">
      <w:pPr>
        <w:rPr>
          <w:rtl/>
        </w:rPr>
      </w:pPr>
      <w:r>
        <w:rPr>
          <w:rtl/>
        </w:rPr>
        <w:t>הסוגי</w:t>
      </w:r>
      <w:r w:rsidR="008C6D8D">
        <w:rPr>
          <w:rtl/>
        </w:rPr>
        <w:t>ה</w:t>
      </w:r>
      <w:r w:rsidR="0035650D">
        <w:rPr>
          <w:rtl/>
        </w:rPr>
        <w:t xml:space="preserve"> בה עוסק שיעורנו (</w:t>
      </w:r>
      <w:proofErr w:type="spellStart"/>
      <w:r w:rsidR="0035650D">
        <w:rPr>
          <w:rtl/>
        </w:rPr>
        <w:t>י</w:t>
      </w:r>
      <w:r>
        <w:rPr>
          <w:rtl/>
        </w:rPr>
        <w:t>ח</w:t>
      </w:r>
      <w:proofErr w:type="spellEnd"/>
      <w:r>
        <w:rPr>
          <w:rtl/>
        </w:rPr>
        <w:t>:)</w:t>
      </w:r>
      <w:r>
        <w:t xml:space="preserve"> </w:t>
      </w:r>
      <w:r>
        <w:rPr>
          <w:rtl/>
        </w:rPr>
        <w:t xml:space="preserve">דנה במקרה </w:t>
      </w:r>
      <w:r w:rsidR="00007BF6">
        <w:rPr>
          <w:rtl/>
        </w:rPr>
        <w:t xml:space="preserve">בו </w:t>
      </w:r>
      <w:r>
        <w:rPr>
          <w:rtl/>
        </w:rPr>
        <w:t xml:space="preserve">הבעל מבקש להחתים עדים נוספים </w:t>
      </w:r>
      <w:r w:rsidR="00007BF6">
        <w:rPr>
          <w:rtl/>
        </w:rPr>
        <w:t>על ה</w:t>
      </w:r>
      <w:r>
        <w:rPr>
          <w:rtl/>
        </w:rPr>
        <w:t>גט, נוסף על השניים ה</w:t>
      </w:r>
      <w:r w:rsidR="00007BF6">
        <w:rPr>
          <w:rtl/>
        </w:rPr>
        <w:t>דרושים</w:t>
      </w:r>
      <w:r>
        <w:rPr>
          <w:rtl/>
        </w:rPr>
        <w:t xml:space="preserve"> מ</w:t>
      </w:r>
      <w:r w:rsidR="00007BF6">
        <w:rPr>
          <w:rtl/>
        </w:rPr>
        <w:t>עיקר</w:t>
      </w:r>
      <w:r>
        <w:rPr>
          <w:rtl/>
        </w:rPr>
        <w:t xml:space="preserve"> הדין:</w:t>
      </w:r>
    </w:p>
    <w:p w:rsidR="00141826" w:rsidRDefault="00141826" w:rsidP="008C6D8D">
      <w:pPr>
        <w:pStyle w:val="Quote"/>
        <w:rPr>
          <w:rtl/>
        </w:rPr>
      </w:pPr>
      <w:r>
        <w:rPr>
          <w:rtl/>
        </w:rPr>
        <w:t xml:space="preserve">"איתמר: אמר לעשרה 'כתבו גט לאשתי' - אמר ר' יוחנן: שנים משום עדים וכולם משום תנאי. וריש לקיש אמר: כולם משום עדים. </w:t>
      </w:r>
      <w:proofErr w:type="spellStart"/>
      <w:r>
        <w:rPr>
          <w:rtl/>
        </w:rPr>
        <w:t>היכי</w:t>
      </w:r>
      <w:proofErr w:type="spellEnd"/>
      <w:r>
        <w:rPr>
          <w:rtl/>
        </w:rPr>
        <w:t xml:space="preserve"> דמי? </w:t>
      </w:r>
      <w:proofErr w:type="spellStart"/>
      <w:r>
        <w:rPr>
          <w:rtl/>
        </w:rPr>
        <w:t>אילימא</w:t>
      </w:r>
      <w:proofErr w:type="spellEnd"/>
      <w:r>
        <w:rPr>
          <w:rtl/>
        </w:rPr>
        <w:t xml:space="preserve"> דלא אמר להו כולכם, והא תנן: אמר לעשרה 'כתבו גט לאשתי' אחד כותב ושנים </w:t>
      </w:r>
      <w:proofErr w:type="spellStart"/>
      <w:r>
        <w:rPr>
          <w:rtl/>
        </w:rPr>
        <w:t>חותמין</w:t>
      </w:r>
      <w:proofErr w:type="spellEnd"/>
      <w:r>
        <w:rPr>
          <w:rtl/>
        </w:rPr>
        <w:t xml:space="preserve">! אלא </w:t>
      </w:r>
      <w:proofErr w:type="spellStart"/>
      <w:r>
        <w:rPr>
          <w:rtl/>
        </w:rPr>
        <w:t>דאמר</w:t>
      </w:r>
      <w:proofErr w:type="spellEnd"/>
      <w:r>
        <w:rPr>
          <w:rtl/>
        </w:rPr>
        <w:t xml:space="preserve"> להו 'כולכם'. מאי </w:t>
      </w:r>
      <w:proofErr w:type="spellStart"/>
      <w:r>
        <w:rPr>
          <w:rtl/>
        </w:rPr>
        <w:t>בינייהו</w:t>
      </w:r>
      <w:proofErr w:type="spellEnd"/>
      <w:r>
        <w:rPr>
          <w:rtl/>
        </w:rPr>
        <w:t xml:space="preserve">? איכא </w:t>
      </w:r>
      <w:proofErr w:type="spellStart"/>
      <w:r>
        <w:rPr>
          <w:rtl/>
        </w:rPr>
        <w:t>בינייהו</w:t>
      </w:r>
      <w:proofErr w:type="spellEnd"/>
      <w:r>
        <w:rPr>
          <w:rtl/>
        </w:rPr>
        <w:t xml:space="preserve"> </w:t>
      </w:r>
      <w:proofErr w:type="spellStart"/>
      <w:r>
        <w:rPr>
          <w:rtl/>
        </w:rPr>
        <w:t>דחתום</w:t>
      </w:r>
      <w:proofErr w:type="spellEnd"/>
      <w:r>
        <w:rPr>
          <w:rtl/>
        </w:rPr>
        <w:t xml:space="preserve"> בי תרי </w:t>
      </w:r>
      <w:proofErr w:type="spellStart"/>
      <w:r>
        <w:rPr>
          <w:rtl/>
        </w:rPr>
        <w:t>מינייהו</w:t>
      </w:r>
      <w:proofErr w:type="spellEnd"/>
      <w:r>
        <w:rPr>
          <w:rtl/>
        </w:rPr>
        <w:t xml:space="preserve"> </w:t>
      </w:r>
      <w:proofErr w:type="spellStart"/>
      <w:r>
        <w:rPr>
          <w:rtl/>
        </w:rPr>
        <w:t>ביומיה</w:t>
      </w:r>
      <w:proofErr w:type="spellEnd"/>
      <w:r>
        <w:rPr>
          <w:rtl/>
        </w:rPr>
        <w:t xml:space="preserve">, ואינך מכאן ועד עשרה ימים: מאן </w:t>
      </w:r>
      <w:proofErr w:type="spellStart"/>
      <w:r>
        <w:rPr>
          <w:rtl/>
        </w:rPr>
        <w:t>דאמר</w:t>
      </w:r>
      <w:proofErr w:type="spellEnd"/>
      <w:r>
        <w:rPr>
          <w:rtl/>
        </w:rPr>
        <w:t xml:space="preserve"> משום תנאי </w:t>
      </w:r>
      <w:r w:rsidR="008C6D8D">
        <w:rPr>
          <w:rtl/>
        </w:rPr>
        <w:t>-</w:t>
      </w:r>
      <w:r>
        <w:rPr>
          <w:rtl/>
        </w:rPr>
        <w:t xml:space="preserve"> כשר, ומאן </w:t>
      </w:r>
      <w:proofErr w:type="spellStart"/>
      <w:r>
        <w:rPr>
          <w:rtl/>
        </w:rPr>
        <w:t>דאמר</w:t>
      </w:r>
      <w:proofErr w:type="spellEnd"/>
      <w:r>
        <w:rPr>
          <w:rtl/>
        </w:rPr>
        <w:t xml:space="preserve"> משום עדים </w:t>
      </w:r>
      <w:r w:rsidR="008C6D8D">
        <w:rPr>
          <w:rtl/>
        </w:rPr>
        <w:t>-</w:t>
      </w:r>
      <w:r>
        <w:rPr>
          <w:rtl/>
        </w:rPr>
        <w:t xml:space="preserve"> פסול. אי </w:t>
      </w:r>
      <w:proofErr w:type="spellStart"/>
      <w:r>
        <w:rPr>
          <w:rtl/>
        </w:rPr>
        <w:t>נמי</w:t>
      </w:r>
      <w:proofErr w:type="spellEnd"/>
      <w:r>
        <w:rPr>
          <w:rtl/>
        </w:rPr>
        <w:t xml:space="preserve"> כגון שנמצא אחד מהם קרוב או פסול: למאן </w:t>
      </w:r>
      <w:proofErr w:type="spellStart"/>
      <w:r>
        <w:rPr>
          <w:rtl/>
        </w:rPr>
        <w:t>דאמר</w:t>
      </w:r>
      <w:proofErr w:type="spellEnd"/>
      <w:r>
        <w:rPr>
          <w:rtl/>
        </w:rPr>
        <w:t xml:space="preserve"> משום תנאי </w:t>
      </w:r>
      <w:r w:rsidR="008C6D8D">
        <w:rPr>
          <w:rtl/>
        </w:rPr>
        <w:t>-</w:t>
      </w:r>
      <w:r>
        <w:rPr>
          <w:rtl/>
        </w:rPr>
        <w:t xml:space="preserve"> כשר, למאן </w:t>
      </w:r>
      <w:proofErr w:type="spellStart"/>
      <w:r>
        <w:rPr>
          <w:rtl/>
        </w:rPr>
        <w:t>דאמר</w:t>
      </w:r>
      <w:proofErr w:type="spellEnd"/>
      <w:r>
        <w:rPr>
          <w:rtl/>
        </w:rPr>
        <w:t xml:space="preserve"> משום עדים </w:t>
      </w:r>
      <w:r w:rsidR="008C6D8D">
        <w:rPr>
          <w:rtl/>
        </w:rPr>
        <w:t>-</w:t>
      </w:r>
      <w:r>
        <w:rPr>
          <w:rtl/>
        </w:rPr>
        <w:t xml:space="preserve"> פסול. אי חתום בתחילה קרוב או פסול - אמרי לה כשר ואמרי לה פסול: אמרי לה כשר - תנאי הוא, אמרי לה פ</w:t>
      </w:r>
      <w:r w:rsidR="008C6D8D">
        <w:rPr>
          <w:rtl/>
        </w:rPr>
        <w:t xml:space="preserve">סול - אתי </w:t>
      </w:r>
      <w:proofErr w:type="spellStart"/>
      <w:r w:rsidR="008C6D8D">
        <w:rPr>
          <w:rtl/>
        </w:rPr>
        <w:t>לאיחלופי</w:t>
      </w:r>
      <w:proofErr w:type="spellEnd"/>
      <w:r w:rsidR="008C6D8D">
        <w:rPr>
          <w:rtl/>
        </w:rPr>
        <w:t xml:space="preserve"> בשטרות </w:t>
      </w:r>
      <w:proofErr w:type="spellStart"/>
      <w:r w:rsidR="008C6D8D">
        <w:rPr>
          <w:rtl/>
        </w:rPr>
        <w:t>דעלמא</w:t>
      </w:r>
      <w:proofErr w:type="spellEnd"/>
      <w:r>
        <w:rPr>
          <w:rtl/>
        </w:rPr>
        <w:t>"</w:t>
      </w:r>
      <w:r w:rsidR="008C6D8D">
        <w:rPr>
          <w:rtl/>
        </w:rPr>
        <w:t>.</w:t>
      </w:r>
    </w:p>
    <w:p w:rsidR="00B002C8" w:rsidRDefault="007C35D6" w:rsidP="00B002C8">
      <w:pPr>
        <w:rPr>
          <w:rtl/>
        </w:rPr>
      </w:pPr>
      <w:r>
        <w:rPr>
          <w:rtl/>
        </w:rPr>
        <w:t>לדעת ר' יוחנן, כל העדים מעבר לשניים ההכרחיים הם רק '</w:t>
      </w:r>
      <w:r w:rsidR="00141826">
        <w:rPr>
          <w:rtl/>
        </w:rPr>
        <w:t>משום תנאי</w:t>
      </w:r>
      <w:r w:rsidR="00B002C8">
        <w:rPr>
          <w:rtl/>
        </w:rPr>
        <w:t>', ורק שני עדים נחשבים כמעידים על הגט. לכן,</w:t>
      </w:r>
      <w:r w:rsidR="00141826">
        <w:rPr>
          <w:rtl/>
        </w:rPr>
        <w:t xml:space="preserve"> לא </w:t>
      </w:r>
      <w:proofErr w:type="spellStart"/>
      <w:r w:rsidR="00141826">
        <w:rPr>
          <w:rtl/>
        </w:rPr>
        <w:t>איכפת</w:t>
      </w:r>
      <w:proofErr w:type="spellEnd"/>
      <w:r w:rsidR="00141826">
        <w:rPr>
          <w:rtl/>
        </w:rPr>
        <w:t xml:space="preserve"> ל</w:t>
      </w:r>
      <w:r w:rsidR="00B002C8">
        <w:rPr>
          <w:rtl/>
        </w:rPr>
        <w:t>נו</w:t>
      </w:r>
      <w:r w:rsidR="00141826">
        <w:rPr>
          <w:rtl/>
        </w:rPr>
        <w:t xml:space="preserve"> אם האחרים פסולים</w:t>
      </w:r>
      <w:r w:rsidR="00B002C8">
        <w:rPr>
          <w:rtl/>
        </w:rPr>
        <w:t>.</w:t>
      </w:r>
      <w:r w:rsidR="00141826">
        <w:rPr>
          <w:rtl/>
        </w:rPr>
        <w:t xml:space="preserve"> </w:t>
      </w:r>
      <w:r w:rsidR="00B002C8">
        <w:rPr>
          <w:rtl/>
        </w:rPr>
        <w:t>לעומתו, סובר ר</w:t>
      </w:r>
      <w:r w:rsidR="00141826">
        <w:rPr>
          <w:rtl/>
        </w:rPr>
        <w:t xml:space="preserve">יש לקיש </w:t>
      </w:r>
      <w:r w:rsidR="00B002C8">
        <w:rPr>
          <w:rtl/>
        </w:rPr>
        <w:t xml:space="preserve">כי </w:t>
      </w:r>
      <w:r w:rsidR="00141826">
        <w:rPr>
          <w:rtl/>
        </w:rPr>
        <w:t xml:space="preserve">הגט פסול משום שכולם עדים. </w:t>
      </w:r>
    </w:p>
    <w:p w:rsidR="00141826" w:rsidRDefault="00141826" w:rsidP="00B002C8">
      <w:pPr>
        <w:rPr>
          <w:rtl/>
        </w:rPr>
      </w:pPr>
      <w:r>
        <w:rPr>
          <w:rtl/>
        </w:rPr>
        <w:lastRenderedPageBreak/>
        <w:t xml:space="preserve">לכאורה, דעתו של ר' יוחנן פשוטה ומובנת </w:t>
      </w:r>
      <w:r w:rsidR="008C6D8D">
        <w:rPr>
          <w:rtl/>
        </w:rPr>
        <w:t>-</w:t>
      </w:r>
      <w:r>
        <w:rPr>
          <w:rtl/>
        </w:rPr>
        <w:t xml:space="preserve"> שהרי </w:t>
      </w:r>
      <w:r w:rsidR="003949F7">
        <w:rPr>
          <w:rtl/>
        </w:rPr>
        <w:t xml:space="preserve">אדם </w:t>
      </w:r>
      <w:r>
        <w:rPr>
          <w:rtl/>
        </w:rPr>
        <w:t>יכול להתנות תנאים ככל העולה על רוחו, ובכלל זה</w:t>
      </w:r>
      <w:r w:rsidR="003949F7">
        <w:rPr>
          <w:rtl/>
        </w:rPr>
        <w:t xml:space="preserve"> גם</w:t>
      </w:r>
      <w:r>
        <w:rPr>
          <w:rtl/>
        </w:rPr>
        <w:t xml:space="preserve"> תנאי המחייב החתמת עדים פסולים </w:t>
      </w:r>
      <w:r w:rsidR="008C6D8D">
        <w:rPr>
          <w:rtl/>
        </w:rPr>
        <w:t>-</w:t>
      </w:r>
      <w:r>
        <w:rPr>
          <w:rtl/>
        </w:rPr>
        <w:t xml:space="preserve"> בעוד שדעתו של ריש לקיש טעונה הסבר. מדוע ייפסל גט שחתמו בו קרובים </w:t>
      </w:r>
      <w:r w:rsidR="00B002C8">
        <w:rPr>
          <w:rtl/>
        </w:rPr>
        <w:t>ב</w:t>
      </w:r>
      <w:r>
        <w:rPr>
          <w:rtl/>
        </w:rPr>
        <w:t xml:space="preserve">נוסף על העדים הכשרים, הלוא ישנם שני עדים להכשר הגט, ומה </w:t>
      </w:r>
      <w:r w:rsidR="00B002C8">
        <w:rPr>
          <w:rtl/>
        </w:rPr>
        <w:t xml:space="preserve">נשתנה </w:t>
      </w:r>
      <w:r>
        <w:rPr>
          <w:rtl/>
        </w:rPr>
        <w:t xml:space="preserve">בכך </w:t>
      </w:r>
      <w:r w:rsidR="00B002C8">
        <w:rPr>
          <w:rtl/>
        </w:rPr>
        <w:t>ש</w:t>
      </w:r>
      <w:r>
        <w:rPr>
          <w:rtl/>
        </w:rPr>
        <w:t>נוספו עליהם פסולים?</w:t>
      </w:r>
    </w:p>
    <w:p w:rsidR="005A6120" w:rsidRPr="005A6120" w:rsidRDefault="005A6120" w:rsidP="00C61349">
      <w:pPr>
        <w:jc w:val="center"/>
        <w:rPr>
          <w:b/>
          <w:bCs/>
          <w:rtl/>
        </w:rPr>
      </w:pPr>
      <w:r w:rsidRPr="005A6120">
        <w:rPr>
          <w:b/>
          <w:bCs/>
          <w:rtl/>
        </w:rPr>
        <w:t>א. שיטת רש"י</w:t>
      </w:r>
    </w:p>
    <w:p w:rsidR="00B002C8" w:rsidRDefault="00141826" w:rsidP="00B002C8">
      <w:pPr>
        <w:rPr>
          <w:rtl/>
        </w:rPr>
      </w:pPr>
      <w:r>
        <w:rPr>
          <w:rtl/>
        </w:rPr>
        <w:t>התשובה לשאלתנו פשוטה ונמצאת בהישג</w:t>
      </w:r>
      <w:r w:rsidR="008C6D8D">
        <w:rPr>
          <w:rtl/>
        </w:rPr>
        <w:t xml:space="preserve"> יד </w:t>
      </w:r>
      <w:proofErr w:type="spellStart"/>
      <w:r w:rsidR="008C6D8D">
        <w:rPr>
          <w:rtl/>
        </w:rPr>
        <w:t>מיידי</w:t>
      </w:r>
      <w:proofErr w:type="spellEnd"/>
      <w:r w:rsidR="008C6D8D">
        <w:rPr>
          <w:rtl/>
        </w:rPr>
        <w:t xml:space="preserve"> בפירושו של רש"י לסוגיה</w:t>
      </w:r>
      <w:r>
        <w:rPr>
          <w:rtl/>
        </w:rPr>
        <w:t>. בהסתמ</w:t>
      </w:r>
      <w:r w:rsidR="008C6D8D">
        <w:rPr>
          <w:rtl/>
        </w:rPr>
        <w:t>ך על משנה מפורסמת במסכת מכות (ה</w:t>
      </w:r>
      <w:r>
        <w:rPr>
          <w:rtl/>
        </w:rPr>
        <w:t>:) (</w:t>
      </w:r>
      <w:r w:rsidR="00B002C8">
        <w:rPr>
          <w:rtl/>
        </w:rPr>
        <w:t xml:space="preserve">שמשום מה </w:t>
      </w:r>
      <w:r>
        <w:rPr>
          <w:rtl/>
        </w:rPr>
        <w:t>מצוטטת על ידו דווקא מסוגי</w:t>
      </w:r>
      <w:r w:rsidR="008C6D8D">
        <w:rPr>
          <w:rtl/>
        </w:rPr>
        <w:t>ה</w:t>
      </w:r>
      <w:r>
        <w:rPr>
          <w:rtl/>
        </w:rPr>
        <w:t xml:space="preserve"> בסנהדרין) מסביר רש"י שכת עדים המורכבת מיותר משני עדים פסולה אם יש בין חבריה קרוב או פסול. עצם הימצאותם של פסולים במסגרת המאוגדת של הכת פוגע</w:t>
      </w:r>
      <w:r w:rsidR="00B002C8">
        <w:rPr>
          <w:rtl/>
        </w:rPr>
        <w:t>ת</w:t>
      </w:r>
      <w:r>
        <w:rPr>
          <w:rtl/>
        </w:rPr>
        <w:t xml:space="preserve"> בשלמותה ככת של עדות, למרות שיש בה עדים</w:t>
      </w:r>
      <w:r w:rsidR="00B002C8">
        <w:rPr>
          <w:rtl/>
        </w:rPr>
        <w:t xml:space="preserve"> כשרים בכמות הנדרשת להכשר עדות.</w:t>
      </w:r>
    </w:p>
    <w:p w:rsidR="005A6120" w:rsidRDefault="005A6120" w:rsidP="005A6120">
      <w:pPr>
        <w:rPr>
          <w:rtl/>
        </w:rPr>
      </w:pPr>
      <w:r>
        <w:rPr>
          <w:rtl/>
        </w:rPr>
        <w:t>ה</w:t>
      </w:r>
      <w:r w:rsidR="00141826">
        <w:rPr>
          <w:rtl/>
        </w:rPr>
        <w:t xml:space="preserve">דין </w:t>
      </w:r>
      <w:r w:rsidR="00F6794D">
        <w:rPr>
          <w:rtl/>
        </w:rPr>
        <w:t>שמביא רש"י רואה את הצורך בכת של שני עדים כנובע מסמכותם המשפטית היתרה ולא מתוספת אמינות שיש לשנים על פני עד אחד. כמו כן, הוא</w:t>
      </w:r>
      <w:r w:rsidR="00141826">
        <w:rPr>
          <w:rtl/>
        </w:rPr>
        <w:t xml:space="preserve"> מבוסס על ראיית הכת כיחידה אורגנית ולא כצירוף מזדמן של יחידים ש</w:t>
      </w:r>
      <w:r w:rsidR="00F6794D">
        <w:rPr>
          <w:rtl/>
        </w:rPr>
        <w:t>במקרה ראו את אותו המחזה.</w:t>
      </w:r>
      <w:r w:rsidR="00141826">
        <w:rPr>
          <w:rtl/>
        </w:rPr>
        <w:t xml:space="preserve"> </w:t>
      </w:r>
    </w:p>
    <w:p w:rsidR="005A6120" w:rsidRDefault="005A6120" w:rsidP="00BF14F5">
      <w:pPr>
        <w:rPr>
          <w:rtl/>
        </w:rPr>
      </w:pPr>
      <w:r>
        <w:rPr>
          <w:rtl/>
        </w:rPr>
        <w:t xml:space="preserve">דין זה </w:t>
      </w:r>
      <w:r w:rsidR="00141826">
        <w:rPr>
          <w:rtl/>
        </w:rPr>
        <w:t xml:space="preserve">נדרש על ידי רבי עקיבא במשנה הנזכרת והנו </w:t>
      </w:r>
      <w:r>
        <w:rPr>
          <w:rtl/>
        </w:rPr>
        <w:t>אח</w:t>
      </w:r>
      <w:r w:rsidR="00BF14F5">
        <w:rPr>
          <w:rtl/>
        </w:rPr>
        <w:t>ד</w:t>
      </w:r>
      <w:r>
        <w:rPr>
          <w:rtl/>
        </w:rPr>
        <w:t xml:space="preserve"> </w:t>
      </w:r>
      <w:r w:rsidR="00141826">
        <w:rPr>
          <w:rtl/>
        </w:rPr>
        <w:t xml:space="preserve">מדרשות היסוד של הלכות עדות. לכן, הסברו של רש"י </w:t>
      </w:r>
      <w:r>
        <w:rPr>
          <w:rtl/>
        </w:rPr>
        <w:t>ל</w:t>
      </w:r>
      <w:r w:rsidR="00141826">
        <w:rPr>
          <w:rtl/>
        </w:rPr>
        <w:t>פסול השטר שנמצאים בו קרובים או פסולים</w:t>
      </w:r>
      <w:r>
        <w:rPr>
          <w:rtl/>
        </w:rPr>
        <w:t>,</w:t>
      </w:r>
      <w:r w:rsidR="00141826">
        <w:rPr>
          <w:rtl/>
        </w:rPr>
        <w:t xml:space="preserve"> לאור משנה זו</w:t>
      </w:r>
      <w:r>
        <w:rPr>
          <w:rtl/>
        </w:rPr>
        <w:t>,</w:t>
      </w:r>
      <w:r w:rsidR="00141826">
        <w:rPr>
          <w:rtl/>
        </w:rPr>
        <w:t xml:space="preserve"> נראה כהסבר מתבקש.</w:t>
      </w:r>
    </w:p>
    <w:p w:rsidR="00C61349" w:rsidRPr="00C61349" w:rsidRDefault="000101AC" w:rsidP="00C61349">
      <w:pPr>
        <w:jc w:val="center"/>
        <w:rPr>
          <w:b/>
          <w:bCs/>
          <w:rtl/>
        </w:rPr>
      </w:pPr>
      <w:r>
        <w:rPr>
          <w:b/>
          <w:bCs/>
          <w:rtl/>
        </w:rPr>
        <w:t>אופי העדות</w:t>
      </w:r>
      <w:r w:rsidR="00C61349" w:rsidRPr="00C61349">
        <w:rPr>
          <w:b/>
          <w:bCs/>
          <w:rtl/>
        </w:rPr>
        <w:t xml:space="preserve"> בשטרות</w:t>
      </w:r>
    </w:p>
    <w:p w:rsidR="00141826" w:rsidRDefault="003F46C7" w:rsidP="003F46C7">
      <w:pPr>
        <w:rPr>
          <w:rtl/>
        </w:rPr>
      </w:pPr>
      <w:r>
        <w:rPr>
          <w:rtl/>
        </w:rPr>
        <w:t xml:space="preserve">ברם, </w:t>
      </w:r>
      <w:r w:rsidR="00141826">
        <w:rPr>
          <w:rtl/>
        </w:rPr>
        <w:t xml:space="preserve">הדברים </w:t>
      </w:r>
      <w:r>
        <w:rPr>
          <w:rtl/>
        </w:rPr>
        <w:t xml:space="preserve">אינם </w:t>
      </w:r>
      <w:r w:rsidR="00141826">
        <w:rPr>
          <w:rtl/>
        </w:rPr>
        <w:t>כ</w:t>
      </w:r>
      <w:r>
        <w:rPr>
          <w:rtl/>
        </w:rPr>
        <w:t>ל כך</w:t>
      </w:r>
      <w:r w:rsidR="00141826">
        <w:rPr>
          <w:rtl/>
        </w:rPr>
        <w:t xml:space="preserve"> פשוטים; אמנם, </w:t>
      </w:r>
      <w:proofErr w:type="spellStart"/>
      <w:r w:rsidR="00141826">
        <w:rPr>
          <w:rtl/>
        </w:rPr>
        <w:t>פסול</w:t>
      </w:r>
      <w:r w:rsidR="005A6120">
        <w:rPr>
          <w:rtl/>
        </w:rPr>
        <w:t>ו</w:t>
      </w:r>
      <w:proofErr w:type="spellEnd"/>
      <w:r w:rsidR="005A6120">
        <w:rPr>
          <w:rtl/>
        </w:rPr>
        <w:t xml:space="preserve"> של עד</w:t>
      </w:r>
      <w:r w:rsidR="00141826">
        <w:rPr>
          <w:rtl/>
        </w:rPr>
        <w:t xml:space="preserve"> קרוב או פסול פשוט וברור ביחס לעדות בעל פה, א</w:t>
      </w:r>
      <w:r w:rsidR="003823EE">
        <w:rPr>
          <w:rtl/>
        </w:rPr>
        <w:t>ולם</w:t>
      </w:r>
      <w:r w:rsidR="00141826">
        <w:rPr>
          <w:rtl/>
        </w:rPr>
        <w:t xml:space="preserve"> סוגייתנו עוסקת בעדות שבשטר ולא בעדות הנמסרת בבית דין, ואין זה ברור כלל וכלל ששטר דומה לעדות על פה. ובכן, יש </w:t>
      </w:r>
      <w:r w:rsidR="005A6120">
        <w:rPr>
          <w:rtl/>
        </w:rPr>
        <w:t xml:space="preserve">לבחון את </w:t>
      </w:r>
      <w:r w:rsidR="00141826">
        <w:rPr>
          <w:rtl/>
        </w:rPr>
        <w:t>ישימותו של דין נמצא אחד מהם קרוב או פסול ביחס לשטרות.</w:t>
      </w:r>
    </w:p>
    <w:p w:rsidR="00141826" w:rsidRDefault="00141826" w:rsidP="00C61349">
      <w:pPr>
        <w:rPr>
          <w:rtl/>
        </w:rPr>
      </w:pPr>
      <w:r>
        <w:rPr>
          <w:rtl/>
        </w:rPr>
        <w:t>שורש הדילמה הנ"ל הוא בהבנת אופיו ומהותו של השטר: האם ה</w:t>
      </w:r>
      <w:r w:rsidR="00C61349">
        <w:rPr>
          <w:rtl/>
        </w:rPr>
        <w:t>וא</w:t>
      </w:r>
      <w:r>
        <w:rPr>
          <w:rtl/>
        </w:rPr>
        <w:t xml:space="preserve"> ביסודו עדות - אמנם כזו הנמסרת בכתב, ולא מפי העדים לבית הדין, אך בכל זאת עדות</w:t>
      </w:r>
      <w:r w:rsidR="00C61349">
        <w:rPr>
          <w:rtl/>
        </w:rPr>
        <w:t>.</w:t>
      </w:r>
      <w:r>
        <w:rPr>
          <w:rtl/>
        </w:rPr>
        <w:t xml:space="preserve"> או שמא </w:t>
      </w:r>
      <w:r w:rsidR="00C61349">
        <w:rPr>
          <w:rtl/>
        </w:rPr>
        <w:t xml:space="preserve">השטר אינו עדות </w:t>
      </w:r>
      <w:r>
        <w:rPr>
          <w:rtl/>
        </w:rPr>
        <w:t xml:space="preserve">אלא </w:t>
      </w:r>
      <w:r w:rsidR="00C61349">
        <w:rPr>
          <w:rtl/>
        </w:rPr>
        <w:t>רק חלות משפטית נפרדת, שאינ</w:t>
      </w:r>
      <w:r>
        <w:rPr>
          <w:rtl/>
        </w:rPr>
        <w:t>ה פועלת כעדות אלא כ"שטר".</w:t>
      </w:r>
    </w:p>
    <w:p w:rsidR="00AF62DD" w:rsidRDefault="00141826" w:rsidP="00AF62DD">
      <w:pPr>
        <w:rPr>
          <w:rtl/>
        </w:rPr>
      </w:pPr>
      <w:r w:rsidRPr="008C6D8D">
        <w:rPr>
          <w:rtl/>
        </w:rPr>
        <w:t xml:space="preserve">ניתן לומר שיש שתי אסכולות מרכזיות בשאלה זו, שכבר עלתה בשיעור בעניין זמן </w:t>
      </w:r>
      <w:proofErr w:type="spellStart"/>
      <w:r w:rsidRPr="008C6D8D">
        <w:rPr>
          <w:rtl/>
        </w:rPr>
        <w:t>בגיטין</w:t>
      </w:r>
      <w:proofErr w:type="spellEnd"/>
      <w:r w:rsidRPr="008C6D8D">
        <w:rPr>
          <w:rtl/>
        </w:rPr>
        <w:t xml:space="preserve"> (שיעור 2); הראשונה, הבאה לידי ביטוי בעיקר בתורתם של בעלי התוספות</w:t>
      </w:r>
      <w:r>
        <w:rPr>
          <w:rStyle w:val="FootnoteReference"/>
          <w:rtl/>
        </w:rPr>
        <w:footnoteReference w:id="1"/>
      </w:r>
      <w:r>
        <w:rPr>
          <w:rtl/>
        </w:rPr>
        <w:t>, רואה בשטר עדות לכל דבר ובתהליכים הקשורים בה היא רואה תהליכי עדות</w:t>
      </w:r>
      <w:r w:rsidR="00AF62DD">
        <w:rPr>
          <w:rtl/>
        </w:rPr>
        <w:t>.</w:t>
      </w:r>
      <w:r>
        <w:rPr>
          <w:rtl/>
        </w:rPr>
        <w:t xml:space="preserve"> </w:t>
      </w:r>
      <w:r w:rsidR="00AF62DD">
        <w:rPr>
          <w:rtl/>
        </w:rPr>
        <w:t>זאת ב</w:t>
      </w:r>
      <w:r>
        <w:rPr>
          <w:rtl/>
        </w:rPr>
        <w:t>עוד שהאסכולה השנייה רואה בשטר כתב הנמסר על ידי אחד מבעלי הד</w:t>
      </w:r>
      <w:r w:rsidR="00C61349">
        <w:rPr>
          <w:rtl/>
        </w:rPr>
        <w:t>ין</w:t>
      </w:r>
      <w:r>
        <w:rPr>
          <w:rtl/>
        </w:rPr>
        <w:t xml:space="preserve"> לצד שכנגדו, </w:t>
      </w:r>
      <w:r w:rsidR="00AF62DD">
        <w:rPr>
          <w:rtl/>
        </w:rPr>
        <w:t>כאשר ביס</w:t>
      </w:r>
      <w:r>
        <w:rPr>
          <w:rtl/>
        </w:rPr>
        <w:t>ו</w:t>
      </w:r>
      <w:r w:rsidR="00AF62DD">
        <w:rPr>
          <w:rtl/>
        </w:rPr>
        <w:t>דו</w:t>
      </w:r>
      <w:r>
        <w:rPr>
          <w:rtl/>
        </w:rPr>
        <w:t xml:space="preserve"> של דבר יש בו משום התחייבות מצד המוסר למקבל. </w:t>
      </w:r>
    </w:p>
    <w:p w:rsidR="00141826" w:rsidRDefault="00141826" w:rsidP="00590C89">
      <w:pPr>
        <w:rPr>
          <w:rtl/>
        </w:rPr>
      </w:pPr>
      <w:r>
        <w:rPr>
          <w:rtl/>
        </w:rPr>
        <w:lastRenderedPageBreak/>
        <w:t>אמנם, אף לפי דעה זו יש לשטר אמינות הדומה לאמינות של עדות, אך מצד מהות</w:t>
      </w:r>
      <w:r w:rsidR="003F46C7">
        <w:rPr>
          <w:rtl/>
        </w:rPr>
        <w:t>ו</w:t>
      </w:r>
      <w:r>
        <w:rPr>
          <w:rtl/>
        </w:rPr>
        <w:t xml:space="preserve"> אין ה</w:t>
      </w:r>
      <w:r w:rsidR="003F46C7">
        <w:rPr>
          <w:rtl/>
        </w:rPr>
        <w:t>ו</w:t>
      </w:r>
      <w:r>
        <w:rPr>
          <w:rtl/>
        </w:rPr>
        <w:t>א שיי</w:t>
      </w:r>
      <w:r w:rsidR="003F46C7">
        <w:rPr>
          <w:rtl/>
        </w:rPr>
        <w:t>ך</w:t>
      </w:r>
      <w:r>
        <w:rPr>
          <w:rtl/>
        </w:rPr>
        <w:t xml:space="preserve"> לעולם העדות של המתבונן האובייקטיבי אלא למערכת היחסים שבין בעלי דברים. תפיסה זו באה לידי ביטוי בהגדרתו</w:t>
      </w:r>
      <w:r w:rsidR="0035650D">
        <w:rPr>
          <w:rtl/>
        </w:rPr>
        <w:t xml:space="preserve"> התמציתית של בעל המאור (יבמות ל</w:t>
      </w:r>
      <w:r>
        <w:rPr>
          <w:rtl/>
        </w:rPr>
        <w:t>א:)</w:t>
      </w:r>
      <w:r w:rsidR="003F46C7">
        <w:rPr>
          <w:rtl/>
        </w:rPr>
        <w:t>,</w:t>
      </w:r>
      <w:r>
        <w:rPr>
          <w:rtl/>
        </w:rPr>
        <w:t xml:space="preserve"> </w:t>
      </w:r>
      <w:r w:rsidR="003F46C7">
        <w:rPr>
          <w:rtl/>
        </w:rPr>
        <w:t xml:space="preserve">שהגדיר </w:t>
      </w:r>
      <w:r>
        <w:rPr>
          <w:rtl/>
        </w:rPr>
        <w:t>את השטר, כ"מפי כתבו" של בעל הדבר ולא כ"מפי כתבם"</w:t>
      </w:r>
      <w:r w:rsidR="0035650D">
        <w:rPr>
          <w:rtl/>
        </w:rPr>
        <w:t xml:space="preserve"> של העדים</w:t>
      </w:r>
      <w:r w:rsidR="00DE46F3">
        <w:rPr>
          <w:rtl/>
        </w:rPr>
        <w:t>.</w:t>
      </w:r>
      <w:r w:rsidR="0035650D">
        <w:rPr>
          <w:rtl/>
        </w:rPr>
        <w:t xml:space="preserve"> </w:t>
      </w:r>
      <w:r w:rsidR="00DE46F3">
        <w:rPr>
          <w:rtl/>
        </w:rPr>
        <w:t xml:space="preserve">ביטוי </w:t>
      </w:r>
      <w:r w:rsidR="00590C89">
        <w:rPr>
          <w:rtl/>
        </w:rPr>
        <w:t xml:space="preserve">דומה </w:t>
      </w:r>
      <w:r w:rsidR="00DE46F3">
        <w:rPr>
          <w:rtl/>
        </w:rPr>
        <w:t xml:space="preserve">לתפיסה זו ניתן לראות גם </w:t>
      </w:r>
      <w:r w:rsidR="0035650D">
        <w:rPr>
          <w:rtl/>
        </w:rPr>
        <w:t>בדברי הרמב"ן (ב</w:t>
      </w:r>
      <w:r w:rsidR="00DE46F3">
        <w:rPr>
          <w:rtl/>
        </w:rPr>
        <w:t xml:space="preserve">בא </w:t>
      </w:r>
      <w:proofErr w:type="spellStart"/>
      <w:r w:rsidR="00DE46F3">
        <w:rPr>
          <w:rtl/>
        </w:rPr>
        <w:t>בתרא</w:t>
      </w:r>
      <w:proofErr w:type="spellEnd"/>
      <w:r w:rsidR="0035650D">
        <w:rPr>
          <w:rtl/>
        </w:rPr>
        <w:t xml:space="preserve"> ע</w:t>
      </w:r>
      <w:r>
        <w:rPr>
          <w:rtl/>
        </w:rPr>
        <w:t>ז. סוף ד"ה חוזר) על השטר "</w:t>
      </w:r>
      <w:proofErr w:type="spellStart"/>
      <w:r>
        <w:rPr>
          <w:rtl/>
        </w:rPr>
        <w:t>דספר</w:t>
      </w:r>
      <w:proofErr w:type="spellEnd"/>
      <w:r>
        <w:rPr>
          <w:rtl/>
        </w:rPr>
        <w:t xml:space="preserve"> המקנה בעינן ועדים שליחותו [של בעל הדבר] הן עושים".</w:t>
      </w:r>
    </w:p>
    <w:p w:rsidR="00840E99" w:rsidRPr="00840E99" w:rsidRDefault="00840E99" w:rsidP="00840E99">
      <w:pPr>
        <w:jc w:val="center"/>
        <w:rPr>
          <w:b/>
          <w:bCs/>
          <w:rtl/>
        </w:rPr>
      </w:pPr>
      <w:r w:rsidRPr="00840E99">
        <w:rPr>
          <w:b/>
          <w:bCs/>
          <w:rtl/>
        </w:rPr>
        <w:t>אופי העדות בסוגייתנו</w:t>
      </w:r>
    </w:p>
    <w:p w:rsidR="00141826" w:rsidRPr="008C6D8D" w:rsidRDefault="00141826" w:rsidP="00F83040">
      <w:pPr>
        <w:rPr>
          <w:rtl/>
        </w:rPr>
      </w:pPr>
      <w:r>
        <w:rPr>
          <w:rtl/>
        </w:rPr>
        <w:t>לענייננו נקודה זו מהותית ביותר: אם השטר הנו, ביסודו של דבר, עדות, אזי דיני עדות יחולו עליו</w:t>
      </w:r>
      <w:r w:rsidR="00F83040">
        <w:rPr>
          <w:rtl/>
        </w:rPr>
        <w:t>,</w:t>
      </w:r>
      <w:r>
        <w:rPr>
          <w:rStyle w:val="FootnoteReference"/>
          <w:rtl/>
        </w:rPr>
        <w:footnoteReference w:id="2"/>
      </w:r>
      <w:r w:rsidRPr="008C6D8D">
        <w:rPr>
          <w:rtl/>
        </w:rPr>
        <w:t xml:space="preserve"> ובכלל זה דין נמצא אחד מהם קרוב או פסול עדותן בטלה, בעוד שאם אין השטר עדות, אלא התחייבות מצד בעל הדבר לחברו, נראה שאין מקום להחיל דין נמצא אחד מהם קרוב או פסול, היות ודין זה נעוץ ביצירת הכת ככת עדות בעלת סמכויות של עדות. לכן נראה </w:t>
      </w:r>
      <w:proofErr w:type="spellStart"/>
      <w:r w:rsidRPr="008C6D8D">
        <w:rPr>
          <w:rtl/>
        </w:rPr>
        <w:t>מסברא</w:t>
      </w:r>
      <w:proofErr w:type="spellEnd"/>
      <w:r w:rsidRPr="008C6D8D">
        <w:rPr>
          <w:rtl/>
        </w:rPr>
        <w:t xml:space="preserve"> שיש לבחון את הסברו של רש"י, התולה את דינו של ריש לקיש בדרשת רבי עקיבא הפוסל קרובים ופסולים כחלק מכת עדות מורחבת, לאור הדעות הקיימות ביחס לטיב שטר, ולקבל או לדחות הסבר זה בהתאם.</w:t>
      </w:r>
    </w:p>
    <w:p w:rsidR="00141826" w:rsidRDefault="00141826" w:rsidP="000101AC">
      <w:pPr>
        <w:rPr>
          <w:rtl/>
        </w:rPr>
      </w:pPr>
      <w:r>
        <w:rPr>
          <w:rtl/>
        </w:rPr>
        <w:t xml:space="preserve">אולם, </w:t>
      </w:r>
      <w:r w:rsidR="000101AC">
        <w:rPr>
          <w:rtl/>
        </w:rPr>
        <w:t xml:space="preserve">למרות </w:t>
      </w:r>
      <w:proofErr w:type="spellStart"/>
      <w:r w:rsidR="000101AC">
        <w:rPr>
          <w:rtl/>
        </w:rPr>
        <w:t>ש</w:t>
      </w:r>
      <w:r>
        <w:rPr>
          <w:rtl/>
        </w:rPr>
        <w:t>הסברא</w:t>
      </w:r>
      <w:proofErr w:type="spellEnd"/>
      <w:r>
        <w:rPr>
          <w:rtl/>
        </w:rPr>
        <w:t xml:space="preserve"> נותנת כן, עדיין</w:t>
      </w:r>
      <w:r w:rsidR="000101AC">
        <w:rPr>
          <w:rtl/>
        </w:rPr>
        <w:t xml:space="preserve"> </w:t>
      </w:r>
      <w:r>
        <w:rPr>
          <w:rtl/>
        </w:rPr>
        <w:t>עלינו לבחון את תמונת המצב העולה מתוך הסוגיות. לכאורה דעתו של רש"י מחויבת המציאות, שהרי בסוגייתנו נאמר שאם העדים חותמים כעדים אזי הגט פסול אם אחד מהם נמצא קרוב או פסול, ואם כן נקבע כאן מפורשות פסול נמצא אחד מהם קרוב או פסול אף בשטרות. למעשה, אין זו דעת רש"י אלא הסבר פשוט וברור לדין המפורש בסוגי</w:t>
      </w:r>
      <w:r w:rsidR="00F83040">
        <w:rPr>
          <w:rtl/>
        </w:rPr>
        <w:t>ה</w:t>
      </w:r>
      <w:r>
        <w:rPr>
          <w:rtl/>
        </w:rPr>
        <w:t xml:space="preserve">. </w:t>
      </w:r>
    </w:p>
    <w:p w:rsidR="000101AC" w:rsidRDefault="00141826" w:rsidP="00840E99">
      <w:pPr>
        <w:rPr>
          <w:rtl/>
        </w:rPr>
      </w:pPr>
      <w:r>
        <w:rPr>
          <w:rtl/>
        </w:rPr>
        <w:t>ברם, אין הכרח כלל לפרש כך את הסוגי</w:t>
      </w:r>
      <w:r w:rsidR="00F83040">
        <w:rPr>
          <w:rtl/>
        </w:rPr>
        <w:t>ה</w:t>
      </w:r>
      <w:r>
        <w:rPr>
          <w:rtl/>
        </w:rPr>
        <w:t>, וניתן להסבירה על נקלה אף מבלי להזדקק לסוגי</w:t>
      </w:r>
      <w:r w:rsidR="00F83040">
        <w:rPr>
          <w:rtl/>
        </w:rPr>
        <w:t>ה</w:t>
      </w:r>
      <w:r>
        <w:rPr>
          <w:rtl/>
        </w:rPr>
        <w:t xml:space="preserve"> במכות. </w:t>
      </w:r>
      <w:r w:rsidR="00840E99">
        <w:rPr>
          <w:rtl/>
        </w:rPr>
        <w:t>שהרי</w:t>
      </w:r>
      <w:r>
        <w:rPr>
          <w:rtl/>
        </w:rPr>
        <w:t xml:space="preserve"> קיים שוני מהותי בין שני המקרים, שבמסכת מכות מדובר בעדים הבאים להעיד בבית דין, שאליהם מצטרפים אנשים נוספים הפסולים לעדות, בעוד ש</w:t>
      </w:r>
      <w:r w:rsidR="00840E99">
        <w:rPr>
          <w:rtl/>
        </w:rPr>
        <w:t xml:space="preserve">אצלנו </w:t>
      </w:r>
      <w:r>
        <w:rPr>
          <w:rtl/>
        </w:rPr>
        <w:t xml:space="preserve">הבעל דרש במפורש שעשרה עדים יחתמו. אינו דומה מקרה שבו פסולים נוספים על הכשרים כאשר ברור לחלוטין שהדרישה הבסיסית מטעם הכתוב איננה אלא לשניים כשרים - ועל כן לא ניתן לפסול את העדות אלא מפני שהנוספים גורעים מכוח הכשרים ופוגעים בשלמות הכת - למקרה שבו הדרישה הוגדרה מראש כדרישה ליותר עדים. </w:t>
      </w:r>
    </w:p>
    <w:p w:rsidR="00141826" w:rsidRDefault="00141826" w:rsidP="00F83040">
      <w:pPr>
        <w:rPr>
          <w:rtl/>
        </w:rPr>
      </w:pPr>
      <w:r>
        <w:rPr>
          <w:rtl/>
        </w:rPr>
        <w:t xml:space="preserve">במילים אחרות, הפסול בסוגייתנו אינו מפני הפגיעה בכת ככת עדות (שהרי השטר כלל אינו קיום של "כת עדות") אלא מפני העובדה הפשוטה שמספר העדים שהבעל הציב כתנאי לכתיבת הגט חסר. הוא דרש גט שעליו מתנוססות חתימותיהם של עשרה עדים כשרים, ואילו בפועל ישנן רק תשע חתימות. אין כאן משום "כל המוסיף גורע", אלא בחינת חסר </w:t>
      </w:r>
      <w:proofErr w:type="spellStart"/>
      <w:r>
        <w:rPr>
          <w:rtl/>
        </w:rPr>
        <w:t>וגריעותא</w:t>
      </w:r>
      <w:proofErr w:type="spellEnd"/>
      <w:r>
        <w:rPr>
          <w:rtl/>
        </w:rPr>
        <w:t xml:space="preserve"> ביחס למספר הנצרך. כשם שגט עם </w:t>
      </w:r>
      <w:r>
        <w:rPr>
          <w:rtl/>
        </w:rPr>
        <w:lastRenderedPageBreak/>
        <w:t>עד אחד אינו כשר - שהרי חסר בו עד - כך גט עם תשעה עדים אינו כשר, לדעת ריש לקיש, שהרי אין בו עשרה עדים.</w:t>
      </w:r>
    </w:p>
    <w:p w:rsidR="00141826" w:rsidRDefault="00141826" w:rsidP="00D86BFD">
      <w:pPr>
        <w:rPr>
          <w:rtl/>
        </w:rPr>
      </w:pPr>
      <w:r>
        <w:rPr>
          <w:rtl/>
        </w:rPr>
        <w:t xml:space="preserve">[אמנם לא מצאתי הסבר זה בראשונים ביחס לסוגייתנו, אך ייתכן שהוא נאמר באחד הראשונים בהקשר לדיונו בשטר ביחס לחששות דרבנן. </w:t>
      </w:r>
      <w:proofErr w:type="spellStart"/>
      <w:r>
        <w:rPr>
          <w:rtl/>
        </w:rPr>
        <w:t>יעוין</w:t>
      </w:r>
      <w:proofErr w:type="spellEnd"/>
      <w:r>
        <w:rPr>
          <w:rtl/>
        </w:rPr>
        <w:t xml:space="preserve"> בספר העיטור (אות ק', קבלת עדות, עמ' ס' במהדורת </w:t>
      </w:r>
      <w:proofErr w:type="spellStart"/>
      <w:r>
        <w:rPr>
          <w:rtl/>
        </w:rPr>
        <w:t>רמ"י</w:t>
      </w:r>
      <w:proofErr w:type="spellEnd"/>
      <w:r>
        <w:rPr>
          <w:rtl/>
        </w:rPr>
        <w:t xml:space="preserve">), המניח כדבר פשוט את דין נמצא אחד מהם קרוב או פסול בשטר, ומקשה ביחס לפרטי הגזרות שחז"ל אמורים לגזור בהקשר זה, ומתרץ את קושייתו בטענה ש"אי </w:t>
      </w:r>
      <w:proofErr w:type="spellStart"/>
      <w:r>
        <w:rPr>
          <w:rtl/>
        </w:rPr>
        <w:t>נמי</w:t>
      </w:r>
      <w:proofErr w:type="spellEnd"/>
      <w:r>
        <w:rPr>
          <w:rtl/>
        </w:rPr>
        <w:t xml:space="preserve"> בכולכם </w:t>
      </w:r>
      <w:proofErr w:type="spellStart"/>
      <w:r>
        <w:rPr>
          <w:rtl/>
        </w:rPr>
        <w:t>חתומו</w:t>
      </w:r>
      <w:proofErr w:type="spellEnd"/>
      <w:r>
        <w:rPr>
          <w:rtl/>
        </w:rPr>
        <w:t xml:space="preserve"> </w:t>
      </w:r>
      <w:proofErr w:type="spellStart"/>
      <w:r w:rsidR="000B68CE">
        <w:rPr>
          <w:b/>
          <w:bCs/>
          <w:rtl/>
        </w:rPr>
        <w:t>דכולכם</w:t>
      </w:r>
      <w:proofErr w:type="spellEnd"/>
      <w:r w:rsidR="000B68CE">
        <w:rPr>
          <w:b/>
          <w:bCs/>
          <w:rtl/>
        </w:rPr>
        <w:t xml:space="preserve"> כשניים דמו"</w:t>
      </w:r>
      <w:r>
        <w:rPr>
          <w:rtl/>
        </w:rPr>
        <w:t xml:space="preserve"> (ההדגשה שלי, מ"ל).]</w:t>
      </w:r>
    </w:p>
    <w:p w:rsidR="00141826" w:rsidRDefault="00141826" w:rsidP="008C6D8D">
      <w:pPr>
        <w:rPr>
          <w:rtl/>
        </w:rPr>
      </w:pPr>
      <w:r>
        <w:rPr>
          <w:rtl/>
        </w:rPr>
        <w:t>אם הסבר זה נכון, אזי רק במקרה של תנאי, שבו הבעל דרש עדים רבים, ייפסל הגט מחמת העדרם של המספר הנדרש; שטר רגיל, שלא נעשה בו תנאי, בהחלט ייתכן שיהיה כשר אם יש בו שני עדים כשרים, אף אם נוספו להם עדים קרובים או פסולים. [כמו כן, תהיה נפקא מינה בין הסבר זה להסברו של רש"י אם אחד מעשרת העדים אינו כשר לעדות, אך גם אינו מוגדר פורמלית כ"עד פסול" אלא כהעדר עדות. פסול נמצא א' מהם קרוב או פסול לא יתקיים במקרה כזה, אך עדיין תחסר חתימת עד כשר, ואכמ"ל.]</w:t>
      </w:r>
    </w:p>
    <w:p w:rsidR="00141826" w:rsidRDefault="00141826" w:rsidP="00A22DD9">
      <w:pPr>
        <w:rPr>
          <w:rtl/>
        </w:rPr>
      </w:pPr>
      <w:r>
        <w:rPr>
          <w:rtl/>
        </w:rPr>
        <w:t>והנה, אם נבדוק בסוגיות נוספו</w:t>
      </w:r>
      <w:r w:rsidR="00C61349">
        <w:rPr>
          <w:rtl/>
        </w:rPr>
        <w:t xml:space="preserve">ת, נגיע לסוגיה בריש גט פשוט </w:t>
      </w:r>
      <w:r>
        <w:rPr>
          <w:rtl/>
        </w:rPr>
        <w:t>הדנה בהרחקת חתימות העדים מגוף השטר. וכך נאמר שם:</w:t>
      </w:r>
    </w:p>
    <w:p w:rsidR="00141826" w:rsidRDefault="00141826" w:rsidP="008C6D8D">
      <w:pPr>
        <w:pStyle w:val="Quote"/>
        <w:rPr>
          <w:rtl/>
        </w:rPr>
      </w:pPr>
      <w:r>
        <w:rPr>
          <w:rtl/>
        </w:rPr>
        <w:t xml:space="preserve">"תא שמע, </w:t>
      </w:r>
      <w:proofErr w:type="spellStart"/>
      <w:r>
        <w:rPr>
          <w:rtl/>
        </w:rPr>
        <w:t>דתניא</w:t>
      </w:r>
      <w:proofErr w:type="spellEnd"/>
      <w:r>
        <w:rPr>
          <w:rtl/>
        </w:rPr>
        <w:t xml:space="preserve">: הרחיק את העדים שני </w:t>
      </w:r>
      <w:proofErr w:type="spellStart"/>
      <w:r>
        <w:rPr>
          <w:rtl/>
        </w:rPr>
        <w:t>שיטין</w:t>
      </w:r>
      <w:proofErr w:type="spellEnd"/>
      <w:r>
        <w:rPr>
          <w:rtl/>
        </w:rPr>
        <w:t xml:space="preserve"> מן הכתב </w:t>
      </w:r>
      <w:r w:rsidR="008C6D8D">
        <w:rPr>
          <w:rtl/>
        </w:rPr>
        <w:t>-</w:t>
      </w:r>
      <w:r>
        <w:rPr>
          <w:rtl/>
        </w:rPr>
        <w:t xml:space="preserve"> פסול. פחות מכאן </w:t>
      </w:r>
      <w:r w:rsidR="008C6D8D">
        <w:rPr>
          <w:rtl/>
        </w:rPr>
        <w:t>-</w:t>
      </w:r>
      <w:r>
        <w:rPr>
          <w:rtl/>
        </w:rPr>
        <w:t xml:space="preserve"> כשר. היו ארבעה וחמישה עדים </w:t>
      </w:r>
      <w:proofErr w:type="spellStart"/>
      <w:r>
        <w:rPr>
          <w:rtl/>
        </w:rPr>
        <w:t>חתומין</w:t>
      </w:r>
      <w:proofErr w:type="spellEnd"/>
      <w:r>
        <w:rPr>
          <w:rtl/>
        </w:rPr>
        <w:t xml:space="preserve"> על השטר ונמצא אחד מהן קרוב או פסול - תתקיים עדות בשאר. מסייע ליה לחזקיה, </w:t>
      </w:r>
      <w:proofErr w:type="spellStart"/>
      <w:r>
        <w:rPr>
          <w:rtl/>
        </w:rPr>
        <w:t>דאמר</w:t>
      </w:r>
      <w:proofErr w:type="spellEnd"/>
      <w:r>
        <w:rPr>
          <w:rtl/>
        </w:rPr>
        <w:t xml:space="preserve"> חזקיה: </w:t>
      </w:r>
      <w:proofErr w:type="spellStart"/>
      <w:r>
        <w:rPr>
          <w:rtl/>
        </w:rPr>
        <w:t>מילאהו</w:t>
      </w:r>
      <w:proofErr w:type="spellEnd"/>
      <w:r>
        <w:rPr>
          <w:rtl/>
        </w:rPr>
        <w:t xml:space="preserve"> בקרובים </w:t>
      </w:r>
      <w:r w:rsidR="008C6D8D">
        <w:rPr>
          <w:rtl/>
        </w:rPr>
        <w:t>-</w:t>
      </w:r>
      <w:r>
        <w:rPr>
          <w:rtl/>
        </w:rPr>
        <w:t xml:space="preserve"> כשר. ואל תתמה, שהרי אוויר סוכה פו</w:t>
      </w:r>
      <w:r w:rsidR="00A22DD9">
        <w:rPr>
          <w:rtl/>
        </w:rPr>
        <w:t>סל בשלושה, סכך פסול פוסל בארבעה</w:t>
      </w:r>
      <w:r>
        <w:rPr>
          <w:rtl/>
        </w:rPr>
        <w:t>"</w:t>
      </w:r>
      <w:r w:rsidR="00A22DD9">
        <w:rPr>
          <w:rtl/>
        </w:rPr>
        <w:tab/>
        <w:t xml:space="preserve">(בבא </w:t>
      </w:r>
      <w:proofErr w:type="spellStart"/>
      <w:r w:rsidR="00A22DD9">
        <w:rPr>
          <w:rtl/>
        </w:rPr>
        <w:t>בתרא</w:t>
      </w:r>
      <w:proofErr w:type="spellEnd"/>
      <w:r w:rsidR="00A22DD9">
        <w:rPr>
          <w:rtl/>
        </w:rPr>
        <w:t xml:space="preserve"> </w:t>
      </w:r>
      <w:proofErr w:type="spellStart"/>
      <w:r w:rsidR="00A22DD9">
        <w:rPr>
          <w:rtl/>
        </w:rPr>
        <w:t>קסב</w:t>
      </w:r>
      <w:proofErr w:type="spellEnd"/>
      <w:r w:rsidR="00A22DD9">
        <w:rPr>
          <w:rtl/>
        </w:rPr>
        <w:t>:).</w:t>
      </w:r>
    </w:p>
    <w:p w:rsidR="00141826" w:rsidRDefault="00141826" w:rsidP="00A22DD9">
      <w:pPr>
        <w:rPr>
          <w:rtl/>
        </w:rPr>
      </w:pPr>
      <w:r>
        <w:rPr>
          <w:rtl/>
        </w:rPr>
        <w:t xml:space="preserve">לכאורה מפורש כאן שאין שום בעיה בשטר שחתמו בו קרובים או פסולים </w:t>
      </w:r>
      <w:r w:rsidR="00A22DD9">
        <w:rPr>
          <w:rtl/>
        </w:rPr>
        <w:t>ב</w:t>
      </w:r>
      <w:r>
        <w:rPr>
          <w:rtl/>
        </w:rPr>
        <w:t>נוסף על העדים הכשרים, ואדרב</w:t>
      </w:r>
      <w:r w:rsidR="00A22DD9">
        <w:rPr>
          <w:rtl/>
        </w:rPr>
        <w:t>ה</w:t>
      </w:r>
      <w:r>
        <w:rPr>
          <w:rtl/>
        </w:rPr>
        <w:t>, שטר כזה אף עדיף על שטר ללא חתימותיהם. במילים אחרות, טענתנו שאין בשטר דין קרוב או פסול מתאשרת ומתבססת כאן. סיכומו של דבר: בעוד שבסוגי</w:t>
      </w:r>
      <w:r w:rsidR="00A22DD9">
        <w:rPr>
          <w:rtl/>
        </w:rPr>
        <w:t>ה</w:t>
      </w:r>
      <w:r>
        <w:rPr>
          <w:rtl/>
        </w:rPr>
        <w:t xml:space="preserve"> </w:t>
      </w:r>
      <w:proofErr w:type="spellStart"/>
      <w:r>
        <w:rPr>
          <w:rtl/>
        </w:rPr>
        <w:t>בגיטין</w:t>
      </w:r>
      <w:proofErr w:type="spellEnd"/>
      <w:r>
        <w:rPr>
          <w:rtl/>
        </w:rPr>
        <w:t xml:space="preserve"> אין הכרח להסביר שישנה בעיה של נמצא אחד מהם קרוב או פסול, הרי שבסוגי</w:t>
      </w:r>
      <w:r w:rsidR="00A22DD9">
        <w:rPr>
          <w:rtl/>
        </w:rPr>
        <w:t>ה</w:t>
      </w:r>
      <w:r>
        <w:rPr>
          <w:rtl/>
        </w:rPr>
        <w:t xml:space="preserve"> </w:t>
      </w:r>
      <w:proofErr w:type="spellStart"/>
      <w:r>
        <w:rPr>
          <w:rtl/>
        </w:rPr>
        <w:t>בב</w:t>
      </w:r>
      <w:r w:rsidR="00A22DD9">
        <w:rPr>
          <w:rtl/>
        </w:rPr>
        <w:t>בא</w:t>
      </w:r>
      <w:proofErr w:type="spellEnd"/>
      <w:r w:rsidR="00A22DD9">
        <w:rPr>
          <w:rtl/>
        </w:rPr>
        <w:t xml:space="preserve"> </w:t>
      </w:r>
      <w:proofErr w:type="spellStart"/>
      <w:r>
        <w:rPr>
          <w:rtl/>
        </w:rPr>
        <w:t>ב</w:t>
      </w:r>
      <w:r w:rsidR="00A22DD9">
        <w:rPr>
          <w:rtl/>
        </w:rPr>
        <w:t>תרא</w:t>
      </w:r>
      <w:proofErr w:type="spellEnd"/>
      <w:r>
        <w:rPr>
          <w:rtl/>
        </w:rPr>
        <w:t xml:space="preserve"> מתקבל הרושם הברור שבוודאי אין בעיה כזאת.</w:t>
      </w:r>
    </w:p>
    <w:p w:rsidR="00141826" w:rsidRPr="008C6D8D" w:rsidRDefault="00141826" w:rsidP="00D14F5C">
      <w:pPr>
        <w:rPr>
          <w:rtl/>
        </w:rPr>
      </w:pPr>
      <w:r w:rsidRPr="008C6D8D">
        <w:rPr>
          <w:rtl/>
        </w:rPr>
        <w:t xml:space="preserve">ברם, הראשונים מיאנו ללכת בדרך הזאת. החל מרש"י בסוגייתנו </w:t>
      </w:r>
      <w:proofErr w:type="spellStart"/>
      <w:r w:rsidRPr="008C6D8D">
        <w:rPr>
          <w:rtl/>
        </w:rPr>
        <w:t>והרי"ף</w:t>
      </w:r>
      <w:proofErr w:type="spellEnd"/>
      <w:r w:rsidRPr="008C6D8D">
        <w:rPr>
          <w:rtl/>
        </w:rPr>
        <w:t xml:space="preserve"> על אתר במכות, ו</w:t>
      </w:r>
      <w:r w:rsidR="00A22DD9">
        <w:rPr>
          <w:rtl/>
        </w:rPr>
        <w:t>כלה</w:t>
      </w:r>
      <w:r w:rsidRPr="008C6D8D">
        <w:rPr>
          <w:rtl/>
        </w:rPr>
        <w:t xml:space="preserve"> בדיוני התוספות וחכמי ספרד, מקובלת על הראשונים ההנחה שבעיית נמצא אחד מהם קרוב או פסול קיימת בשטר. הנחה זו משמשת להסבר הסוגי</w:t>
      </w:r>
      <w:r w:rsidR="00A22DD9">
        <w:rPr>
          <w:rtl/>
        </w:rPr>
        <w:t>ה</w:t>
      </w:r>
      <w:r w:rsidRPr="008C6D8D">
        <w:rPr>
          <w:rtl/>
        </w:rPr>
        <w:t xml:space="preserve"> </w:t>
      </w:r>
      <w:proofErr w:type="spellStart"/>
      <w:r w:rsidRPr="008C6D8D">
        <w:rPr>
          <w:rtl/>
        </w:rPr>
        <w:t>בגיטין</w:t>
      </w:r>
      <w:proofErr w:type="spellEnd"/>
      <w:r w:rsidRPr="008C6D8D">
        <w:rPr>
          <w:rtl/>
        </w:rPr>
        <w:t>, כפי שראינו לעיל בדברי רש"י, ואילו הסוגי</w:t>
      </w:r>
      <w:r w:rsidR="00D14F5C">
        <w:rPr>
          <w:rtl/>
        </w:rPr>
        <w:t>ה</w:t>
      </w:r>
      <w:r w:rsidRPr="008C6D8D">
        <w:rPr>
          <w:rtl/>
        </w:rPr>
        <w:t xml:space="preserve"> </w:t>
      </w:r>
      <w:proofErr w:type="spellStart"/>
      <w:r w:rsidR="00D14F5C">
        <w:rPr>
          <w:rtl/>
        </w:rPr>
        <w:t>נ</w:t>
      </w:r>
      <w:r w:rsidRPr="008C6D8D">
        <w:rPr>
          <w:rtl/>
        </w:rPr>
        <w:t>בבא</w:t>
      </w:r>
      <w:proofErr w:type="spellEnd"/>
      <w:r w:rsidRPr="008C6D8D">
        <w:rPr>
          <w:rtl/>
        </w:rPr>
        <w:t xml:space="preserve"> </w:t>
      </w:r>
      <w:proofErr w:type="spellStart"/>
      <w:r w:rsidRPr="008C6D8D">
        <w:rPr>
          <w:rtl/>
        </w:rPr>
        <w:t>בתרא</w:t>
      </w:r>
      <w:proofErr w:type="spellEnd"/>
      <w:r w:rsidRPr="008C6D8D">
        <w:rPr>
          <w:rtl/>
        </w:rPr>
        <w:t xml:space="preserve"> מתפרשת לאור הכללים הפנימיים של דין נמצא אחד מהם קרוב או פסול.</w:t>
      </w:r>
      <w:r>
        <w:rPr>
          <w:rStyle w:val="FootnoteReference"/>
          <w:rtl/>
        </w:rPr>
        <w:footnoteReference w:id="3"/>
      </w:r>
      <w:r w:rsidRPr="008C6D8D">
        <w:rPr>
          <w:rtl/>
        </w:rPr>
        <w:t xml:space="preserve"> אף בעל העיטור - </w:t>
      </w:r>
      <w:r w:rsidRPr="008C6D8D">
        <w:rPr>
          <w:rtl/>
        </w:rPr>
        <w:lastRenderedPageBreak/>
        <w:t>אשר על הערתו הסתמכנו כדי להינצל מן הצורך להניח שהסוגי</w:t>
      </w:r>
      <w:r w:rsidR="00D14F5C">
        <w:rPr>
          <w:rtl/>
        </w:rPr>
        <w:t>ה</w:t>
      </w:r>
      <w:r w:rsidRPr="008C6D8D">
        <w:rPr>
          <w:rtl/>
        </w:rPr>
        <w:t xml:space="preserve"> </w:t>
      </w:r>
      <w:proofErr w:type="spellStart"/>
      <w:r w:rsidRPr="008C6D8D">
        <w:rPr>
          <w:rtl/>
        </w:rPr>
        <w:t>בגיטין</w:t>
      </w:r>
      <w:proofErr w:type="spellEnd"/>
      <w:r w:rsidRPr="008C6D8D">
        <w:rPr>
          <w:rtl/>
        </w:rPr>
        <w:t xml:space="preserve"> פסלה נמצא אחד מהם קרוב או פסול בשטר - סבור כשאר הראשונים בשאלה זו. וכך גם פסק הרמב"ם בנידון (הלכות עדות </w:t>
      </w:r>
      <w:r w:rsidR="00D86BFD">
        <w:rPr>
          <w:rtl/>
        </w:rPr>
        <w:t>פ"</w:t>
      </w:r>
      <w:r w:rsidRPr="008C6D8D">
        <w:rPr>
          <w:rtl/>
        </w:rPr>
        <w:t xml:space="preserve">ה, </w:t>
      </w:r>
      <w:proofErr w:type="spellStart"/>
      <w:r w:rsidR="00D86BFD">
        <w:rPr>
          <w:rtl/>
        </w:rPr>
        <w:t>ה"</w:t>
      </w:r>
      <w:r w:rsidRPr="008C6D8D">
        <w:rPr>
          <w:rtl/>
        </w:rPr>
        <w:t>ו</w:t>
      </w:r>
      <w:proofErr w:type="spellEnd"/>
      <w:r w:rsidRPr="008C6D8D">
        <w:rPr>
          <w:rtl/>
        </w:rPr>
        <w:t>).</w:t>
      </w:r>
    </w:p>
    <w:p w:rsidR="00141826" w:rsidRDefault="00141826" w:rsidP="00D86BFD">
      <w:pPr>
        <w:rPr>
          <w:rtl/>
        </w:rPr>
      </w:pPr>
      <w:r>
        <w:rPr>
          <w:rtl/>
        </w:rPr>
        <w:t xml:space="preserve">ואולם, מה שהראשונים הניחו כדבר כה פשוט וברור, נמצא בו מקום פקפוק על </w:t>
      </w:r>
      <w:r w:rsidR="00D14F5C">
        <w:rPr>
          <w:rtl/>
        </w:rPr>
        <w:t>ידי האחרונים, ששבו ונדרשו לסוגיה</w:t>
      </w:r>
      <w:r>
        <w:rPr>
          <w:rtl/>
        </w:rPr>
        <w:t xml:space="preserve"> זו על סמך הבנתם את מהות השטר. בשורות הבאות ננסה, בעקבות דיוניהם של ר' חיים (עדות </w:t>
      </w:r>
      <w:r w:rsidR="00D86BFD">
        <w:rPr>
          <w:rtl/>
        </w:rPr>
        <w:t>פ"</w:t>
      </w:r>
      <w:r>
        <w:rPr>
          <w:rtl/>
        </w:rPr>
        <w:t xml:space="preserve">ה, </w:t>
      </w:r>
      <w:proofErr w:type="spellStart"/>
      <w:r w:rsidR="00D86BFD">
        <w:rPr>
          <w:rtl/>
        </w:rPr>
        <w:t>ה"</w:t>
      </w:r>
      <w:r>
        <w:rPr>
          <w:rtl/>
        </w:rPr>
        <w:t>ו</w:t>
      </w:r>
      <w:proofErr w:type="spellEnd"/>
      <w:r>
        <w:rPr>
          <w:rtl/>
        </w:rPr>
        <w:t xml:space="preserve">) והבאים בעקבותיו, להבהיר את עיקרי הרעיונות העולים מתוך דיוניהם. </w:t>
      </w:r>
    </w:p>
    <w:p w:rsidR="00141826" w:rsidRPr="008C6D8D" w:rsidRDefault="00141826" w:rsidP="00141826">
      <w:pPr>
        <w:rPr>
          <w:rtl/>
        </w:rPr>
      </w:pPr>
      <w:r w:rsidRPr="008C6D8D">
        <w:rPr>
          <w:rtl/>
        </w:rPr>
        <w:t>למעשה כל שטר כולל בתוכו שני אלמנטים: א. עצם סיפור המעשה שהשטר מגולל בפנינו. ב. העובדה שסיפור זה מהווה מסמך משפטי בעל תוקף משפטי מחייב, ואינו סיפור דברים בעלמא. כפי שהעירו התוספות בכתובות</w:t>
      </w:r>
      <w:r>
        <w:rPr>
          <w:rStyle w:val="FootnoteReference"/>
          <w:rtl/>
        </w:rPr>
        <w:footnoteReference w:id="4"/>
      </w:r>
      <w:r w:rsidRPr="008C6D8D">
        <w:rPr>
          <w:rtl/>
        </w:rPr>
        <w:t>, תפקיד העדים הנו מרכזי בהפיכת השטר מסיפור למסמך. במילים אחרות, ניתן לומר שעדים נצרכים "</w:t>
      </w:r>
      <w:proofErr w:type="spellStart"/>
      <w:r w:rsidRPr="008C6D8D">
        <w:rPr>
          <w:rtl/>
        </w:rPr>
        <w:t>לאשוויי</w:t>
      </w:r>
      <w:proofErr w:type="spellEnd"/>
      <w:r w:rsidRPr="008C6D8D">
        <w:rPr>
          <w:rtl/>
        </w:rPr>
        <w:t xml:space="preserve"> </w:t>
      </w:r>
      <w:proofErr w:type="spellStart"/>
      <w:r w:rsidRPr="008C6D8D">
        <w:rPr>
          <w:rtl/>
        </w:rPr>
        <w:t>שטרא</w:t>
      </w:r>
      <w:proofErr w:type="spellEnd"/>
      <w:r w:rsidRPr="008C6D8D">
        <w:rPr>
          <w:rtl/>
        </w:rPr>
        <w:t>", מלבד העובדה שהם חיוניים למעשה ההגדה הכלול בשטר. לכן, אם באנו לדון ביחס לדין נמצא אחד מהם קרוב או פסול בשטר, עלינו לחלק את הדיון לשני מרכיבים שונים, בעקבות שני התפקידים השונים המבוצעים על ידי העדים.</w:t>
      </w:r>
    </w:p>
    <w:p w:rsidR="00141826" w:rsidRDefault="00141826" w:rsidP="008C6D8D">
      <w:pPr>
        <w:rPr>
          <w:rtl/>
        </w:rPr>
      </w:pPr>
      <w:r>
        <w:rPr>
          <w:rtl/>
        </w:rPr>
        <w:t>ובכן, נראה שיש לחלק בין סיפור המעשה לבין תהליך יצירת השטר: ביחס לסיפור המעשה אכן אין מקום להפעיל את דין נמצא אחד מהם קרוב או פסול, שהרי אין זו הגדת עדות אלא דעת המתחייב, הנובעת מהודאתו של בעל הדבר, ואין פסולי עדות נוגעים לכתב בעל הדבר הנמסר לידי הצד שכנגדו. ואולם, תהליך היווצרותו של השטר הנו פעולת עדות לכל דבר, וביחס אליה יש מקום לפסול מדין נמצא אחד מהם קרוב או פסול, ולכן פסקו הרמב"ם וראשונים אחרים את דין נמצא אחד מהם קרוב או פסול בשטרות.</w:t>
      </w:r>
    </w:p>
    <w:p w:rsidR="00141826" w:rsidRDefault="00D14F5C" w:rsidP="008C6D8D">
      <w:pPr>
        <w:pStyle w:val="2"/>
        <w:rPr>
          <w:rtl/>
        </w:rPr>
      </w:pPr>
      <w:r>
        <w:rPr>
          <w:rtl/>
        </w:rPr>
        <w:t>סיכום</w:t>
      </w:r>
    </w:p>
    <w:p w:rsidR="00141826" w:rsidRDefault="00141826" w:rsidP="008C6D8D">
      <w:pPr>
        <w:rPr>
          <w:rtl/>
        </w:rPr>
      </w:pPr>
      <w:r>
        <w:rPr>
          <w:rtl/>
        </w:rPr>
        <w:t xml:space="preserve">דין נמצא אחד מהם קרוב או פסול בשטר אינו מפורש בגמרא, ואין התייחסות ישירה לנושא מפי האמוראים. </w:t>
      </w:r>
      <w:proofErr w:type="spellStart"/>
      <w:r>
        <w:rPr>
          <w:rtl/>
        </w:rPr>
        <w:t>מסברא</w:t>
      </w:r>
      <w:proofErr w:type="spellEnd"/>
      <w:r>
        <w:rPr>
          <w:rtl/>
        </w:rPr>
        <w:t xml:space="preserve">, הכרעת השאלה צריכה להיות תלויה באופיו של שטר: האם הנו, ביסודו של דבר, עדות כתובה, ודיני עדות חלים עליו, או שמא הוא במהותו התחייבות בין בעלי דברים, ואין לו זיקה למערכת של הלכות עדות. </w:t>
      </w:r>
    </w:p>
    <w:p w:rsidR="00141826" w:rsidRDefault="00141826" w:rsidP="00D14F5C">
      <w:pPr>
        <w:rPr>
          <w:rtl/>
        </w:rPr>
      </w:pPr>
      <w:r>
        <w:rPr>
          <w:rtl/>
        </w:rPr>
        <w:t xml:space="preserve">קיימים שני מקורות רלוונטיים שיש להידרש אליהם; האחד </w:t>
      </w:r>
      <w:proofErr w:type="spellStart"/>
      <w:r>
        <w:rPr>
          <w:rtl/>
        </w:rPr>
        <w:t>בגיטין</w:t>
      </w:r>
      <w:proofErr w:type="spellEnd"/>
      <w:r>
        <w:rPr>
          <w:rtl/>
        </w:rPr>
        <w:t xml:space="preserve"> </w:t>
      </w:r>
      <w:proofErr w:type="spellStart"/>
      <w:r>
        <w:rPr>
          <w:rtl/>
        </w:rPr>
        <w:t>י</w:t>
      </w:r>
      <w:r w:rsidR="00D14F5C">
        <w:rPr>
          <w:rtl/>
        </w:rPr>
        <w:t>ח</w:t>
      </w:r>
      <w:proofErr w:type="spellEnd"/>
      <w:r w:rsidR="00D14F5C">
        <w:rPr>
          <w:rtl/>
        </w:rPr>
        <w:t xml:space="preserve">:, והשני </w:t>
      </w:r>
      <w:proofErr w:type="spellStart"/>
      <w:r w:rsidR="00D14F5C">
        <w:rPr>
          <w:rtl/>
        </w:rPr>
        <w:t>בבבא</w:t>
      </w:r>
      <w:proofErr w:type="spellEnd"/>
      <w:r w:rsidR="00D14F5C">
        <w:rPr>
          <w:rtl/>
        </w:rPr>
        <w:t xml:space="preserve"> </w:t>
      </w:r>
      <w:proofErr w:type="spellStart"/>
      <w:r w:rsidR="00D14F5C">
        <w:rPr>
          <w:rtl/>
        </w:rPr>
        <w:t>בתרא</w:t>
      </w:r>
      <w:proofErr w:type="spellEnd"/>
      <w:r w:rsidR="00D14F5C">
        <w:rPr>
          <w:rtl/>
        </w:rPr>
        <w:t xml:space="preserve"> </w:t>
      </w:r>
      <w:proofErr w:type="spellStart"/>
      <w:r w:rsidR="00D14F5C">
        <w:rPr>
          <w:rtl/>
        </w:rPr>
        <w:t>קס</w:t>
      </w:r>
      <w:r>
        <w:rPr>
          <w:rtl/>
        </w:rPr>
        <w:t>ב</w:t>
      </w:r>
      <w:proofErr w:type="spellEnd"/>
      <w:r>
        <w:rPr>
          <w:rtl/>
        </w:rPr>
        <w:t>:</w:t>
      </w:r>
      <w:r w:rsidR="00D14F5C">
        <w:rPr>
          <w:rtl/>
        </w:rPr>
        <w:t xml:space="preserve"> </w:t>
      </w:r>
      <w:r>
        <w:rPr>
          <w:rtl/>
        </w:rPr>
        <w:t xml:space="preserve">. ניתן להבין את הגמרא </w:t>
      </w:r>
      <w:proofErr w:type="spellStart"/>
      <w:r>
        <w:rPr>
          <w:rtl/>
        </w:rPr>
        <w:t>בגיטין</w:t>
      </w:r>
      <w:proofErr w:type="spellEnd"/>
      <w:r>
        <w:rPr>
          <w:rtl/>
        </w:rPr>
        <w:t xml:space="preserve"> כמניחה את קיומו של הפסול ולבאר את הגמרא בב"ב על פי </w:t>
      </w:r>
      <w:proofErr w:type="spellStart"/>
      <w:r>
        <w:rPr>
          <w:rtl/>
        </w:rPr>
        <w:t>הגדרים</w:t>
      </w:r>
      <w:proofErr w:type="spellEnd"/>
      <w:r>
        <w:rPr>
          <w:rtl/>
        </w:rPr>
        <w:t xml:space="preserve"> הספציפיים של דין נמצא אחד מהם קרוב או פסול, אך ניתן גם לאמץ את פשט הסוגי</w:t>
      </w:r>
      <w:r w:rsidR="00D86BFD">
        <w:rPr>
          <w:rtl/>
        </w:rPr>
        <w:t>ה</w:t>
      </w:r>
      <w:r w:rsidR="00D14F5C">
        <w:rPr>
          <w:rtl/>
        </w:rPr>
        <w:t xml:space="preserve"> בגט פשוט, לפיה </w:t>
      </w:r>
      <w:r>
        <w:rPr>
          <w:rtl/>
        </w:rPr>
        <w:t>אין כלל דין נמצא אחד מהם קרוב או פסול בשטרות, ולהבין את בעיית הסוגי</w:t>
      </w:r>
      <w:r w:rsidR="00D86BFD">
        <w:rPr>
          <w:rtl/>
        </w:rPr>
        <w:t>ה</w:t>
      </w:r>
      <w:r>
        <w:rPr>
          <w:rtl/>
        </w:rPr>
        <w:t xml:space="preserve"> </w:t>
      </w:r>
      <w:proofErr w:type="spellStart"/>
      <w:r>
        <w:rPr>
          <w:rtl/>
        </w:rPr>
        <w:t>בגיטין</w:t>
      </w:r>
      <w:proofErr w:type="spellEnd"/>
      <w:r>
        <w:rPr>
          <w:rtl/>
        </w:rPr>
        <w:t xml:space="preserve"> כנעוצה </w:t>
      </w:r>
      <w:r>
        <w:rPr>
          <w:rtl/>
        </w:rPr>
        <w:lastRenderedPageBreak/>
        <w:t xml:space="preserve">בתנאי המופיע בה. לכאורה, הכרעת הדילמה צריכה להיעשות על סמך הבנת אופי שטרות. </w:t>
      </w:r>
    </w:p>
    <w:p w:rsidR="00141826" w:rsidRDefault="00141826" w:rsidP="00141826">
      <w:pPr>
        <w:rPr>
          <w:rtl/>
        </w:rPr>
      </w:pPr>
      <w:r>
        <w:rPr>
          <w:rtl/>
        </w:rPr>
        <w:t>ברם, כלל הראשונים נוטים לאמץ את הגישה הפוסלת, על אף דעותיהם החלוקות בעניין שטר ולמרות העדר ההכרח בסוגיות. האחרונים חזרו ונדרשו לבעיה לאור הבנתם את מהות השטר, והציעו לחלק בין שני תהליכי עדות המתרחשים בשטר, בהגבילם את דין נמצא אחד מהם קרוב או פסול ל"עדות הפנימית" על תקפותו של השטר כשטר, בעוד ש"העדות החיצונית" של סיפור המעשה אינה הגדת עדות ואין פסולי עדות שייכים בה.</w:t>
      </w:r>
    </w:p>
    <w:p w:rsidR="00962F80" w:rsidRDefault="00962F80" w:rsidP="00962F80">
      <w:pPr>
        <w:pStyle w:val="2"/>
      </w:pPr>
      <w:r>
        <w:rPr>
          <w:rtl/>
        </w:rPr>
        <w:t>מקורות</w:t>
      </w:r>
    </w:p>
    <w:p w:rsidR="008356F7" w:rsidRPr="008356F7" w:rsidRDefault="008356F7" w:rsidP="008356F7">
      <w:pPr>
        <w:pStyle w:val="2"/>
        <w:jc w:val="both"/>
        <w:rPr>
          <w:rFonts w:cs="Narkisim"/>
          <w:b w:val="0"/>
          <w:bCs w:val="0"/>
          <w:sz w:val="22"/>
          <w:szCs w:val="22"/>
        </w:rPr>
      </w:pPr>
      <w:r w:rsidRPr="008356F7">
        <w:rPr>
          <w:rFonts w:cs="Narkisim"/>
          <w:b w:val="0"/>
          <w:bCs w:val="0"/>
          <w:sz w:val="22"/>
          <w:szCs w:val="22"/>
          <w:rtl/>
        </w:rPr>
        <w:t>כתב על גבי כתב</w:t>
      </w:r>
      <w:r>
        <w:rPr>
          <w:rFonts w:cs="Narkisim"/>
          <w:b w:val="0"/>
          <w:bCs w:val="0"/>
          <w:sz w:val="22"/>
          <w:szCs w:val="22"/>
        </w:rPr>
        <w:t>:</w:t>
      </w:r>
    </w:p>
    <w:p w:rsidR="00962F80" w:rsidRDefault="00962F80" w:rsidP="00962F80">
      <w:pPr>
        <w:ind w:left="210" w:hanging="210"/>
        <w:rPr>
          <w:rtl/>
        </w:rPr>
      </w:pPr>
      <w:r>
        <w:rPr>
          <w:rtl/>
        </w:rPr>
        <w:t xml:space="preserve">1. דף </w:t>
      </w:r>
      <w:proofErr w:type="spellStart"/>
      <w:r>
        <w:rPr>
          <w:rtl/>
        </w:rPr>
        <w:t>יט</w:t>
      </w:r>
      <w:proofErr w:type="spellEnd"/>
      <w:r>
        <w:rPr>
          <w:rtl/>
        </w:rPr>
        <w:t>. "איתמר המעביר דיו... את הקרעים דיו", ירושלמי "תמן תנינן... אשת איש".</w:t>
      </w:r>
    </w:p>
    <w:p w:rsidR="00962F80" w:rsidRDefault="00962F80" w:rsidP="00962F80">
      <w:pPr>
        <w:ind w:left="210" w:hanging="210"/>
        <w:rPr>
          <w:rtl/>
        </w:rPr>
      </w:pPr>
      <w:r>
        <w:rPr>
          <w:rtl/>
        </w:rPr>
        <w:t xml:space="preserve">2. דף כ. "אמר רב </w:t>
      </w:r>
      <w:proofErr w:type="spellStart"/>
      <w:r>
        <w:rPr>
          <w:rtl/>
        </w:rPr>
        <w:t>חסדא</w:t>
      </w:r>
      <w:proofErr w:type="spellEnd"/>
      <w:r>
        <w:rPr>
          <w:rtl/>
        </w:rPr>
        <w:t>... אבל הכא לא", שבת דף קד: "כתב על גבי... מן המובחר".</w:t>
      </w:r>
    </w:p>
    <w:p w:rsidR="00962F80" w:rsidRDefault="00962F80" w:rsidP="00962F80">
      <w:pPr>
        <w:rPr>
          <w:rtl/>
        </w:rPr>
      </w:pPr>
      <w:r>
        <w:rPr>
          <w:rtl/>
        </w:rPr>
        <w:t xml:space="preserve">3. תוספות </w:t>
      </w:r>
      <w:proofErr w:type="spellStart"/>
      <w:r>
        <w:rPr>
          <w:rtl/>
        </w:rPr>
        <w:t>בסוגיתנו</w:t>
      </w:r>
      <w:proofErr w:type="spellEnd"/>
      <w:r>
        <w:rPr>
          <w:rtl/>
        </w:rPr>
        <w:t xml:space="preserve"> ד"ה דיו, רמב"ן ד"ה דיו.</w:t>
      </w:r>
    </w:p>
    <w:p w:rsidR="00962F80" w:rsidRDefault="00962F80" w:rsidP="00962F80">
      <w:pPr>
        <w:ind w:left="210" w:hanging="210"/>
        <w:rPr>
          <w:rtl/>
        </w:rPr>
      </w:pPr>
      <w:r>
        <w:rPr>
          <w:rtl/>
        </w:rPr>
        <w:t xml:space="preserve">4. תוספות דף ט: ד"ה </w:t>
      </w:r>
      <w:proofErr w:type="spellStart"/>
      <w:r>
        <w:rPr>
          <w:rtl/>
        </w:rPr>
        <w:t>מקרעין</w:t>
      </w:r>
      <w:proofErr w:type="spellEnd"/>
      <w:r>
        <w:rPr>
          <w:rtl/>
        </w:rPr>
        <w:t xml:space="preserve">, תוספות רי"ד דף </w:t>
      </w:r>
      <w:proofErr w:type="spellStart"/>
      <w:r>
        <w:rPr>
          <w:rtl/>
        </w:rPr>
        <w:t>יט</w:t>
      </w:r>
      <w:proofErr w:type="spellEnd"/>
      <w:r>
        <w:rPr>
          <w:rtl/>
        </w:rPr>
        <w:t>. "ופירש המורה... ר"ח זה לשונו".</w:t>
      </w:r>
    </w:p>
    <w:p w:rsidR="00962F80" w:rsidRDefault="00962F80" w:rsidP="00962F80">
      <w:pPr>
        <w:ind w:left="210" w:hanging="210"/>
        <w:rPr>
          <w:rtl/>
        </w:rPr>
      </w:pPr>
      <w:r>
        <w:rPr>
          <w:rtl/>
        </w:rPr>
        <w:t xml:space="preserve">5. רמב"ם הלכות שבת </w:t>
      </w:r>
      <w:proofErr w:type="spellStart"/>
      <w:r>
        <w:rPr>
          <w:rtl/>
        </w:rPr>
        <w:t>פי"א</w:t>
      </w:r>
      <w:proofErr w:type="spellEnd"/>
      <w:r>
        <w:rPr>
          <w:rtl/>
        </w:rPr>
        <w:t xml:space="preserve"> </w:t>
      </w:r>
      <w:proofErr w:type="spellStart"/>
      <w:r>
        <w:rPr>
          <w:rtl/>
        </w:rPr>
        <w:t>הט"ז</w:t>
      </w:r>
      <w:proofErr w:type="spellEnd"/>
      <w:r>
        <w:rPr>
          <w:rtl/>
        </w:rPr>
        <w:t xml:space="preserve">, הלכות גירושין פ"א </w:t>
      </w:r>
      <w:proofErr w:type="spellStart"/>
      <w:r>
        <w:rPr>
          <w:rtl/>
        </w:rPr>
        <w:t>הכ"ג</w:t>
      </w:r>
      <w:proofErr w:type="spellEnd"/>
      <w:r>
        <w:rPr>
          <w:rtl/>
        </w:rPr>
        <w:t>.</w:t>
      </w:r>
    </w:p>
    <w:p w:rsidR="00962F80" w:rsidRDefault="00962F80" w:rsidP="00962F80">
      <w:pPr>
        <w:ind w:left="252" w:hanging="252"/>
        <w:rPr>
          <w:rtl/>
        </w:rPr>
      </w:pPr>
      <w:r>
        <w:rPr>
          <w:rtl/>
        </w:rPr>
        <w:t>[6. ספר התרומה הלכות תפילין סימן ר"ה "</w:t>
      </w:r>
      <w:proofErr w:type="spellStart"/>
      <w:r>
        <w:rPr>
          <w:rtl/>
        </w:rPr>
        <w:t>והיכא</w:t>
      </w:r>
      <w:proofErr w:type="spellEnd"/>
      <w:r>
        <w:rPr>
          <w:rtl/>
        </w:rPr>
        <w:t xml:space="preserve"> שנפלה... לכולי עלמא אינו מועיל".]</w:t>
      </w:r>
    </w:p>
    <w:p w:rsidR="00962F80" w:rsidRDefault="00962F80" w:rsidP="00962F80">
      <w:pPr>
        <w:pStyle w:val="2"/>
      </w:pPr>
      <w:r>
        <w:rPr>
          <w:rtl/>
        </w:rPr>
        <w:t>שאלות הכנה</w:t>
      </w:r>
    </w:p>
    <w:p w:rsidR="00962F80" w:rsidRDefault="00962F80" w:rsidP="00962F80">
      <w:pPr>
        <w:ind w:left="210" w:hanging="210"/>
        <w:rPr>
          <w:rtl/>
        </w:rPr>
      </w:pPr>
      <w:r>
        <w:rPr>
          <w:rtl/>
        </w:rPr>
        <w:t>1. איזו בעיה עולה מתוך צירוף סוגייתנו עם הסוגיה בדף כ. ובשבת דף קד:?</w:t>
      </w:r>
    </w:p>
    <w:p w:rsidR="00962F80" w:rsidRDefault="00962F80" w:rsidP="00962F80">
      <w:pPr>
        <w:rPr>
          <w:rtl/>
        </w:rPr>
      </w:pPr>
      <w:r>
        <w:rPr>
          <w:rtl/>
        </w:rPr>
        <w:t>2. מה הפתרונות השונות של הראשונים לבעיה הזאת?</w:t>
      </w:r>
    </w:p>
    <w:p w:rsidR="00962F80" w:rsidRDefault="00962F80" w:rsidP="00962F80">
      <w:pPr>
        <w:ind w:left="210" w:hanging="210"/>
        <w:rPr>
          <w:rtl/>
        </w:rPr>
      </w:pPr>
      <w:r>
        <w:rPr>
          <w:rtl/>
        </w:rPr>
        <w:t>3. הרמב"ן מחלק בשלב מסוים בין התחום של מלאכות בשבת לבין שאר התחומים. מה פשר החילוק הזה?</w:t>
      </w:r>
    </w:p>
    <w:p w:rsidR="00962F80" w:rsidRDefault="00962F80" w:rsidP="00962F80">
      <w:pPr>
        <w:ind w:left="210" w:hanging="210"/>
        <w:rPr>
          <w:rtl/>
        </w:rPr>
      </w:pPr>
      <w:r>
        <w:rPr>
          <w:rtl/>
        </w:rPr>
        <w:t>4. מה הפירוש של תשובת רבי יוחנן לקושיית ריש לקיש לפי רש"י? האם פירושו עולה בקנה אחד עם דברי הירושלמי? האם תוכל להציע פירוש אחר?</w:t>
      </w:r>
    </w:p>
    <w:p w:rsidR="002F33B1" w:rsidRDefault="002F33B1" w:rsidP="002F33B1">
      <w:pPr>
        <w:rPr>
          <w:rtl/>
        </w:rPr>
      </w:pPr>
    </w:p>
    <w:tbl>
      <w:tblPr>
        <w:bidiVisual/>
        <w:tblW w:w="4678" w:type="dxa"/>
        <w:tblInd w:w="192" w:type="dxa"/>
        <w:tblLayout w:type="fixed"/>
        <w:tblLook w:val="0000" w:firstRow="0" w:lastRow="0" w:firstColumn="0" w:lastColumn="0" w:noHBand="0" w:noVBand="0"/>
      </w:tblPr>
      <w:tblGrid>
        <w:gridCol w:w="283"/>
        <w:gridCol w:w="4111"/>
        <w:gridCol w:w="284"/>
      </w:tblGrid>
      <w:tr w:rsidR="00CA4E9E">
        <w:tc>
          <w:tcPr>
            <w:tcW w:w="283" w:type="dxa"/>
            <w:tcBorders>
              <w:top w:val="nil"/>
              <w:left w:val="nil"/>
              <w:bottom w:val="nil"/>
              <w:right w:val="nil"/>
            </w:tcBorders>
          </w:tcPr>
          <w:bookmarkEnd w:id="0"/>
          <w:p w:rsidR="00CA4E9E" w:rsidRDefault="00CA4E9E">
            <w:pPr>
              <w:pStyle w:val="a1"/>
              <w:rPr>
                <w:noProof w:val="0"/>
                <w:rtl/>
              </w:rPr>
            </w:pPr>
            <w:r>
              <w:rPr>
                <w:noProof w:val="0"/>
                <w:rtl/>
              </w:rPr>
              <w:t>*</w:t>
            </w:r>
          </w:p>
        </w:tc>
        <w:tc>
          <w:tcPr>
            <w:tcW w:w="4111" w:type="dxa"/>
            <w:tcBorders>
              <w:top w:val="nil"/>
              <w:left w:val="nil"/>
              <w:bottom w:val="nil"/>
              <w:right w:val="nil"/>
            </w:tcBorders>
          </w:tcPr>
          <w:p w:rsidR="00CA4E9E" w:rsidRDefault="00CA4E9E">
            <w:pPr>
              <w:pStyle w:val="a1"/>
              <w:rPr>
                <w:noProof w:val="0"/>
                <w:rtl/>
              </w:rPr>
            </w:pPr>
            <w:r>
              <w:rPr>
                <w:noProof w:val="0"/>
                <w:rtl/>
              </w:rPr>
              <w:t>**********************************************************</w:t>
            </w:r>
          </w:p>
        </w:tc>
        <w:tc>
          <w:tcPr>
            <w:tcW w:w="284" w:type="dxa"/>
            <w:tcBorders>
              <w:top w:val="nil"/>
              <w:left w:val="nil"/>
              <w:bottom w:val="nil"/>
              <w:right w:val="nil"/>
            </w:tcBorders>
          </w:tcPr>
          <w:p w:rsidR="00CA4E9E" w:rsidRDefault="00CA4E9E">
            <w:pPr>
              <w:pStyle w:val="a1"/>
              <w:rPr>
                <w:noProof w:val="0"/>
                <w:rtl/>
              </w:rPr>
            </w:pPr>
            <w:r>
              <w:rPr>
                <w:noProof w:val="0"/>
                <w:rtl/>
              </w:rPr>
              <w:t>*</w:t>
            </w:r>
          </w:p>
        </w:tc>
      </w:tr>
      <w:tr w:rsidR="00CA4E9E">
        <w:tc>
          <w:tcPr>
            <w:tcW w:w="283" w:type="dxa"/>
            <w:tcBorders>
              <w:top w:val="nil"/>
              <w:left w:val="nil"/>
              <w:bottom w:val="nil"/>
              <w:right w:val="nil"/>
            </w:tcBorders>
          </w:tcPr>
          <w:p w:rsidR="00CA4E9E" w:rsidRDefault="00CA4E9E">
            <w:pPr>
              <w:pStyle w:val="a1"/>
              <w:rPr>
                <w:noProof w:val="0"/>
                <w:rtl/>
              </w:rPr>
            </w:pPr>
            <w:r>
              <w:rPr>
                <w:noProof w:val="0"/>
                <w:rtl/>
              </w:rPr>
              <w:t>* * * * * * * * * *</w:t>
            </w:r>
          </w:p>
        </w:tc>
        <w:tc>
          <w:tcPr>
            <w:tcW w:w="4111" w:type="dxa"/>
            <w:tcBorders>
              <w:top w:val="nil"/>
              <w:left w:val="nil"/>
              <w:bottom w:val="nil"/>
              <w:right w:val="nil"/>
            </w:tcBorders>
          </w:tcPr>
          <w:p w:rsidR="00CA4E9E" w:rsidRDefault="007675FA" w:rsidP="007675FA">
            <w:pPr>
              <w:pStyle w:val="a1"/>
              <w:rPr>
                <w:noProof w:val="0"/>
                <w:rtl/>
              </w:rPr>
            </w:pPr>
            <w:r>
              <w:rPr>
                <w:noProof w:val="0"/>
                <w:rtl/>
              </w:rPr>
              <w:t>כל הזכויות שמורות לישיבת הר עציון</w:t>
            </w:r>
            <w:r w:rsidR="00CA4E9E">
              <w:rPr>
                <w:noProof w:val="0"/>
                <w:rtl/>
              </w:rPr>
              <w:t>, תשס"ו</w:t>
            </w:r>
          </w:p>
          <w:p w:rsidR="00CA4E9E" w:rsidRDefault="00CA4E9E" w:rsidP="00332489">
            <w:pPr>
              <w:pStyle w:val="a1"/>
              <w:rPr>
                <w:noProof w:val="0"/>
                <w:rtl/>
              </w:rPr>
            </w:pPr>
            <w:r>
              <w:rPr>
                <w:noProof w:val="0"/>
                <w:rtl/>
              </w:rPr>
              <w:t xml:space="preserve">עורך: </w:t>
            </w:r>
            <w:r w:rsidR="00332489">
              <w:rPr>
                <w:noProof w:val="0"/>
                <w:rtl/>
              </w:rPr>
              <w:t>יהונתן סלע</w:t>
            </w:r>
          </w:p>
          <w:p w:rsidR="00CA4E9E" w:rsidRDefault="00CA4E9E">
            <w:pPr>
              <w:pStyle w:val="a1"/>
              <w:rPr>
                <w:noProof w:val="0"/>
                <w:rtl/>
              </w:rPr>
            </w:pPr>
            <w:r>
              <w:rPr>
                <w:noProof w:val="0"/>
                <w:rtl/>
              </w:rPr>
              <w:t>*******************************************************</w:t>
            </w:r>
          </w:p>
          <w:p w:rsidR="00CA4E9E" w:rsidRDefault="00CA4E9E">
            <w:pPr>
              <w:pStyle w:val="a1"/>
              <w:rPr>
                <w:noProof w:val="0"/>
                <w:rtl/>
              </w:rPr>
            </w:pPr>
          </w:p>
          <w:p w:rsidR="00CA4E9E" w:rsidRDefault="00CA4E9E">
            <w:pPr>
              <w:pStyle w:val="a1"/>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CA4E9E" w:rsidRDefault="00CA4E9E">
            <w:pPr>
              <w:pStyle w:val="a1"/>
              <w:rPr>
                <w:noProof w:val="0"/>
                <w:rtl/>
              </w:rPr>
            </w:pPr>
            <w:r>
              <w:rPr>
                <w:noProof w:val="0"/>
                <w:rtl/>
              </w:rPr>
              <w:t>האתר בעברית:</w:t>
            </w:r>
            <w:r>
              <w:rPr>
                <w:noProof w:val="0"/>
                <w:rtl/>
              </w:rPr>
              <w:tab/>
            </w:r>
            <w:hyperlink r:id="rId8" w:history="1">
              <w:r w:rsidR="00A35AA9">
                <w:rPr>
                  <w:rStyle w:val="Hyperlink"/>
                </w:rPr>
                <w:t>http://www.etzion.org.il</w:t>
              </w:r>
            </w:hyperlink>
          </w:p>
          <w:p w:rsidR="00CA4E9E" w:rsidRDefault="00CA4E9E">
            <w:pPr>
              <w:pStyle w:val="a1"/>
              <w:rPr>
                <w:noProof w:val="0"/>
                <w:rtl/>
              </w:rPr>
            </w:pPr>
            <w:r>
              <w:rPr>
                <w:noProof w:val="0"/>
                <w:rtl/>
              </w:rPr>
              <w:t>האתר באנגלית:</w:t>
            </w:r>
            <w:r>
              <w:rPr>
                <w:noProof w:val="0"/>
                <w:rtl/>
              </w:rPr>
              <w:tab/>
            </w:r>
            <w:hyperlink r:id="rId9" w:history="1">
              <w:r w:rsidRPr="007675FA">
                <w:rPr>
                  <w:rStyle w:val="Hyperlink"/>
                </w:rPr>
                <w:t>http://www.vbm-torah.org</w:t>
              </w:r>
            </w:hyperlink>
          </w:p>
          <w:p w:rsidR="00CA4E9E" w:rsidRDefault="00CA4E9E">
            <w:pPr>
              <w:pStyle w:val="a1"/>
              <w:rPr>
                <w:noProof w:val="0"/>
                <w:rtl/>
              </w:rPr>
            </w:pPr>
          </w:p>
          <w:p w:rsidR="00CA4E9E" w:rsidRDefault="00CA4E9E" w:rsidP="00BF4FF3">
            <w:pPr>
              <w:pStyle w:val="a1"/>
              <w:rPr>
                <w:noProof w:val="0"/>
                <w:rtl/>
              </w:rPr>
            </w:pPr>
            <w:r>
              <w:rPr>
                <w:noProof w:val="0"/>
                <w:rtl/>
              </w:rPr>
              <w:t xml:space="preserve">משרדי בית המדרש </w:t>
            </w:r>
            <w:proofErr w:type="spellStart"/>
            <w:r>
              <w:rPr>
                <w:noProof w:val="0"/>
                <w:rtl/>
              </w:rPr>
              <w:t>הוירטואלי</w:t>
            </w:r>
            <w:proofErr w:type="spellEnd"/>
            <w:r>
              <w:rPr>
                <w:noProof w:val="0"/>
                <w:rtl/>
              </w:rPr>
              <w:t>: 02-993</w:t>
            </w:r>
            <w:r w:rsidR="00BF4FF3">
              <w:rPr>
                <w:noProof w:val="0"/>
                <w:rtl/>
              </w:rPr>
              <w:t>7300</w:t>
            </w:r>
            <w:r>
              <w:rPr>
                <w:noProof w:val="0"/>
                <w:rtl/>
              </w:rPr>
              <w:t xml:space="preserve"> שלוחה 5 </w:t>
            </w:r>
          </w:p>
          <w:p w:rsidR="00CA4E9E" w:rsidRDefault="00CA4E9E">
            <w:pPr>
              <w:pStyle w:val="a1"/>
              <w:rPr>
                <w:noProof w:val="0"/>
                <w:rtl/>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CA4E9E" w:rsidRDefault="00CA4E9E">
            <w:pPr>
              <w:pStyle w:val="a1"/>
              <w:rPr>
                <w:noProof w:val="0"/>
                <w:rtl/>
              </w:rPr>
            </w:pPr>
            <w:r>
              <w:rPr>
                <w:noProof w:val="0"/>
                <w:rtl/>
              </w:rPr>
              <w:t xml:space="preserve">* * * * * * * * * * </w:t>
            </w:r>
          </w:p>
        </w:tc>
      </w:tr>
      <w:tr w:rsidR="00CA4E9E">
        <w:tc>
          <w:tcPr>
            <w:tcW w:w="283" w:type="dxa"/>
            <w:tcBorders>
              <w:top w:val="nil"/>
              <w:left w:val="nil"/>
              <w:bottom w:val="nil"/>
              <w:right w:val="nil"/>
            </w:tcBorders>
          </w:tcPr>
          <w:p w:rsidR="00CA4E9E" w:rsidRDefault="00CA4E9E">
            <w:pPr>
              <w:pStyle w:val="a1"/>
              <w:rPr>
                <w:noProof w:val="0"/>
                <w:rtl/>
              </w:rPr>
            </w:pPr>
            <w:r>
              <w:rPr>
                <w:noProof w:val="0"/>
                <w:rtl/>
              </w:rPr>
              <w:t>*</w:t>
            </w:r>
          </w:p>
        </w:tc>
        <w:tc>
          <w:tcPr>
            <w:tcW w:w="4111" w:type="dxa"/>
            <w:tcBorders>
              <w:top w:val="nil"/>
              <w:left w:val="nil"/>
              <w:bottom w:val="nil"/>
              <w:right w:val="nil"/>
            </w:tcBorders>
          </w:tcPr>
          <w:p w:rsidR="00CA4E9E" w:rsidRDefault="00CA4E9E">
            <w:pPr>
              <w:pStyle w:val="a1"/>
              <w:rPr>
                <w:noProof w:val="0"/>
                <w:rtl/>
              </w:rPr>
            </w:pPr>
            <w:r>
              <w:rPr>
                <w:noProof w:val="0"/>
                <w:rtl/>
              </w:rPr>
              <w:t>**********************************************************</w:t>
            </w:r>
          </w:p>
        </w:tc>
        <w:tc>
          <w:tcPr>
            <w:tcW w:w="284" w:type="dxa"/>
            <w:tcBorders>
              <w:top w:val="nil"/>
              <w:left w:val="nil"/>
              <w:bottom w:val="nil"/>
              <w:right w:val="nil"/>
            </w:tcBorders>
          </w:tcPr>
          <w:p w:rsidR="00CA4E9E" w:rsidRDefault="00CA4E9E">
            <w:pPr>
              <w:pStyle w:val="a1"/>
              <w:rPr>
                <w:noProof w:val="0"/>
                <w:rtl/>
              </w:rPr>
            </w:pPr>
            <w:r>
              <w:rPr>
                <w:noProof w:val="0"/>
                <w:rtl/>
              </w:rPr>
              <w:t>*</w:t>
            </w:r>
          </w:p>
        </w:tc>
      </w:tr>
    </w:tbl>
    <w:p w:rsidR="00D246FA" w:rsidRDefault="00D246FA">
      <w:pPr>
        <w:rPr>
          <w:sz w:val="21"/>
          <w:rtl/>
        </w:rPr>
      </w:pPr>
    </w:p>
    <w:sectPr w:rsidR="00D246FA">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B4" w:rsidRDefault="00604AB4">
      <w:pPr>
        <w:spacing w:after="0" w:line="240" w:lineRule="auto"/>
      </w:pPr>
      <w:r>
        <w:separator/>
      </w:r>
    </w:p>
  </w:endnote>
  <w:endnote w:type="continuationSeparator" w:id="0">
    <w:p w:rsidR="00604AB4" w:rsidRDefault="0060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Century Schoolbook"/>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B4" w:rsidRDefault="00604AB4">
      <w:pPr>
        <w:spacing w:after="0" w:line="240" w:lineRule="auto"/>
      </w:pPr>
      <w:r>
        <w:separator/>
      </w:r>
    </w:p>
  </w:footnote>
  <w:footnote w:type="continuationSeparator" w:id="0">
    <w:p w:rsidR="00604AB4" w:rsidRDefault="00604AB4">
      <w:pPr>
        <w:spacing w:after="0" w:line="240" w:lineRule="auto"/>
      </w:pPr>
      <w:r>
        <w:continuationSeparator/>
      </w:r>
    </w:p>
  </w:footnote>
  <w:footnote w:id="1">
    <w:p w:rsidR="00B5120F" w:rsidRDefault="00141826" w:rsidP="00C61349">
      <w:pPr>
        <w:pStyle w:val="FootnoteText"/>
      </w:pPr>
      <w:r>
        <w:rPr>
          <w:rStyle w:val="FootnoteReference"/>
          <w:rtl/>
        </w:rPr>
        <w:footnoteRef/>
      </w:r>
      <w:r>
        <w:rPr>
          <w:rFonts w:cs="David"/>
        </w:rPr>
        <w:t xml:space="preserve"> </w:t>
      </w:r>
      <w:r w:rsidR="008C6D8D">
        <w:rPr>
          <w:rFonts w:cs="David"/>
          <w:rtl/>
        </w:rPr>
        <w:tab/>
      </w:r>
      <w:r>
        <w:rPr>
          <w:rFonts w:cs="David"/>
          <w:rtl/>
        </w:rPr>
        <w:t>עיין תוספות כתובו</w:t>
      </w:r>
      <w:r w:rsidR="008C6D8D">
        <w:rPr>
          <w:rFonts w:cs="David"/>
          <w:rtl/>
        </w:rPr>
        <w:t xml:space="preserve">ת כ.-כ: ד"ה ורבי יוחנן, </w:t>
      </w:r>
      <w:proofErr w:type="spellStart"/>
      <w:r w:rsidR="008C6D8D">
        <w:rPr>
          <w:rFonts w:cs="David"/>
          <w:rtl/>
        </w:rPr>
        <w:t>ובבבא</w:t>
      </w:r>
      <w:proofErr w:type="spellEnd"/>
      <w:r w:rsidR="008C6D8D">
        <w:rPr>
          <w:rFonts w:cs="David"/>
          <w:rtl/>
        </w:rPr>
        <w:t xml:space="preserve"> </w:t>
      </w:r>
      <w:proofErr w:type="spellStart"/>
      <w:r w:rsidR="008C6D8D">
        <w:rPr>
          <w:rFonts w:cs="David"/>
          <w:rtl/>
        </w:rPr>
        <w:t>בתרא</w:t>
      </w:r>
      <w:proofErr w:type="spellEnd"/>
      <w:r w:rsidR="008C6D8D">
        <w:rPr>
          <w:rFonts w:cs="David"/>
          <w:rtl/>
        </w:rPr>
        <w:t xml:space="preserve"> ע</w:t>
      </w:r>
      <w:r>
        <w:rPr>
          <w:rFonts w:cs="David"/>
          <w:rtl/>
        </w:rPr>
        <w:t>ז. ד"ה חוזר.</w:t>
      </w:r>
      <w:r w:rsidR="00C61349">
        <w:rPr>
          <w:rFonts w:cs="David"/>
          <w:rtl/>
        </w:rPr>
        <w:tab/>
      </w:r>
      <w:r w:rsidR="00C61349">
        <w:rPr>
          <w:rFonts w:cs="David"/>
          <w:rtl/>
        </w:rPr>
        <w:br/>
      </w:r>
      <w:r>
        <w:rPr>
          <w:rFonts w:cs="David"/>
          <w:rtl/>
        </w:rPr>
        <w:t xml:space="preserve">ועוד עיין בנתיבות המשפט סימן מ"ו </w:t>
      </w:r>
      <w:proofErr w:type="spellStart"/>
      <w:r>
        <w:rPr>
          <w:rFonts w:cs="David"/>
          <w:rtl/>
        </w:rPr>
        <w:t>ס"ק</w:t>
      </w:r>
      <w:proofErr w:type="spellEnd"/>
      <w:r>
        <w:rPr>
          <w:rFonts w:cs="David"/>
          <w:rtl/>
        </w:rPr>
        <w:t xml:space="preserve"> ט. </w:t>
      </w:r>
    </w:p>
  </w:footnote>
  <w:footnote w:id="2">
    <w:p w:rsidR="00B5120F" w:rsidRDefault="00141826" w:rsidP="008C6D8D">
      <w:pPr>
        <w:pStyle w:val="FootnoteText"/>
      </w:pPr>
      <w:r>
        <w:rPr>
          <w:rStyle w:val="FootnoteReference"/>
          <w:rtl/>
        </w:rPr>
        <w:footnoteRef/>
      </w:r>
      <w:r>
        <w:rPr>
          <w:rFonts w:cs="David"/>
        </w:rPr>
        <w:t xml:space="preserve"> </w:t>
      </w:r>
      <w:r w:rsidR="008C6D8D">
        <w:rPr>
          <w:rFonts w:cs="David"/>
          <w:rtl/>
        </w:rPr>
        <w:tab/>
      </w:r>
      <w:proofErr w:type="spellStart"/>
      <w:r>
        <w:rPr>
          <w:rFonts w:cs="David"/>
          <w:rtl/>
        </w:rPr>
        <w:t>יעוין</w:t>
      </w:r>
      <w:proofErr w:type="spellEnd"/>
      <w:r>
        <w:rPr>
          <w:rFonts w:cs="David"/>
          <w:rtl/>
        </w:rPr>
        <w:t xml:space="preserve"> בחידושי ר' חיים הלוי להלכות עדות </w:t>
      </w:r>
      <w:r w:rsidR="008C6D8D">
        <w:rPr>
          <w:rFonts w:cs="David"/>
          <w:rtl/>
        </w:rPr>
        <w:t>פ"</w:t>
      </w:r>
      <w:r>
        <w:rPr>
          <w:rFonts w:cs="David"/>
          <w:rtl/>
        </w:rPr>
        <w:t>ג</w:t>
      </w:r>
      <w:r w:rsidR="008C6D8D">
        <w:rPr>
          <w:rFonts w:cs="David"/>
          <w:rtl/>
        </w:rPr>
        <w:t xml:space="preserve"> </w:t>
      </w:r>
      <w:proofErr w:type="spellStart"/>
      <w:r w:rsidR="008C6D8D">
        <w:rPr>
          <w:rFonts w:cs="David"/>
          <w:rtl/>
        </w:rPr>
        <w:t>ה"</w:t>
      </w:r>
      <w:r>
        <w:rPr>
          <w:rFonts w:cs="David"/>
          <w:rtl/>
        </w:rPr>
        <w:t>ד</w:t>
      </w:r>
      <w:proofErr w:type="spellEnd"/>
      <w:r>
        <w:rPr>
          <w:rFonts w:cs="David"/>
          <w:rtl/>
        </w:rPr>
        <w:t>, המוציא מכלל זה את הדינים הנוגעים לתהליך מסירת העדות בבית דין.</w:t>
      </w:r>
    </w:p>
  </w:footnote>
  <w:footnote w:id="3">
    <w:p w:rsidR="00B5120F" w:rsidRDefault="00141826" w:rsidP="008C6D8D">
      <w:pPr>
        <w:pStyle w:val="FootnoteText"/>
      </w:pPr>
      <w:r>
        <w:rPr>
          <w:rStyle w:val="FootnoteReference"/>
          <w:rFonts w:ascii="Arial" w:hAnsi="Arial"/>
          <w:rtl/>
        </w:rPr>
        <w:footnoteRef/>
      </w:r>
      <w:r>
        <w:rPr>
          <w:rFonts w:ascii="Arial" w:hAnsi="Arial" w:cs="David"/>
        </w:rPr>
        <w:t xml:space="preserve"> </w:t>
      </w:r>
      <w:r w:rsidR="008C6D8D">
        <w:rPr>
          <w:rFonts w:ascii="Arial" w:hAnsi="Arial" w:cs="David"/>
          <w:rtl/>
        </w:rPr>
        <w:tab/>
      </w:r>
      <w:r>
        <w:rPr>
          <w:rFonts w:ascii="Arial" w:hAnsi="Arial" w:cs="David"/>
          <w:rtl/>
        </w:rPr>
        <w:t>הקובעים שכל מי שראה את המעשה ללא כוונת עדות אינו נחשב כשייך לכת ולכן אינו יכול לפגמה. ועל כן ניתן להכשיר את השטר שחתמו בו קרובים מתוך הנחה שאין בחתימתם משום כוונה להצטרף לעדות. עיין תוס</w:t>
      </w:r>
      <w:r w:rsidR="008C6D8D">
        <w:rPr>
          <w:rFonts w:ascii="Arial" w:hAnsi="Arial" w:cs="David"/>
          <w:rtl/>
        </w:rPr>
        <w:t xml:space="preserve">פות גיטין </w:t>
      </w:r>
      <w:proofErr w:type="spellStart"/>
      <w:r w:rsidR="008C6D8D">
        <w:rPr>
          <w:rFonts w:ascii="Arial" w:hAnsi="Arial" w:cs="David"/>
          <w:rtl/>
        </w:rPr>
        <w:t>יח</w:t>
      </w:r>
      <w:proofErr w:type="spellEnd"/>
      <w:r w:rsidR="008C6D8D">
        <w:rPr>
          <w:rFonts w:ascii="Arial" w:hAnsi="Arial" w:cs="David"/>
          <w:rtl/>
        </w:rPr>
        <w:t xml:space="preserve">: ד"ה אמרי ובבא </w:t>
      </w:r>
      <w:proofErr w:type="spellStart"/>
      <w:r w:rsidR="008C6D8D">
        <w:rPr>
          <w:rFonts w:ascii="Arial" w:hAnsi="Arial" w:cs="David"/>
          <w:rtl/>
        </w:rPr>
        <w:t>בתרא</w:t>
      </w:r>
      <w:proofErr w:type="spellEnd"/>
      <w:r w:rsidR="008C6D8D">
        <w:rPr>
          <w:rFonts w:ascii="Arial" w:hAnsi="Arial" w:cs="David"/>
          <w:rtl/>
        </w:rPr>
        <w:t xml:space="preserve"> </w:t>
      </w:r>
      <w:proofErr w:type="spellStart"/>
      <w:r w:rsidR="008C6D8D">
        <w:rPr>
          <w:rFonts w:ascii="Arial" w:hAnsi="Arial" w:cs="David"/>
          <w:rtl/>
        </w:rPr>
        <w:t>קס</w:t>
      </w:r>
      <w:r>
        <w:rPr>
          <w:rFonts w:ascii="Arial" w:hAnsi="Arial" w:cs="David"/>
          <w:rtl/>
        </w:rPr>
        <w:t>ב</w:t>
      </w:r>
      <w:proofErr w:type="spellEnd"/>
      <w:r>
        <w:rPr>
          <w:rFonts w:ascii="Arial" w:hAnsi="Arial" w:cs="David"/>
          <w:rtl/>
        </w:rPr>
        <w:t>: ד"</w:t>
      </w:r>
      <w:r w:rsidR="008C6D8D">
        <w:rPr>
          <w:rFonts w:ascii="Arial" w:hAnsi="Arial" w:cs="David"/>
          <w:rtl/>
        </w:rPr>
        <w:t xml:space="preserve">ה נמצא, בחידושי הרמב"ן </w:t>
      </w:r>
      <w:proofErr w:type="spellStart"/>
      <w:r w:rsidR="008C6D8D">
        <w:rPr>
          <w:rFonts w:ascii="Arial" w:hAnsi="Arial" w:cs="David"/>
          <w:rtl/>
        </w:rPr>
        <w:t>לגיטין</w:t>
      </w:r>
      <w:proofErr w:type="spellEnd"/>
      <w:r w:rsidR="008C6D8D">
        <w:rPr>
          <w:rFonts w:ascii="Arial" w:hAnsi="Arial" w:cs="David"/>
          <w:rtl/>
        </w:rPr>
        <w:t xml:space="preserve"> </w:t>
      </w:r>
      <w:proofErr w:type="spellStart"/>
      <w:r w:rsidR="008C6D8D">
        <w:rPr>
          <w:rFonts w:ascii="Arial" w:hAnsi="Arial" w:cs="David"/>
          <w:rtl/>
        </w:rPr>
        <w:t>י</w:t>
      </w:r>
      <w:r>
        <w:rPr>
          <w:rFonts w:ascii="Arial" w:hAnsi="Arial" w:cs="David"/>
          <w:rtl/>
        </w:rPr>
        <w:t>ח</w:t>
      </w:r>
      <w:proofErr w:type="spellEnd"/>
      <w:r>
        <w:rPr>
          <w:rFonts w:ascii="Arial" w:hAnsi="Arial" w:cs="David"/>
          <w:rtl/>
        </w:rPr>
        <w:t xml:space="preserve">: ד"ה מחתם וב"ב קס"ב: ד"ה </w:t>
      </w:r>
      <w:proofErr w:type="spellStart"/>
      <w:r>
        <w:rPr>
          <w:rFonts w:ascii="Arial" w:hAnsi="Arial" w:cs="David"/>
          <w:rtl/>
        </w:rPr>
        <w:t>מילאוהו</w:t>
      </w:r>
      <w:proofErr w:type="spellEnd"/>
      <w:r>
        <w:rPr>
          <w:rFonts w:ascii="Arial" w:hAnsi="Arial" w:cs="David"/>
          <w:rtl/>
        </w:rPr>
        <w:t xml:space="preserve">, ובפירושי שאר הראשונים לסוגיות הנ"ל. ועוד עיין </w:t>
      </w:r>
      <w:proofErr w:type="spellStart"/>
      <w:r>
        <w:rPr>
          <w:rFonts w:ascii="Arial" w:hAnsi="Arial" w:cs="David"/>
          <w:rtl/>
        </w:rPr>
        <w:t>בשו"ע</w:t>
      </w:r>
      <w:proofErr w:type="spellEnd"/>
      <w:r>
        <w:rPr>
          <w:rFonts w:ascii="Arial" w:hAnsi="Arial" w:cs="David"/>
          <w:rtl/>
        </w:rPr>
        <w:t xml:space="preserve"> </w:t>
      </w:r>
      <w:proofErr w:type="spellStart"/>
      <w:r>
        <w:rPr>
          <w:rFonts w:ascii="Arial" w:hAnsi="Arial" w:cs="David"/>
          <w:rtl/>
        </w:rPr>
        <w:t>חו"מ</w:t>
      </w:r>
      <w:proofErr w:type="spellEnd"/>
      <w:r>
        <w:rPr>
          <w:rFonts w:ascii="Arial" w:hAnsi="Arial" w:cs="David"/>
          <w:rtl/>
        </w:rPr>
        <w:t xml:space="preserve"> סי' מ"ה סעיף י"ב </w:t>
      </w:r>
      <w:proofErr w:type="spellStart"/>
      <w:r>
        <w:rPr>
          <w:rFonts w:ascii="Arial" w:hAnsi="Arial" w:cs="David"/>
          <w:rtl/>
        </w:rPr>
        <w:t>ובש"ך</w:t>
      </w:r>
      <w:proofErr w:type="spellEnd"/>
      <w:r>
        <w:rPr>
          <w:rFonts w:ascii="Arial" w:hAnsi="Arial" w:cs="David"/>
          <w:rtl/>
        </w:rPr>
        <w:t xml:space="preserve"> שם </w:t>
      </w:r>
      <w:proofErr w:type="spellStart"/>
      <w:r>
        <w:rPr>
          <w:rFonts w:ascii="Arial" w:hAnsi="Arial" w:cs="David"/>
          <w:rtl/>
        </w:rPr>
        <w:t>ס"ק</w:t>
      </w:r>
      <w:proofErr w:type="spellEnd"/>
      <w:r>
        <w:rPr>
          <w:rFonts w:ascii="Arial" w:hAnsi="Arial" w:cs="David"/>
          <w:rtl/>
        </w:rPr>
        <w:t xml:space="preserve"> כ"ג.</w:t>
      </w:r>
    </w:p>
  </w:footnote>
  <w:footnote w:id="4">
    <w:p w:rsidR="00B5120F" w:rsidRDefault="00141826" w:rsidP="00141826">
      <w:pPr>
        <w:pStyle w:val="FootnoteText"/>
      </w:pPr>
      <w:r>
        <w:rPr>
          <w:rStyle w:val="FootnoteReference"/>
          <w:rFonts w:ascii="Arial" w:hAnsi="Arial"/>
          <w:rtl/>
        </w:rPr>
        <w:footnoteRef/>
      </w:r>
      <w:r>
        <w:rPr>
          <w:rFonts w:ascii="Arial" w:hAnsi="Arial" w:cs="David"/>
        </w:rPr>
        <w:t xml:space="preserve"> </w:t>
      </w:r>
      <w:r w:rsidR="008C6D8D">
        <w:rPr>
          <w:rFonts w:ascii="Arial" w:hAnsi="Arial" w:cs="David"/>
        </w:rPr>
        <w:tab/>
      </w:r>
      <w:r>
        <w:rPr>
          <w:rFonts w:ascii="Arial" w:hAnsi="Arial" w:cs="David"/>
          <w:rtl/>
        </w:rPr>
        <w:t>כ. ד"ה ורבי יוחנן.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9E" w:rsidRDefault="00CA4E9E">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562FA">
      <w:rPr>
        <w:b/>
        <w:bCs/>
        <w:noProof/>
        <w:sz w:val="21"/>
        <w:rtl/>
      </w:rPr>
      <w:t>3</w:t>
    </w:r>
    <w:r>
      <w:rPr>
        <w:b/>
        <w:bCs/>
        <w:sz w:val="21"/>
        <w:rtl/>
      </w:rPr>
      <w:fldChar w:fldCharType="end"/>
    </w:r>
    <w:r>
      <w:rPr>
        <w:b/>
        <w:bCs/>
        <w:sz w:val="21"/>
        <w:rtl/>
      </w:rPr>
      <w:t xml:space="preserve"> -</w:t>
    </w:r>
  </w:p>
  <w:p w:rsidR="006F121B" w:rsidRDefault="006F121B"/>
  <w:p w:rsidR="002F33B1" w:rsidRDefault="002F33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CA4E9E">
      <w:tc>
        <w:tcPr>
          <w:tcW w:w="4927" w:type="dxa"/>
          <w:tcBorders>
            <w:top w:val="nil"/>
            <w:left w:val="nil"/>
            <w:bottom w:val="double" w:sz="4" w:space="0" w:color="auto"/>
            <w:right w:val="nil"/>
          </w:tcBorders>
        </w:tcPr>
        <w:p w:rsidR="00CA4E9E" w:rsidRDefault="00CA4E9E">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CA4E9E" w:rsidRDefault="00332489">
          <w:pPr>
            <w:pStyle w:val="Header"/>
            <w:tabs>
              <w:tab w:val="clear" w:pos="4153"/>
              <w:tab w:val="clear" w:pos="8306"/>
              <w:tab w:val="center" w:pos="4818"/>
              <w:tab w:val="right" w:pos="8220"/>
            </w:tabs>
            <w:spacing w:after="0"/>
            <w:rPr>
              <w:sz w:val="21"/>
              <w:rtl/>
            </w:rPr>
          </w:pPr>
          <w:r>
            <w:rPr>
              <w:sz w:val="21"/>
              <w:rtl/>
            </w:rPr>
            <w:t>שיעורים בעיון במסכת גיטין מאת רבני הישיבה</w:t>
          </w:r>
        </w:p>
      </w:tc>
      <w:tc>
        <w:tcPr>
          <w:tcW w:w="4927" w:type="dxa"/>
          <w:tcBorders>
            <w:top w:val="nil"/>
            <w:left w:val="nil"/>
            <w:bottom w:val="double" w:sz="4" w:space="0" w:color="auto"/>
            <w:right w:val="nil"/>
          </w:tcBorders>
          <w:vAlign w:val="center"/>
        </w:tcPr>
        <w:p w:rsidR="00CA4E9E" w:rsidRDefault="00CA4E9E" w:rsidP="00A35AA9">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CA4E9E" w:rsidRDefault="00CA4E9E">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9681CC0"/>
    <w:multiLevelType w:val="hybridMultilevel"/>
    <w:tmpl w:val="CDB40BAC"/>
    <w:lvl w:ilvl="0" w:tplc="EDF67F0E">
      <w:start w:val="1"/>
      <w:numFmt w:val="hebrew1"/>
      <w:lvlText w:val="%1."/>
      <w:lvlJc w:val="left"/>
      <w:pPr>
        <w:tabs>
          <w:tab w:val="num" w:pos="720"/>
        </w:tabs>
        <w:ind w:left="720" w:hanging="360"/>
      </w:pPr>
      <w:rPr>
        <w:rFonts w:cs="Times New Roman" w:hint="default"/>
        <w:sz w:val="2"/>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nsid w:val="3A60430B"/>
    <w:multiLevelType w:val="singleLevel"/>
    <w:tmpl w:val="040D000F"/>
    <w:lvl w:ilvl="0">
      <w:start w:val="1"/>
      <w:numFmt w:val="decimal"/>
      <w:lvlText w:val="%1."/>
      <w:lvlJc w:val="center"/>
      <w:pPr>
        <w:tabs>
          <w:tab w:val="num" w:pos="648"/>
        </w:tabs>
        <w:ind w:hanging="72"/>
      </w:pPr>
      <w:rPr>
        <w:rFonts w:cs="Miriam"/>
      </w:r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C467BCF"/>
    <w:multiLevelType w:val="singleLevel"/>
    <w:tmpl w:val="040D000F"/>
    <w:lvl w:ilvl="0">
      <w:start w:val="1"/>
      <w:numFmt w:val="decimal"/>
      <w:lvlText w:val="%1."/>
      <w:lvlJc w:val="center"/>
      <w:pPr>
        <w:tabs>
          <w:tab w:val="num" w:pos="648"/>
        </w:tabs>
        <w:ind w:hanging="72"/>
      </w:pPr>
      <w:rPr>
        <w:rFonts w:cs="Miriam"/>
      </w:rPr>
    </w:lvl>
  </w:abstractNum>
  <w:abstractNum w:abstractNumId="17">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nsid w:val="41EF2D46"/>
    <w:multiLevelType w:val="hybridMultilevel"/>
    <w:tmpl w:val="282EEE1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nsid w:val="47D73A76"/>
    <w:multiLevelType w:val="hybridMultilevel"/>
    <w:tmpl w:val="2AB00D62"/>
    <w:lvl w:ilvl="0" w:tplc="EDF67F0E">
      <w:start w:val="1"/>
      <w:numFmt w:val="hebrew1"/>
      <w:lvlText w:val="%1."/>
      <w:lvlJc w:val="left"/>
      <w:pPr>
        <w:tabs>
          <w:tab w:val="num" w:pos="720"/>
        </w:tabs>
        <w:ind w:left="720" w:hanging="360"/>
      </w:pPr>
      <w:rPr>
        <w:rFonts w:cs="Times New Roman" w:hint="default"/>
        <w:sz w:val="2"/>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nsid w:val="562D425B"/>
    <w:multiLevelType w:val="hybridMultilevel"/>
    <w:tmpl w:val="B4E0857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5">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6">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7">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8">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9">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1">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2">
    <w:nsid w:val="695705C6"/>
    <w:multiLevelType w:val="hybridMultilevel"/>
    <w:tmpl w:val="CF52312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972175B"/>
    <w:multiLevelType w:val="hybridMultilevel"/>
    <w:tmpl w:val="588C654E"/>
    <w:lvl w:ilvl="0" w:tplc="EDF67F0E">
      <w:start w:val="1"/>
      <w:numFmt w:val="hebrew1"/>
      <w:lvlText w:val="%1."/>
      <w:lvlJc w:val="left"/>
      <w:pPr>
        <w:tabs>
          <w:tab w:val="num" w:pos="720"/>
        </w:tabs>
        <w:ind w:left="720" w:hanging="360"/>
      </w:pPr>
      <w:rPr>
        <w:rFonts w:cs="Times New Roman" w:hint="default"/>
        <w:sz w:val="2"/>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8">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34"/>
  </w:num>
  <w:num w:numId="2">
    <w:abstractNumId w:val="27"/>
  </w:num>
  <w:num w:numId="3">
    <w:abstractNumId w:val="38"/>
  </w:num>
  <w:num w:numId="4">
    <w:abstractNumId w:val="17"/>
  </w:num>
  <w:num w:numId="5">
    <w:abstractNumId w:val="5"/>
  </w:num>
  <w:num w:numId="6">
    <w:abstractNumId w:val="30"/>
  </w:num>
  <w:num w:numId="7">
    <w:abstractNumId w:val="13"/>
  </w:num>
  <w:num w:numId="8">
    <w:abstractNumId w:val="37"/>
  </w:num>
  <w:num w:numId="9">
    <w:abstractNumId w:val="0"/>
  </w:num>
  <w:num w:numId="10">
    <w:abstractNumId w:val="7"/>
  </w:num>
  <w:num w:numId="11">
    <w:abstractNumId w:val="31"/>
  </w:num>
  <w:num w:numId="12">
    <w:abstractNumId w:val="9"/>
  </w:num>
  <w:num w:numId="13">
    <w:abstractNumId w:val="24"/>
  </w:num>
  <w:num w:numId="14">
    <w:abstractNumId w:val="19"/>
  </w:num>
  <w:num w:numId="15">
    <w:abstractNumId w:val="26"/>
  </w:num>
  <w:num w:numId="16">
    <w:abstractNumId w:val="8"/>
  </w:num>
  <w:num w:numId="17">
    <w:abstractNumId w:val="12"/>
  </w:num>
  <w:num w:numId="18">
    <w:abstractNumId w:val="15"/>
  </w:num>
  <w:num w:numId="19">
    <w:abstractNumId w:val="29"/>
  </w:num>
  <w:num w:numId="20">
    <w:abstractNumId w:val="4"/>
  </w:num>
  <w:num w:numId="21">
    <w:abstractNumId w:val="28"/>
  </w:num>
  <w:num w:numId="22">
    <w:abstractNumId w:val="6"/>
  </w:num>
  <w:num w:numId="23">
    <w:abstractNumId w:val="10"/>
  </w:num>
  <w:num w:numId="24">
    <w:abstractNumId w:val="3"/>
  </w:num>
  <w:num w:numId="25">
    <w:abstractNumId w:val="20"/>
  </w:num>
  <w:num w:numId="26">
    <w:abstractNumId w:val="36"/>
  </w:num>
  <w:num w:numId="27">
    <w:abstractNumId w:val="1"/>
  </w:num>
  <w:num w:numId="28">
    <w:abstractNumId w:val="35"/>
  </w:num>
  <w:num w:numId="29">
    <w:abstractNumId w:val="11"/>
  </w:num>
  <w:num w:numId="30">
    <w:abstractNumId w:val="25"/>
  </w:num>
  <w:num w:numId="31">
    <w:abstractNumId w:val="22"/>
  </w:num>
  <w:num w:numId="32">
    <w:abstractNumId w:val="18"/>
  </w:num>
  <w:num w:numId="33">
    <w:abstractNumId w:val="21"/>
  </w:num>
  <w:num w:numId="34">
    <w:abstractNumId w:val="33"/>
  </w:num>
  <w:num w:numId="35">
    <w:abstractNumId w:val="32"/>
  </w:num>
  <w:num w:numId="36">
    <w:abstractNumId w:val="23"/>
  </w:num>
  <w:num w:numId="37">
    <w:abstractNumId w:val="2"/>
  </w:num>
  <w:num w:numId="38">
    <w:abstractNumId w:val="1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D6"/>
    <w:rsid w:val="00007BF6"/>
    <w:rsid w:val="000101AC"/>
    <w:rsid w:val="00021AD6"/>
    <w:rsid w:val="00033D21"/>
    <w:rsid w:val="0005121A"/>
    <w:rsid w:val="000B2015"/>
    <w:rsid w:val="000B6138"/>
    <w:rsid w:val="000B68CE"/>
    <w:rsid w:val="000C3095"/>
    <w:rsid w:val="000E3F6D"/>
    <w:rsid w:val="001225F6"/>
    <w:rsid w:val="001231AC"/>
    <w:rsid w:val="00141826"/>
    <w:rsid w:val="0016009A"/>
    <w:rsid w:val="00196895"/>
    <w:rsid w:val="001C1C7E"/>
    <w:rsid w:val="0020679D"/>
    <w:rsid w:val="002237D8"/>
    <w:rsid w:val="00233098"/>
    <w:rsid w:val="002523B4"/>
    <w:rsid w:val="002562FA"/>
    <w:rsid w:val="002564F5"/>
    <w:rsid w:val="00256B1A"/>
    <w:rsid w:val="002B3F3B"/>
    <w:rsid w:val="002F33B1"/>
    <w:rsid w:val="00332489"/>
    <w:rsid w:val="0035650D"/>
    <w:rsid w:val="003823EE"/>
    <w:rsid w:val="003949F7"/>
    <w:rsid w:val="00396005"/>
    <w:rsid w:val="003C25AA"/>
    <w:rsid w:val="003F46C7"/>
    <w:rsid w:val="004808FA"/>
    <w:rsid w:val="0051404B"/>
    <w:rsid w:val="00515146"/>
    <w:rsid w:val="00584F1F"/>
    <w:rsid w:val="00590C89"/>
    <w:rsid w:val="005A507F"/>
    <w:rsid w:val="005A6120"/>
    <w:rsid w:val="00604AB4"/>
    <w:rsid w:val="0064200B"/>
    <w:rsid w:val="006A2D30"/>
    <w:rsid w:val="006E3229"/>
    <w:rsid w:val="006F121B"/>
    <w:rsid w:val="006F6533"/>
    <w:rsid w:val="00706E99"/>
    <w:rsid w:val="007675FA"/>
    <w:rsid w:val="007B242A"/>
    <w:rsid w:val="007C35D6"/>
    <w:rsid w:val="007E3FB0"/>
    <w:rsid w:val="007F249F"/>
    <w:rsid w:val="008356F7"/>
    <w:rsid w:val="00840E99"/>
    <w:rsid w:val="00883332"/>
    <w:rsid w:val="008C6D8D"/>
    <w:rsid w:val="008F3595"/>
    <w:rsid w:val="008F6C19"/>
    <w:rsid w:val="00962F80"/>
    <w:rsid w:val="0097110F"/>
    <w:rsid w:val="0098493C"/>
    <w:rsid w:val="009B12A5"/>
    <w:rsid w:val="009B3191"/>
    <w:rsid w:val="009C7457"/>
    <w:rsid w:val="009F5229"/>
    <w:rsid w:val="009F799E"/>
    <w:rsid w:val="00A22DD9"/>
    <w:rsid w:val="00A35AA9"/>
    <w:rsid w:val="00A36B61"/>
    <w:rsid w:val="00AC1A77"/>
    <w:rsid w:val="00AF62DD"/>
    <w:rsid w:val="00B002C8"/>
    <w:rsid w:val="00B27C2F"/>
    <w:rsid w:val="00B5120F"/>
    <w:rsid w:val="00BA67E7"/>
    <w:rsid w:val="00BC3090"/>
    <w:rsid w:val="00BC3E32"/>
    <w:rsid w:val="00BF14F5"/>
    <w:rsid w:val="00BF4FF3"/>
    <w:rsid w:val="00C61349"/>
    <w:rsid w:val="00C74E38"/>
    <w:rsid w:val="00CA4E9E"/>
    <w:rsid w:val="00D14F5C"/>
    <w:rsid w:val="00D246FA"/>
    <w:rsid w:val="00D634D6"/>
    <w:rsid w:val="00D762F5"/>
    <w:rsid w:val="00D846AD"/>
    <w:rsid w:val="00D86BFD"/>
    <w:rsid w:val="00D941C6"/>
    <w:rsid w:val="00DE46F3"/>
    <w:rsid w:val="00E00BAC"/>
    <w:rsid w:val="00E44AC6"/>
    <w:rsid w:val="00EB2165"/>
    <w:rsid w:val="00EC3EA1"/>
    <w:rsid w:val="00ED26CB"/>
    <w:rsid w:val="00ED4507"/>
    <w:rsid w:val="00F6794D"/>
    <w:rsid w:val="00F70934"/>
    <w:rsid w:val="00F83040"/>
    <w:rsid w:val="00F91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styleId="Quote">
    <w:name w:val="Quote"/>
    <w:basedOn w:val="Normal"/>
    <w:link w:val="QuoteChar"/>
    <w:uiPriority w:val="99"/>
    <w:qFormat/>
    <w:rsid w:val="00CA4E9E"/>
    <w:pPr>
      <w:tabs>
        <w:tab w:val="right" w:pos="4620"/>
      </w:tabs>
      <w:ind w:left="567"/>
    </w:pPr>
  </w:style>
  <w:style w:type="character" w:customStyle="1" w:styleId="QuoteChar">
    <w:name w:val="Quote Char"/>
    <w:basedOn w:val="DefaultParagraphFont"/>
    <w:link w:val="Quote"/>
    <w:uiPriority w:val="29"/>
    <w:locked/>
    <w:rPr>
      <w:rFonts w:cs="Narkisim"/>
      <w:i/>
      <w:iCs/>
      <w:color w:val="000000" w:themeColor="text1"/>
      <w:sz w:val="20"/>
      <w:lang w:bidi="he-IL"/>
    </w:rPr>
  </w:style>
  <w:style w:type="paragraph" w:customStyle="1" w:styleId="a0">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0"/>
    <w:uiPriority w:val="99"/>
    <w:pPr>
      <w:spacing w:after="60"/>
    </w:pPr>
    <w:rPr>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
    <w:name w:val="סגנון1"/>
    <w:basedOn w:val="Quote"/>
    <w:uiPriority w:val="99"/>
  </w:style>
  <w:style w:type="paragraph" w:customStyle="1" w:styleId="20">
    <w:name w:val="סגנון2"/>
    <w:basedOn w:val="Quote"/>
    <w:uiPriority w:val="99"/>
  </w:style>
  <w:style w:type="paragraph" w:customStyle="1" w:styleId="30">
    <w:name w:val="סגנון3"/>
    <w:basedOn w:val="Normal"/>
    <w:uiPriority w:val="99"/>
    <w:rPr>
      <w:sz w:val="21"/>
    </w:rPr>
  </w:style>
  <w:style w:type="paragraph" w:customStyle="1" w:styleId="a2">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character" w:styleId="Strong">
    <w:name w:val="Strong"/>
    <w:uiPriority w:val="22"/>
    <w:qFormat/>
    <w:rsid w:val="0098493C"/>
    <w:rPr>
      <w:b/>
      <w:bCs/>
    </w:rPr>
  </w:style>
  <w:style w:type="character" w:styleId="FollowedHyperlink">
    <w:name w:val="FollowedHyperlink"/>
    <w:basedOn w:val="DefaultParagraphFont"/>
    <w:uiPriority w:val="99"/>
    <w:semiHidden/>
    <w:unhideWhenUsed/>
    <w:rsid w:val="002562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styleId="Quote">
    <w:name w:val="Quote"/>
    <w:basedOn w:val="Normal"/>
    <w:link w:val="QuoteChar"/>
    <w:uiPriority w:val="99"/>
    <w:qFormat/>
    <w:rsid w:val="00CA4E9E"/>
    <w:pPr>
      <w:tabs>
        <w:tab w:val="right" w:pos="4620"/>
      </w:tabs>
      <w:ind w:left="567"/>
    </w:pPr>
  </w:style>
  <w:style w:type="character" w:customStyle="1" w:styleId="QuoteChar">
    <w:name w:val="Quote Char"/>
    <w:basedOn w:val="DefaultParagraphFont"/>
    <w:link w:val="Quote"/>
    <w:uiPriority w:val="29"/>
    <w:locked/>
    <w:rPr>
      <w:rFonts w:cs="Narkisim"/>
      <w:i/>
      <w:iCs/>
      <w:color w:val="000000" w:themeColor="text1"/>
      <w:sz w:val="20"/>
      <w:lang w:bidi="he-IL"/>
    </w:rPr>
  </w:style>
  <w:style w:type="paragraph" w:customStyle="1" w:styleId="a0">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0"/>
    <w:uiPriority w:val="99"/>
    <w:pPr>
      <w:spacing w:after="60"/>
    </w:pPr>
    <w:rPr>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
    <w:name w:val="סגנון1"/>
    <w:basedOn w:val="Quote"/>
    <w:uiPriority w:val="99"/>
  </w:style>
  <w:style w:type="paragraph" w:customStyle="1" w:styleId="20">
    <w:name w:val="סגנון2"/>
    <w:basedOn w:val="Quote"/>
    <w:uiPriority w:val="99"/>
  </w:style>
  <w:style w:type="paragraph" w:customStyle="1" w:styleId="30">
    <w:name w:val="סגנון3"/>
    <w:basedOn w:val="Normal"/>
    <w:uiPriority w:val="99"/>
    <w:rPr>
      <w:sz w:val="21"/>
    </w:rPr>
  </w:style>
  <w:style w:type="paragraph" w:customStyle="1" w:styleId="a2">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character" w:styleId="Strong">
    <w:name w:val="Strong"/>
    <w:uiPriority w:val="22"/>
    <w:qFormat/>
    <w:rsid w:val="0098493C"/>
    <w:rPr>
      <w:b/>
      <w:bCs/>
    </w:rPr>
  </w:style>
  <w:style w:type="character" w:styleId="FollowedHyperlink">
    <w:name w:val="FollowedHyperlink"/>
    <w:basedOn w:val="DefaultParagraphFont"/>
    <w:uiPriority w:val="99"/>
    <w:semiHidden/>
    <w:unhideWhenUsed/>
    <w:rsid w:val="002562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2109</Words>
  <Characters>9326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3</cp:revision>
  <cp:lastPrinted>2001-10-24T11:13:00Z</cp:lastPrinted>
  <dcterms:created xsi:type="dcterms:W3CDTF">2019-01-03T09:04:00Z</dcterms:created>
  <dcterms:modified xsi:type="dcterms:W3CDTF">2019-01-03T09:10:00Z</dcterms:modified>
</cp:coreProperties>
</file>