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0C" w:rsidRDefault="0054460C" w:rsidP="00D11D96">
      <w:pPr>
        <w:pStyle w:val="a3"/>
      </w:pPr>
      <w:r w:rsidRPr="00D11D96">
        <w:rPr>
          <w:rtl/>
        </w:rPr>
        <w:t xml:space="preserve">הרב יאיר </w:t>
      </w:r>
      <w:proofErr w:type="spellStart"/>
      <w:r w:rsidRPr="00D11D96">
        <w:rPr>
          <w:rtl/>
        </w:rPr>
        <w:t>קאהן</w:t>
      </w:r>
      <w:proofErr w:type="spellEnd"/>
    </w:p>
    <w:p w:rsidR="000A6E46" w:rsidRPr="00D11D96" w:rsidRDefault="000A6E46" w:rsidP="00D11D96">
      <w:pPr>
        <w:pStyle w:val="a3"/>
        <w:rPr>
          <w:rtl/>
        </w:rPr>
      </w:pPr>
    </w:p>
    <w:p w:rsidR="00D11D96" w:rsidRDefault="000A6E46" w:rsidP="000A6E46">
      <w:pPr>
        <w:pStyle w:val="a3"/>
        <w:jc w:val="left"/>
        <w:rPr>
          <w:sz w:val="36"/>
          <w:szCs w:val="36"/>
        </w:rPr>
      </w:pPr>
      <w:r w:rsidRPr="000A6E46">
        <w:rPr>
          <w:sz w:val="36"/>
          <w:szCs w:val="36"/>
          <w:rtl/>
        </w:rPr>
        <w:t xml:space="preserve">גיטין </w:t>
      </w:r>
      <w:proofErr w:type="spellStart"/>
      <w:r w:rsidRPr="000A6E46">
        <w:rPr>
          <w:sz w:val="36"/>
          <w:szCs w:val="36"/>
          <w:rtl/>
        </w:rPr>
        <w:t>כט.</w:t>
      </w:r>
      <w:proofErr w:type="spellEnd"/>
      <w:r w:rsidRPr="000A6E46">
        <w:rPr>
          <w:sz w:val="36"/>
          <w:szCs w:val="36"/>
        </w:rPr>
        <w:t xml:space="preserve"> </w:t>
      </w:r>
      <w:bookmarkStart w:id="0" w:name="_GoBack"/>
      <w:r w:rsidR="00D11D96" w:rsidRPr="000A6E46">
        <w:rPr>
          <w:sz w:val="36"/>
          <w:szCs w:val="36"/>
          <w:rtl/>
        </w:rPr>
        <w:t>המביא גט וחלה</w:t>
      </w:r>
      <w:bookmarkEnd w:id="0"/>
    </w:p>
    <w:p w:rsidR="000A6E46" w:rsidRPr="000A6E46" w:rsidRDefault="000A6E46" w:rsidP="000A6E46">
      <w:pPr>
        <w:pStyle w:val="a3"/>
        <w:jc w:val="left"/>
        <w:rPr>
          <w:sz w:val="24"/>
          <w:rtl/>
        </w:rPr>
      </w:pPr>
    </w:p>
    <w:p w:rsidR="0054460C" w:rsidRDefault="00D11D96" w:rsidP="00D11D96">
      <w:pPr>
        <w:pStyle w:val="2"/>
        <w:rPr>
          <w:rtl/>
        </w:rPr>
      </w:pPr>
      <w:r>
        <w:rPr>
          <w:rtl/>
        </w:rPr>
        <w:t>מקורות</w:t>
      </w:r>
    </w:p>
    <w:p w:rsidR="0054460C" w:rsidRDefault="0054460C" w:rsidP="00D11D96">
      <w:pPr>
        <w:rPr>
          <w:rtl/>
        </w:rPr>
      </w:pPr>
      <w:r>
        <w:rPr>
          <w:rtl/>
        </w:rPr>
        <w:t xml:space="preserve">1. משנה דף </w:t>
      </w:r>
      <w:proofErr w:type="spellStart"/>
      <w:r>
        <w:rPr>
          <w:rtl/>
        </w:rPr>
        <w:t>כט</w:t>
      </w:r>
      <w:proofErr w:type="spellEnd"/>
      <w:r>
        <w:rPr>
          <w:rtl/>
        </w:rPr>
        <w:t>., גמרא עד "כגט".</w:t>
      </w:r>
    </w:p>
    <w:p w:rsidR="0054460C" w:rsidRDefault="0054460C" w:rsidP="00D11D96">
      <w:pPr>
        <w:rPr>
          <w:rtl/>
        </w:rPr>
      </w:pPr>
      <w:r>
        <w:rPr>
          <w:rtl/>
        </w:rPr>
        <w:t xml:space="preserve">2. </w:t>
      </w:r>
      <w:proofErr w:type="spellStart"/>
      <w:r>
        <w:rPr>
          <w:rtl/>
        </w:rPr>
        <w:t>תוד"ה</w:t>
      </w:r>
      <w:proofErr w:type="spellEnd"/>
      <w:r>
        <w:rPr>
          <w:rtl/>
        </w:rPr>
        <w:t xml:space="preserve"> </w:t>
      </w:r>
      <w:proofErr w:type="spellStart"/>
      <w:r>
        <w:rPr>
          <w:rtl/>
        </w:rPr>
        <w:t>רשב"ג</w:t>
      </w:r>
      <w:proofErr w:type="spellEnd"/>
      <w:r>
        <w:rPr>
          <w:rtl/>
        </w:rPr>
        <w:t xml:space="preserve">, רמב"ן ד"ה </w:t>
      </w:r>
      <w:proofErr w:type="spellStart"/>
      <w:r>
        <w:rPr>
          <w:rtl/>
        </w:rPr>
        <w:t>א"ר</w:t>
      </w:r>
      <w:proofErr w:type="spellEnd"/>
      <w:r>
        <w:rPr>
          <w:rtl/>
        </w:rPr>
        <w:t xml:space="preserve"> כהנא.</w:t>
      </w:r>
    </w:p>
    <w:p w:rsidR="0054460C" w:rsidRDefault="0054460C" w:rsidP="00333FAC">
      <w:pPr>
        <w:ind w:left="196" w:hanging="196"/>
        <w:rPr>
          <w:rtl/>
        </w:rPr>
      </w:pPr>
      <w:r>
        <w:rPr>
          <w:rtl/>
        </w:rPr>
        <w:t>3.</w:t>
      </w:r>
      <w:r w:rsidR="00333FAC">
        <w:rPr>
          <w:rtl/>
        </w:rPr>
        <w:t> </w:t>
      </w:r>
      <w:proofErr w:type="spellStart"/>
      <w:r>
        <w:rPr>
          <w:rtl/>
        </w:rPr>
        <w:t>רי"ף</w:t>
      </w:r>
      <w:proofErr w:type="spellEnd"/>
      <w:r>
        <w:rPr>
          <w:rtl/>
        </w:rPr>
        <w:t xml:space="preserve"> [דף יד. בדפי </w:t>
      </w:r>
      <w:proofErr w:type="spellStart"/>
      <w:r>
        <w:rPr>
          <w:rtl/>
        </w:rPr>
        <w:t>הרי"ף</w:t>
      </w:r>
      <w:proofErr w:type="spellEnd"/>
      <w:r>
        <w:rPr>
          <w:rtl/>
        </w:rPr>
        <w:t xml:space="preserve">] עד "וכן הדעת נוטה", השגת </w:t>
      </w:r>
      <w:proofErr w:type="spellStart"/>
      <w:r>
        <w:rPr>
          <w:rtl/>
        </w:rPr>
        <w:t>הראב"ד</w:t>
      </w:r>
      <w:proofErr w:type="spellEnd"/>
      <w:r>
        <w:rPr>
          <w:rtl/>
        </w:rPr>
        <w:t>.</w:t>
      </w:r>
    </w:p>
    <w:p w:rsidR="0054460C" w:rsidRDefault="0054460C" w:rsidP="00333FAC">
      <w:pPr>
        <w:rPr>
          <w:rtl/>
        </w:rPr>
      </w:pPr>
      <w:r>
        <w:rPr>
          <w:rtl/>
        </w:rPr>
        <w:t xml:space="preserve">4. תוספות </w:t>
      </w:r>
      <w:proofErr w:type="spellStart"/>
      <w:r>
        <w:rPr>
          <w:rtl/>
        </w:rPr>
        <w:t>הרי"ד</w:t>
      </w:r>
      <w:proofErr w:type="spellEnd"/>
      <w:r>
        <w:rPr>
          <w:rtl/>
        </w:rPr>
        <w:t xml:space="preserve"> דף </w:t>
      </w:r>
      <w:proofErr w:type="spellStart"/>
      <w:r>
        <w:rPr>
          <w:rtl/>
        </w:rPr>
        <w:t>סו</w:t>
      </w:r>
      <w:proofErr w:type="spellEnd"/>
      <w:r>
        <w:rPr>
          <w:rtl/>
        </w:rPr>
        <w:t>: "ומיכן יש להוכיח...".</w:t>
      </w:r>
    </w:p>
    <w:p w:rsidR="0054460C" w:rsidRDefault="0054460C" w:rsidP="00D11D96">
      <w:pPr>
        <w:rPr>
          <w:rtl/>
        </w:rPr>
      </w:pPr>
      <w:r>
        <w:rPr>
          <w:rtl/>
        </w:rPr>
        <w:t xml:space="preserve">5. מרדכי </w:t>
      </w:r>
      <w:proofErr w:type="spellStart"/>
      <w:r>
        <w:rPr>
          <w:rtl/>
        </w:rPr>
        <w:t>גטין</w:t>
      </w:r>
      <w:proofErr w:type="spellEnd"/>
      <w:r>
        <w:rPr>
          <w:rtl/>
        </w:rPr>
        <w:t xml:space="preserve"> סימן ת"כ, מרדכי קידושין סימן תק"ה.</w:t>
      </w:r>
    </w:p>
    <w:p w:rsidR="0054460C" w:rsidRDefault="0054460C" w:rsidP="00D11D96">
      <w:pPr>
        <w:rPr>
          <w:rtl/>
        </w:rPr>
      </w:pPr>
      <w:r>
        <w:rPr>
          <w:rtl/>
        </w:rPr>
        <w:t xml:space="preserve">6. קצות החושן סימן קפ"ח </w:t>
      </w:r>
      <w:proofErr w:type="spellStart"/>
      <w:r>
        <w:rPr>
          <w:rtl/>
        </w:rPr>
        <w:t>ס"ק</w:t>
      </w:r>
      <w:proofErr w:type="spellEnd"/>
      <w:r>
        <w:rPr>
          <w:rtl/>
        </w:rPr>
        <w:t xml:space="preserve"> ב.</w:t>
      </w:r>
    </w:p>
    <w:p w:rsidR="0054460C" w:rsidRDefault="00D11D96" w:rsidP="00D11D96">
      <w:pPr>
        <w:pStyle w:val="2"/>
        <w:rPr>
          <w:rtl/>
        </w:rPr>
      </w:pPr>
      <w:r>
        <w:rPr>
          <w:rtl/>
        </w:rPr>
        <w:t>שאלות הכנה</w:t>
      </w:r>
    </w:p>
    <w:p w:rsidR="0054460C" w:rsidRDefault="0054460C" w:rsidP="00D11D96">
      <w:pPr>
        <w:rPr>
          <w:rtl/>
        </w:rPr>
      </w:pPr>
      <w:r>
        <w:rPr>
          <w:rtl/>
        </w:rPr>
        <w:t xml:space="preserve">1. מהו יסוד המחלוקת בין </w:t>
      </w:r>
      <w:proofErr w:type="spellStart"/>
      <w:r>
        <w:rPr>
          <w:rtl/>
        </w:rPr>
        <w:t>רשב"ג</w:t>
      </w:r>
      <w:proofErr w:type="spellEnd"/>
      <w:r>
        <w:rPr>
          <w:rtl/>
        </w:rPr>
        <w:t xml:space="preserve"> וחכמים?</w:t>
      </w:r>
    </w:p>
    <w:p w:rsidR="0054460C" w:rsidRDefault="0054460C" w:rsidP="00333FAC">
      <w:pPr>
        <w:ind w:left="196" w:hanging="196"/>
        <w:rPr>
          <w:rtl/>
        </w:rPr>
      </w:pPr>
      <w:r>
        <w:rPr>
          <w:rtl/>
        </w:rPr>
        <w:t>2.</w:t>
      </w:r>
      <w:r w:rsidR="00333FAC">
        <w:rPr>
          <w:rtl/>
        </w:rPr>
        <w:t> </w:t>
      </w:r>
      <w:r>
        <w:rPr>
          <w:rtl/>
        </w:rPr>
        <w:t xml:space="preserve">האם </w:t>
      </w:r>
      <w:proofErr w:type="spellStart"/>
      <w:r>
        <w:rPr>
          <w:rtl/>
        </w:rPr>
        <w:t>רשב"ג</w:t>
      </w:r>
      <w:proofErr w:type="spellEnd"/>
      <w:r>
        <w:rPr>
          <w:rtl/>
        </w:rPr>
        <w:t xml:space="preserve"> מקבל את הדרשה "'ושלח-ושלחה' - מלמד שהשליח עושה שליח"?</w:t>
      </w:r>
    </w:p>
    <w:p w:rsidR="0054460C" w:rsidRDefault="0054460C" w:rsidP="00D11D96">
      <w:pPr>
        <w:rPr>
          <w:rtl/>
        </w:rPr>
      </w:pPr>
      <w:r>
        <w:rPr>
          <w:rtl/>
        </w:rPr>
        <w:t>3. מהן שתי הדעות שמביא הקצות בעניין שליחות?</w:t>
      </w:r>
    </w:p>
    <w:p w:rsidR="0054460C" w:rsidRDefault="0054460C" w:rsidP="00D11D96">
      <w:pPr>
        <w:rPr>
          <w:rtl/>
        </w:rPr>
      </w:pPr>
      <w:r>
        <w:rPr>
          <w:rtl/>
        </w:rPr>
        <w:t xml:space="preserve">4. איך מגדיר </w:t>
      </w:r>
      <w:proofErr w:type="spellStart"/>
      <w:r>
        <w:rPr>
          <w:rtl/>
        </w:rPr>
        <w:t>המרדכי</w:t>
      </w:r>
      <w:proofErr w:type="spellEnd"/>
      <w:r>
        <w:rPr>
          <w:rtl/>
        </w:rPr>
        <w:t xml:space="preserve"> מילי?</w:t>
      </w:r>
    </w:p>
    <w:p w:rsidR="0054460C" w:rsidRDefault="004A0F71" w:rsidP="004A0F71">
      <w:pPr>
        <w:pStyle w:val="2"/>
        <w:rPr>
          <w:rtl/>
        </w:rPr>
      </w:pPr>
      <w:r>
        <w:rPr>
          <w:rtl/>
        </w:rPr>
        <w:t>שליח עושה שליח בגט</w:t>
      </w:r>
    </w:p>
    <w:p w:rsidR="00333FAC" w:rsidRDefault="00333FAC" w:rsidP="00333FAC">
      <w:pPr>
        <w:rPr>
          <w:rtl/>
        </w:rPr>
      </w:pPr>
      <w:r>
        <w:rPr>
          <w:rtl/>
        </w:rPr>
        <w:t>שנינו:</w:t>
      </w:r>
    </w:p>
    <w:p w:rsidR="00333FAC" w:rsidRDefault="0054460C" w:rsidP="00333FAC">
      <w:pPr>
        <w:pStyle w:val="a0"/>
        <w:rPr>
          <w:rtl/>
        </w:rPr>
      </w:pPr>
      <w:r>
        <w:rPr>
          <w:rtl/>
        </w:rPr>
        <w:t>"המביא גט בארץ ישראל וחלה, הרי זה משלחו ביד אחר"</w:t>
      </w:r>
      <w:r w:rsidR="00333FAC">
        <w:rPr>
          <w:rtl/>
        </w:rPr>
        <w:tab/>
        <w:t xml:space="preserve">(דף </w:t>
      </w:r>
      <w:proofErr w:type="spellStart"/>
      <w:r w:rsidR="00333FAC">
        <w:rPr>
          <w:rtl/>
        </w:rPr>
        <w:t>כט</w:t>
      </w:r>
      <w:proofErr w:type="spellEnd"/>
      <w:r w:rsidR="00333FAC">
        <w:rPr>
          <w:rtl/>
        </w:rPr>
        <w:t>.)</w:t>
      </w:r>
      <w:r>
        <w:rPr>
          <w:rtl/>
        </w:rPr>
        <w:t>.</w:t>
      </w:r>
    </w:p>
    <w:p w:rsidR="00133D8A" w:rsidRDefault="0054460C" w:rsidP="00D11D96">
      <w:pPr>
        <w:rPr>
          <w:rtl/>
        </w:rPr>
      </w:pPr>
      <w:r>
        <w:rPr>
          <w:rtl/>
        </w:rPr>
        <w:t>הגמרא דנה אם האפשרות לשלוח את הגט ביד אחר קיימת רק במקרה חירום, כגון שהשליח חלה ואינו מסוגל למסרו בעצמו, או שמא חלה אינו אלא בגדר "</w:t>
      </w:r>
      <w:proofErr w:type="spellStart"/>
      <w:r>
        <w:rPr>
          <w:rtl/>
        </w:rPr>
        <w:t>היכי</w:t>
      </w:r>
      <w:proofErr w:type="spellEnd"/>
      <w:r>
        <w:rPr>
          <w:rtl/>
        </w:rPr>
        <w:t xml:space="preserve"> תמצי" המנמק מדוע אין השליח מוסרו בעצמו, והגט כשר גם אם השליח מסרו על ידי אחר על אף שאינו חולה. רב כהנא קבע שמסירה לשליח אחר כשרה רק אם השליח הראשון חלה.</w:t>
      </w:r>
    </w:p>
    <w:p w:rsidR="0054460C" w:rsidRDefault="0054460C" w:rsidP="00D11D96">
      <w:pPr>
        <w:rPr>
          <w:rtl/>
        </w:rPr>
      </w:pPr>
      <w:r>
        <w:rPr>
          <w:rtl/>
        </w:rPr>
        <w:t>לכאורה הגבלה זו נובעת רק מהקפדת הבעל, אבל באופן עקרוני מותר לשליח למסור את הגט לשליח אחר. שהרי אילו נאמר שאין כוח ביד השליח למסור את הגט לשליח אחר, לכאורה הוא הדין בחלה, ועל כורחנו שהסיבה שאין שליח עושה שליח אם לא חלה אינה אלא שהבעל מקפיד אם השליח שלו מוסר את הגט לשליח אחר ללא שום הצדקה. ואם כן, דין זה הוא כעין הסיפא של המשנה, הדנה בהקפדת הבעל במקרה של פיקדון משום שאין רצונו שיהא פיקדונו ביד אחר.</w:t>
      </w:r>
    </w:p>
    <w:p w:rsidR="004A0F71" w:rsidRDefault="004A0F71" w:rsidP="002C089F">
      <w:pPr>
        <w:pStyle w:val="2"/>
        <w:rPr>
          <w:rtl/>
        </w:rPr>
      </w:pPr>
      <w:r>
        <w:rPr>
          <w:rtl/>
        </w:rPr>
        <w:t xml:space="preserve">מחלוקת </w:t>
      </w:r>
      <w:proofErr w:type="spellStart"/>
      <w:r>
        <w:rPr>
          <w:rtl/>
        </w:rPr>
        <w:t>רשב"ג</w:t>
      </w:r>
      <w:proofErr w:type="spellEnd"/>
      <w:r>
        <w:rPr>
          <w:rtl/>
        </w:rPr>
        <w:t xml:space="preserve"> וחכמים</w:t>
      </w:r>
    </w:p>
    <w:p w:rsidR="00333FAC" w:rsidRDefault="00133D8A" w:rsidP="00D11D96">
      <w:pPr>
        <w:rPr>
          <w:rtl/>
        </w:rPr>
      </w:pPr>
      <w:r>
        <w:rPr>
          <w:rtl/>
        </w:rPr>
        <w:t>בהמשך,</w:t>
      </w:r>
      <w:r w:rsidR="0054460C">
        <w:rPr>
          <w:rtl/>
        </w:rPr>
        <w:t xml:space="preserve"> מביאה הגמרא מחלוקת בין </w:t>
      </w:r>
      <w:proofErr w:type="spellStart"/>
      <w:r w:rsidR="0054460C">
        <w:rPr>
          <w:rtl/>
        </w:rPr>
        <w:t>רשב"ג</w:t>
      </w:r>
      <w:proofErr w:type="spellEnd"/>
      <w:r w:rsidR="0054460C">
        <w:rPr>
          <w:rtl/>
        </w:rPr>
        <w:t xml:space="preserve"> וחכמים בנידון:</w:t>
      </w:r>
    </w:p>
    <w:p w:rsidR="00333FAC" w:rsidRDefault="0054460C" w:rsidP="00333FAC">
      <w:pPr>
        <w:pStyle w:val="a0"/>
        <w:rPr>
          <w:rtl/>
        </w:rPr>
      </w:pPr>
      <w:r>
        <w:rPr>
          <w:rtl/>
        </w:rPr>
        <w:t>"'הולך גט זה לאשתי' - הרי זה משלחו ביד אחר. 'את הולך גט זה לאשתי' - הרי זה לא ישלחנו ביד אחר. רבן שמעון בן גמליאל אומר: בין כ</w:t>
      </w:r>
      <w:r w:rsidR="00333FAC">
        <w:rPr>
          <w:rtl/>
        </w:rPr>
        <w:t>ך ובין כך אין השליח עושה שליח".</w:t>
      </w:r>
    </w:p>
    <w:p w:rsidR="00333FAC" w:rsidRDefault="0054460C" w:rsidP="00333FAC">
      <w:pPr>
        <w:rPr>
          <w:rtl/>
        </w:rPr>
      </w:pPr>
      <w:r>
        <w:rPr>
          <w:rtl/>
        </w:rPr>
        <w:lastRenderedPageBreak/>
        <w:t xml:space="preserve">לפי פשטות סוגייתנו אין בין </w:t>
      </w:r>
      <w:proofErr w:type="spellStart"/>
      <w:r>
        <w:rPr>
          <w:rtl/>
        </w:rPr>
        <w:t>רשב"ג</w:t>
      </w:r>
      <w:proofErr w:type="spellEnd"/>
      <w:r>
        <w:rPr>
          <w:rtl/>
        </w:rPr>
        <w:t xml:space="preserve"> לחכמים מחלוקת עקרונית, אלא חלוקים הם במידת הקפדת הבעל: </w:t>
      </w:r>
    </w:p>
    <w:p w:rsidR="00333FAC" w:rsidRDefault="0054460C" w:rsidP="00333FAC">
      <w:pPr>
        <w:pStyle w:val="a0"/>
        <w:rPr>
          <w:rtl/>
        </w:rPr>
      </w:pPr>
      <w:r>
        <w:rPr>
          <w:rtl/>
        </w:rPr>
        <w:t>"</w:t>
      </w:r>
      <w:proofErr w:type="spellStart"/>
      <w:r>
        <w:rPr>
          <w:rtl/>
        </w:rPr>
        <w:t>איבעית</w:t>
      </w:r>
      <w:proofErr w:type="spellEnd"/>
      <w:r>
        <w:rPr>
          <w:rtl/>
        </w:rPr>
        <w:t xml:space="preserve"> אימא 'הולך' - והוא </w:t>
      </w:r>
      <w:proofErr w:type="spellStart"/>
      <w:r>
        <w:rPr>
          <w:rtl/>
        </w:rPr>
        <w:t>דחלה</w:t>
      </w:r>
      <w:proofErr w:type="spellEnd"/>
      <w:r>
        <w:rPr>
          <w:rtl/>
        </w:rPr>
        <w:t xml:space="preserve">, ואי </w:t>
      </w:r>
      <w:proofErr w:type="spellStart"/>
      <w:r>
        <w:rPr>
          <w:rtl/>
        </w:rPr>
        <w:t>בעית</w:t>
      </w:r>
      <w:proofErr w:type="spellEnd"/>
      <w:r>
        <w:rPr>
          <w:rtl/>
        </w:rPr>
        <w:t xml:space="preserve"> אימא 'את הולך' - וחלה שאני, ואי </w:t>
      </w:r>
      <w:proofErr w:type="spellStart"/>
      <w:r>
        <w:rPr>
          <w:rtl/>
        </w:rPr>
        <w:t>בעית</w:t>
      </w:r>
      <w:proofErr w:type="spellEnd"/>
      <w:r>
        <w:rPr>
          <w:rtl/>
        </w:rPr>
        <w:t xml:space="preserve"> אימא רבן שמעון בן גמליאל היא - וחלה שאני".</w:t>
      </w:r>
    </w:p>
    <w:p w:rsidR="0054460C" w:rsidRDefault="0054460C" w:rsidP="00333FAC">
      <w:pPr>
        <w:rPr>
          <w:rtl/>
        </w:rPr>
      </w:pPr>
      <w:r>
        <w:rPr>
          <w:rtl/>
        </w:rPr>
        <w:t xml:space="preserve">הרי שלפי התירוץ השלישי, אף לדעת </w:t>
      </w:r>
      <w:proofErr w:type="spellStart"/>
      <w:r>
        <w:rPr>
          <w:rtl/>
        </w:rPr>
        <w:t>רשב"ג</w:t>
      </w:r>
      <w:proofErr w:type="spellEnd"/>
      <w:r>
        <w:rPr>
          <w:rtl/>
        </w:rPr>
        <w:t xml:space="preserve"> יכול השליח למסור את הגט לשליח אחר אם חלה. אם כן, "הולך" סתם </w:t>
      </w:r>
      <w:proofErr w:type="spellStart"/>
      <w:r>
        <w:rPr>
          <w:rtl/>
        </w:rPr>
        <w:t>לרשב"ג</w:t>
      </w:r>
      <w:proofErr w:type="spellEnd"/>
      <w:r>
        <w:rPr>
          <w:rtl/>
        </w:rPr>
        <w:t xml:space="preserve"> הוא כמו "את הולך" לפי חכמים, והבעל מקפיד אלא אם כן חלה השליח.</w:t>
      </w:r>
    </w:p>
    <w:p w:rsidR="00333FAC" w:rsidRDefault="0054460C" w:rsidP="00133D8A">
      <w:pPr>
        <w:rPr>
          <w:rtl/>
        </w:rPr>
      </w:pPr>
      <w:r>
        <w:rPr>
          <w:rtl/>
        </w:rPr>
        <w:t xml:space="preserve">ועיין בתוספות שהקשו על </w:t>
      </w:r>
      <w:proofErr w:type="spellStart"/>
      <w:r>
        <w:rPr>
          <w:rtl/>
        </w:rPr>
        <w:t>רשב"ג</w:t>
      </w:r>
      <w:proofErr w:type="spellEnd"/>
      <w:r>
        <w:rPr>
          <w:rtl/>
        </w:rPr>
        <w:t xml:space="preserve"> מהברייתא הדורשת ששליח עושה שליח מהפסוק בפרשת גט: </w:t>
      </w:r>
    </w:p>
    <w:p w:rsidR="00333FAC" w:rsidRDefault="0054460C" w:rsidP="00133D8A">
      <w:pPr>
        <w:pStyle w:val="a0"/>
        <w:rPr>
          <w:rtl/>
        </w:rPr>
      </w:pPr>
      <w:r>
        <w:rPr>
          <w:rtl/>
        </w:rPr>
        <w:t xml:space="preserve">"והא </w:t>
      </w:r>
      <w:proofErr w:type="spellStart"/>
      <w:r>
        <w:rPr>
          <w:rtl/>
        </w:rPr>
        <w:t>דדרשינן</w:t>
      </w:r>
      <w:proofErr w:type="spellEnd"/>
      <w:r>
        <w:rPr>
          <w:rtl/>
        </w:rPr>
        <w:t xml:space="preserve"> (קידושין </w:t>
      </w:r>
      <w:proofErr w:type="spellStart"/>
      <w:r>
        <w:rPr>
          <w:rtl/>
        </w:rPr>
        <w:t>מא</w:t>
      </w:r>
      <w:proofErr w:type="spellEnd"/>
      <w:r>
        <w:rPr>
          <w:rtl/>
        </w:rPr>
        <w:t xml:space="preserve">.) 'ושלח-ושלחה' - מלמד שהשליח עושה שליח, היינו </w:t>
      </w:r>
      <w:proofErr w:type="spellStart"/>
      <w:r>
        <w:rPr>
          <w:rtl/>
        </w:rPr>
        <w:t>היכא</w:t>
      </w:r>
      <w:proofErr w:type="spellEnd"/>
      <w:r>
        <w:rPr>
          <w:rtl/>
        </w:rPr>
        <w:t xml:space="preserve"> </w:t>
      </w:r>
      <w:proofErr w:type="spellStart"/>
      <w:r>
        <w:rPr>
          <w:rtl/>
        </w:rPr>
        <w:t>דאין</w:t>
      </w:r>
      <w:proofErr w:type="spellEnd"/>
      <w:r>
        <w:rPr>
          <w:rtl/>
        </w:rPr>
        <w:t xml:space="preserve"> הבעל מקפיד"</w:t>
      </w:r>
      <w:r w:rsidR="00133D8A">
        <w:rPr>
          <w:rtl/>
        </w:rPr>
        <w:tab/>
        <w:t xml:space="preserve">(ד"ה </w:t>
      </w:r>
      <w:proofErr w:type="spellStart"/>
      <w:r w:rsidR="00133D8A">
        <w:rPr>
          <w:rtl/>
        </w:rPr>
        <w:t>רשב"ג</w:t>
      </w:r>
      <w:proofErr w:type="spellEnd"/>
      <w:r w:rsidR="00133D8A">
        <w:rPr>
          <w:rtl/>
        </w:rPr>
        <w:t>)</w:t>
      </w:r>
      <w:r>
        <w:rPr>
          <w:rtl/>
        </w:rPr>
        <w:t>.</w:t>
      </w:r>
    </w:p>
    <w:p w:rsidR="0054460C" w:rsidRDefault="0054460C" w:rsidP="00D11D96">
      <w:pPr>
        <w:rPr>
          <w:rtl/>
        </w:rPr>
      </w:pPr>
      <w:r>
        <w:rPr>
          <w:rtl/>
        </w:rPr>
        <w:t xml:space="preserve">כלומר: </w:t>
      </w:r>
      <w:proofErr w:type="spellStart"/>
      <w:r>
        <w:rPr>
          <w:rtl/>
        </w:rPr>
        <w:t>רשב"ג</w:t>
      </w:r>
      <w:proofErr w:type="spellEnd"/>
      <w:r>
        <w:rPr>
          <w:rtl/>
        </w:rPr>
        <w:t xml:space="preserve"> מסכים ששליח עושה שליח במישור העקרוני, </w:t>
      </w:r>
      <w:proofErr w:type="spellStart"/>
      <w:r>
        <w:rPr>
          <w:rtl/>
        </w:rPr>
        <w:t>כדילפינן</w:t>
      </w:r>
      <w:proofErr w:type="spellEnd"/>
      <w:r>
        <w:rPr>
          <w:rtl/>
        </w:rPr>
        <w:t xml:space="preserve"> מריבוי הפסוק. אולם אין זה אלא במקרה שהבעל לא הקפיד.</w:t>
      </w:r>
    </w:p>
    <w:p w:rsidR="0054460C" w:rsidRDefault="0054460C" w:rsidP="00D11D96">
      <w:pPr>
        <w:rPr>
          <w:rtl/>
        </w:rPr>
      </w:pPr>
      <w:r>
        <w:rPr>
          <w:rtl/>
        </w:rPr>
        <w:t xml:space="preserve">לאור הנ"ל, לכאורה אין בין </w:t>
      </w:r>
      <w:proofErr w:type="spellStart"/>
      <w:r>
        <w:rPr>
          <w:rtl/>
        </w:rPr>
        <w:t>רשב"ג</w:t>
      </w:r>
      <w:proofErr w:type="spellEnd"/>
      <w:r>
        <w:rPr>
          <w:rtl/>
        </w:rPr>
        <w:t xml:space="preserve"> וחכמים אלא </w:t>
      </w:r>
      <w:proofErr w:type="spellStart"/>
      <w:r>
        <w:rPr>
          <w:rtl/>
        </w:rPr>
        <w:t>אומדנא</w:t>
      </w:r>
      <w:proofErr w:type="spellEnd"/>
      <w:r>
        <w:rPr>
          <w:rtl/>
        </w:rPr>
        <w:t xml:space="preserve"> בנוגע להקפדת הבעל. אם הבעל אינו מקפיד - לכולי עלמא שליח עושה שליח, ואם הבעל מקפיד - הכול תמימי דעים שאין שליח עושה שליח. והדברים נראים, שהרי כל מעמדו של השליח אינו אלא מכוח המשלח, ולכן מסתבר שאם הבעל הקפיד שהשליח ימסור את הגט בעצמו ולא העניק לו את הכוח לעשות שליח - לא ישלחנו ביד אחר. כל האפשרות שהשליח הראשון יעשה שליח בנויה על </w:t>
      </w:r>
      <w:proofErr w:type="spellStart"/>
      <w:r>
        <w:rPr>
          <w:rtl/>
        </w:rPr>
        <w:t>אומדנא</w:t>
      </w:r>
      <w:proofErr w:type="spellEnd"/>
      <w:r>
        <w:rPr>
          <w:rtl/>
        </w:rPr>
        <w:t xml:space="preserve"> שלכך התכוון הבעל בשעת המינוי.</w:t>
      </w:r>
    </w:p>
    <w:p w:rsidR="00333FAC" w:rsidRDefault="0054460C" w:rsidP="004A0F71">
      <w:pPr>
        <w:rPr>
          <w:rtl/>
        </w:rPr>
      </w:pPr>
      <w:r>
        <w:rPr>
          <w:rtl/>
        </w:rPr>
        <w:t>אולם עיין ברמב"ן</w:t>
      </w:r>
      <w:r w:rsidR="004A0F71">
        <w:rPr>
          <w:rtl/>
        </w:rPr>
        <w:t>, שכתב:</w:t>
      </w:r>
      <w:r>
        <w:rPr>
          <w:rtl/>
        </w:rPr>
        <w:t xml:space="preserve"> </w:t>
      </w:r>
    </w:p>
    <w:p w:rsidR="00333FAC" w:rsidRDefault="0054460C" w:rsidP="00333FAC">
      <w:pPr>
        <w:pStyle w:val="a0"/>
        <w:rPr>
          <w:rtl/>
        </w:rPr>
      </w:pPr>
      <w:r>
        <w:rPr>
          <w:rtl/>
        </w:rPr>
        <w:t xml:space="preserve">"ואף על גב </w:t>
      </w:r>
      <w:proofErr w:type="spellStart"/>
      <w:r>
        <w:rPr>
          <w:rtl/>
        </w:rPr>
        <w:t>דכתיב</w:t>
      </w:r>
      <w:proofErr w:type="spellEnd"/>
      <w:r>
        <w:rPr>
          <w:rtl/>
        </w:rPr>
        <w:t xml:space="preserve"> 'ושלח-ושלחה', </w:t>
      </w:r>
      <w:proofErr w:type="spellStart"/>
      <w:r>
        <w:rPr>
          <w:rtl/>
        </w:rPr>
        <w:t>ודרשינן</w:t>
      </w:r>
      <w:proofErr w:type="spellEnd"/>
      <w:r>
        <w:rPr>
          <w:rtl/>
        </w:rPr>
        <w:t xml:space="preserve"> בפרק האיש מקדש (</w:t>
      </w:r>
      <w:proofErr w:type="spellStart"/>
      <w:r>
        <w:rPr>
          <w:rtl/>
        </w:rPr>
        <w:t>מא</w:t>
      </w:r>
      <w:proofErr w:type="spellEnd"/>
      <w:r>
        <w:rPr>
          <w:rtl/>
        </w:rPr>
        <w:t xml:space="preserve">.): 'מלמד שהשליח עושה שליח', ובין חלה ובין לא חלה משמע, </w:t>
      </w:r>
      <w:proofErr w:type="spellStart"/>
      <w:r>
        <w:rPr>
          <w:rtl/>
        </w:rPr>
        <w:t>דמידי</w:t>
      </w:r>
      <w:proofErr w:type="spellEnd"/>
      <w:r>
        <w:rPr>
          <w:rtl/>
        </w:rPr>
        <w:t xml:space="preserve"> חלה כתיב, מיהו אמור רבנן </w:t>
      </w:r>
      <w:proofErr w:type="spellStart"/>
      <w:r>
        <w:rPr>
          <w:rtl/>
        </w:rPr>
        <w:t>דחלה</w:t>
      </w:r>
      <w:proofErr w:type="spellEnd"/>
      <w:r>
        <w:rPr>
          <w:rtl/>
        </w:rPr>
        <w:t xml:space="preserve"> בעינן, משום </w:t>
      </w:r>
      <w:proofErr w:type="spellStart"/>
      <w:r>
        <w:rPr>
          <w:rtl/>
        </w:rPr>
        <w:t>דאיכא</w:t>
      </w:r>
      <w:proofErr w:type="spellEnd"/>
      <w:r>
        <w:rPr>
          <w:rtl/>
        </w:rPr>
        <w:t xml:space="preserve"> </w:t>
      </w:r>
      <w:proofErr w:type="spellStart"/>
      <w:r>
        <w:rPr>
          <w:rtl/>
        </w:rPr>
        <w:t>אינשי</w:t>
      </w:r>
      <w:proofErr w:type="spellEnd"/>
      <w:r>
        <w:rPr>
          <w:rtl/>
        </w:rPr>
        <w:t xml:space="preserve"> קפדני </w:t>
      </w:r>
      <w:proofErr w:type="spellStart"/>
      <w:r>
        <w:rPr>
          <w:rtl/>
        </w:rPr>
        <w:t>דקפדי</w:t>
      </w:r>
      <w:proofErr w:type="spellEnd"/>
      <w:r>
        <w:rPr>
          <w:rtl/>
        </w:rPr>
        <w:t xml:space="preserve">, ואי שמעי - </w:t>
      </w:r>
      <w:proofErr w:type="spellStart"/>
      <w:r>
        <w:rPr>
          <w:rtl/>
        </w:rPr>
        <w:t>מבטלי</w:t>
      </w:r>
      <w:proofErr w:type="spellEnd"/>
      <w:r>
        <w:rPr>
          <w:rtl/>
        </w:rPr>
        <w:t xml:space="preserve"> </w:t>
      </w:r>
      <w:proofErr w:type="spellStart"/>
      <w:r>
        <w:rPr>
          <w:rtl/>
        </w:rPr>
        <w:t>של</w:t>
      </w:r>
      <w:r w:rsidR="00333FAC">
        <w:rPr>
          <w:rtl/>
        </w:rPr>
        <w:t>יחותייהו</w:t>
      </w:r>
      <w:proofErr w:type="spellEnd"/>
      <w:r w:rsidR="00333FAC">
        <w:rPr>
          <w:rtl/>
        </w:rPr>
        <w:t xml:space="preserve">, אבל בחלה </w:t>
      </w:r>
      <w:proofErr w:type="spellStart"/>
      <w:r w:rsidR="00333FAC">
        <w:rPr>
          <w:rtl/>
        </w:rPr>
        <w:t>ליכא</w:t>
      </w:r>
      <w:proofErr w:type="spellEnd"/>
      <w:r w:rsidR="00333FAC">
        <w:rPr>
          <w:rtl/>
        </w:rPr>
        <w:t xml:space="preserve"> </w:t>
      </w:r>
      <w:proofErr w:type="spellStart"/>
      <w:r w:rsidR="00333FAC">
        <w:rPr>
          <w:rtl/>
        </w:rPr>
        <w:t>דקפיד</w:t>
      </w:r>
      <w:proofErr w:type="spellEnd"/>
      <w:r w:rsidR="00333FAC">
        <w:rPr>
          <w:rtl/>
        </w:rPr>
        <w:t>".</w:t>
      </w:r>
    </w:p>
    <w:p w:rsidR="0054460C" w:rsidRDefault="00333FAC" w:rsidP="00D11D96">
      <w:pPr>
        <w:rPr>
          <w:rtl/>
        </w:rPr>
      </w:pPr>
      <w:r>
        <w:rPr>
          <w:rtl/>
        </w:rPr>
        <w:t>ל</w:t>
      </w:r>
      <w:r w:rsidR="0054460C">
        <w:rPr>
          <w:rtl/>
        </w:rPr>
        <w:t xml:space="preserve">דבריו, לא בדעת הבעל בשעת </w:t>
      </w:r>
      <w:r w:rsidR="004A0F71">
        <w:rPr>
          <w:rtl/>
        </w:rPr>
        <w:t>ה</w:t>
      </w:r>
      <w:r w:rsidR="0054460C">
        <w:rPr>
          <w:rtl/>
        </w:rPr>
        <w:t xml:space="preserve">מינוי עסקינן, כי אם בהקפדתו או בהסכמתו אחר כך, כאשר שמע </w:t>
      </w:r>
      <w:proofErr w:type="spellStart"/>
      <w:r w:rsidR="0054460C">
        <w:rPr>
          <w:rtl/>
        </w:rPr>
        <w:t>ששלוחו</w:t>
      </w:r>
      <w:proofErr w:type="spellEnd"/>
      <w:r w:rsidR="0054460C">
        <w:rPr>
          <w:rtl/>
        </w:rPr>
        <w:t xml:space="preserve"> עשה שליח. דברי הרמב"ן מורים שיש כוח לשליח לעשות שליח אחר, אף על פי שלא קיבל מהמשלח רשות לכך בשעת המינוי. הרי שלפי הרמב"ן אין לשליח לעשות שליח אם לא חלה, משום שאולי הבעל ישמע אודות השליח השני ויבטל את השליחות. אבל אילו לא חזר וביטל את השליחות, הרי היא קיימת אף על פי שהבעל מקפיד. ודבריו טעונים ביאור.</w:t>
      </w:r>
    </w:p>
    <w:p w:rsidR="00333FAC" w:rsidRDefault="0054460C" w:rsidP="00815737">
      <w:pPr>
        <w:rPr>
          <w:rtl/>
        </w:rPr>
      </w:pPr>
      <w:r>
        <w:rPr>
          <w:rtl/>
        </w:rPr>
        <w:t>כדי להבין את שיטתו יש לעיין בדבריו המאירים של קצות החושן</w:t>
      </w:r>
      <w:r w:rsidR="00815737">
        <w:rPr>
          <w:rtl/>
        </w:rPr>
        <w:t>:</w:t>
      </w:r>
      <w:r>
        <w:rPr>
          <w:rtl/>
        </w:rPr>
        <w:t xml:space="preserve"> </w:t>
      </w:r>
    </w:p>
    <w:p w:rsidR="00333FAC" w:rsidRDefault="0054460C" w:rsidP="00333FAC">
      <w:pPr>
        <w:pStyle w:val="a0"/>
        <w:rPr>
          <w:rtl/>
        </w:rPr>
      </w:pPr>
      <w:r>
        <w:rPr>
          <w:rtl/>
        </w:rPr>
        <w:t xml:space="preserve">"שאינם בני דעת - וראוי לספק </w:t>
      </w:r>
      <w:proofErr w:type="spellStart"/>
      <w:r>
        <w:rPr>
          <w:rtl/>
        </w:rPr>
        <w:t>היכא</w:t>
      </w:r>
      <w:proofErr w:type="spellEnd"/>
      <w:r>
        <w:rPr>
          <w:rtl/>
        </w:rPr>
        <w:t xml:space="preserve"> </w:t>
      </w:r>
      <w:proofErr w:type="spellStart"/>
      <w:r>
        <w:rPr>
          <w:rtl/>
        </w:rPr>
        <w:t>דהיה</w:t>
      </w:r>
      <w:proofErr w:type="spellEnd"/>
      <w:r>
        <w:rPr>
          <w:rtl/>
        </w:rPr>
        <w:t xml:space="preserve"> פקח בשעה </w:t>
      </w:r>
      <w:proofErr w:type="spellStart"/>
      <w:r>
        <w:rPr>
          <w:rtl/>
        </w:rPr>
        <w:t>שעשאו</w:t>
      </w:r>
      <w:proofErr w:type="spellEnd"/>
      <w:r>
        <w:rPr>
          <w:rtl/>
        </w:rPr>
        <w:t xml:space="preserve"> שליח, וקודם שגמר השליח שליחותו נשתטה המשלח, אי </w:t>
      </w:r>
      <w:proofErr w:type="spellStart"/>
      <w:r>
        <w:rPr>
          <w:rtl/>
        </w:rPr>
        <w:t>אזלינן</w:t>
      </w:r>
      <w:proofErr w:type="spellEnd"/>
      <w:r>
        <w:rPr>
          <w:rtl/>
        </w:rPr>
        <w:t xml:space="preserve"> בתר מעיקרא - ובשעה </w:t>
      </w:r>
      <w:proofErr w:type="spellStart"/>
      <w:r>
        <w:rPr>
          <w:rtl/>
        </w:rPr>
        <w:t>שעשאו</w:t>
      </w:r>
      <w:proofErr w:type="spellEnd"/>
      <w:r>
        <w:rPr>
          <w:rtl/>
        </w:rPr>
        <w:t xml:space="preserve"> שליח פקח היה, ועומד במקום המשלח - או </w:t>
      </w:r>
      <w:proofErr w:type="spellStart"/>
      <w:r>
        <w:rPr>
          <w:rtl/>
        </w:rPr>
        <w:lastRenderedPageBreak/>
        <w:t>אזלינן</w:t>
      </w:r>
      <w:proofErr w:type="spellEnd"/>
      <w:r>
        <w:rPr>
          <w:rtl/>
        </w:rPr>
        <w:t xml:space="preserve"> בתר בסוף - והרי בשעת גמר השליחות נשתטה המשלח ובטלה שליחות. אמנם מצאנו שנחלקו בזה קמאי, </w:t>
      </w:r>
      <w:proofErr w:type="spellStart"/>
      <w:r>
        <w:rPr>
          <w:rtl/>
        </w:rPr>
        <w:t>דלדעת</w:t>
      </w:r>
      <w:proofErr w:type="spellEnd"/>
      <w:r>
        <w:rPr>
          <w:rtl/>
        </w:rPr>
        <w:t xml:space="preserve"> הרמב"ם (פ"ב מהלכות גירושין הל' טו) אם היה בריא בשעת מינוי שליחות ואחר כך אחזו חולי שטות, </w:t>
      </w:r>
      <w:proofErr w:type="spellStart"/>
      <w:r>
        <w:rPr>
          <w:rtl/>
        </w:rPr>
        <w:t>דאם</w:t>
      </w:r>
      <w:proofErr w:type="spellEnd"/>
      <w:r>
        <w:rPr>
          <w:rtl/>
        </w:rPr>
        <w:t xml:space="preserve"> נתנו השליח </w:t>
      </w:r>
      <w:proofErr w:type="spellStart"/>
      <w:r>
        <w:rPr>
          <w:rtl/>
        </w:rPr>
        <w:t>הוה</w:t>
      </w:r>
      <w:proofErr w:type="spellEnd"/>
      <w:r>
        <w:rPr>
          <w:rtl/>
        </w:rPr>
        <w:t xml:space="preserve"> ליה גט מן התורה, ואינו פסול אלא מדרבנן שלא יאמרו שוטה בר גירושין, ולדעת הטור (באבן העזר סימן קכ"א) כי האי </w:t>
      </w:r>
      <w:proofErr w:type="spellStart"/>
      <w:r>
        <w:rPr>
          <w:rtl/>
        </w:rPr>
        <w:t>גוונא</w:t>
      </w:r>
      <w:proofErr w:type="spellEnd"/>
      <w:r>
        <w:rPr>
          <w:rtl/>
        </w:rPr>
        <w:t xml:space="preserve"> הגט פסול מן התורה"</w:t>
      </w:r>
      <w:r w:rsidR="00815737">
        <w:rPr>
          <w:rtl/>
        </w:rPr>
        <w:tab/>
      </w:r>
      <w:r w:rsidR="00815737">
        <w:rPr>
          <w:rtl/>
        </w:rPr>
        <w:br/>
      </w:r>
      <w:r w:rsidR="00815737">
        <w:rPr>
          <w:rtl/>
        </w:rPr>
        <w:tab/>
        <w:t xml:space="preserve">(סימן קפ"ח </w:t>
      </w:r>
      <w:proofErr w:type="spellStart"/>
      <w:r w:rsidR="00815737">
        <w:rPr>
          <w:rtl/>
        </w:rPr>
        <w:t>ס"ק</w:t>
      </w:r>
      <w:proofErr w:type="spellEnd"/>
      <w:r w:rsidR="00815737">
        <w:rPr>
          <w:rtl/>
        </w:rPr>
        <w:t xml:space="preserve"> ב)</w:t>
      </w:r>
      <w:r>
        <w:rPr>
          <w:rtl/>
        </w:rPr>
        <w:t xml:space="preserve">. </w:t>
      </w:r>
    </w:p>
    <w:p w:rsidR="0054460C" w:rsidRDefault="0054460C" w:rsidP="00D11D96">
      <w:pPr>
        <w:rPr>
          <w:rtl/>
        </w:rPr>
      </w:pPr>
      <w:r>
        <w:rPr>
          <w:rtl/>
        </w:rPr>
        <w:t xml:space="preserve">מסתבר שמחלוקת זו תלויה ביסוד דין שליח: האם שליח אינו אלא </w:t>
      </w:r>
      <w:proofErr w:type="spellStart"/>
      <w:r>
        <w:rPr>
          <w:rtl/>
        </w:rPr>
        <w:t>ידא</w:t>
      </w:r>
      <w:proofErr w:type="spellEnd"/>
      <w:r>
        <w:rPr>
          <w:rtl/>
        </w:rPr>
        <w:t xml:space="preserve"> </w:t>
      </w:r>
      <w:proofErr w:type="spellStart"/>
      <w:r>
        <w:rPr>
          <w:rtl/>
        </w:rPr>
        <w:t>אריכתא</w:t>
      </w:r>
      <w:proofErr w:type="spellEnd"/>
      <w:r>
        <w:rPr>
          <w:rtl/>
        </w:rPr>
        <w:t xml:space="preserve">, שכל תפקידו אינו אלא לאפשר לממונה לעשות את המעשה עבור המשלח, או שמא השליח הוא בגדר "גברא </w:t>
      </w:r>
      <w:proofErr w:type="spellStart"/>
      <w:r>
        <w:rPr>
          <w:rtl/>
        </w:rPr>
        <w:t>בחריקאי</w:t>
      </w:r>
      <w:proofErr w:type="spellEnd"/>
      <w:r>
        <w:rPr>
          <w:rtl/>
        </w:rPr>
        <w:t>" - אדם שתופס את מקומו של המשלח - ודין שליחות מעניק לשליח מעמד עצמאי לפעול כמעין בעלים בתחום שליחותו עבור המשלח. אם יש לשליח מעמד עצמאי, אזי ייתכן שיוכל לבצע את שליחותו עבור המשלח גם לאחר שהפך לשוטה; אולם אם אין לו מעמד עצמאי, ואין הוא אלא כיד המשלח - לא ייתכן שתהיה משמעות למעשיו אחרי שהמשלח נשתטה ואין משמעות למעשה המשלח עצמו.</w:t>
      </w:r>
    </w:p>
    <w:p w:rsidR="002C089F" w:rsidRDefault="0054460C" w:rsidP="00815737">
      <w:pPr>
        <w:rPr>
          <w:rtl/>
        </w:rPr>
      </w:pPr>
      <w:r>
        <w:rPr>
          <w:rtl/>
        </w:rPr>
        <w:t xml:space="preserve">והנה, אם השליח אינו אלא </w:t>
      </w:r>
      <w:proofErr w:type="spellStart"/>
      <w:r>
        <w:rPr>
          <w:rtl/>
        </w:rPr>
        <w:t>יד</w:t>
      </w:r>
      <w:r w:rsidR="00815737">
        <w:rPr>
          <w:rtl/>
        </w:rPr>
        <w:t>א</w:t>
      </w:r>
      <w:proofErr w:type="spellEnd"/>
      <w:r>
        <w:rPr>
          <w:rtl/>
        </w:rPr>
        <w:t xml:space="preserve"> </w:t>
      </w:r>
      <w:proofErr w:type="spellStart"/>
      <w:r>
        <w:rPr>
          <w:rtl/>
        </w:rPr>
        <w:t>אריכתא</w:t>
      </w:r>
      <w:proofErr w:type="spellEnd"/>
      <w:r>
        <w:rPr>
          <w:rtl/>
        </w:rPr>
        <w:t xml:space="preserve"> של המשלח, לכאורה אין לו שום רשות לעשות יותר מהמעשה שאותו נתמנה לעשות, ולכן לא שייך ששליח יעשה שליח אלא אם כן קיבל רשות בשעת המינוי למנות שליח נוסף. לעומת זאת, אם השליח תופס את מקומו של המשלח, אפשר שיש לו הכוח לעשות דברים נוספים על המינוי כדי להשיג את התוצאה המיוחלת, ואף על פי שהמשלח מינה אותו רק למסור את הגט לאשתו, מותר לו גם למנות שליח כדי לקדם מטרה זו - הרי השליח עומד במקום הבעל, וכמו שהבעל יכול למנות שליח, יכול גם שלוחו, שהוא כמותו, לעשות זאת. וזהו חידוש התורה ששליח עושה שליח מכוח שליחותו אף על פי שלא נמנה על כך. </w:t>
      </w:r>
    </w:p>
    <w:p w:rsidR="0054460C" w:rsidRDefault="0054460C" w:rsidP="00815737">
      <w:pPr>
        <w:rPr>
          <w:rtl/>
        </w:rPr>
      </w:pPr>
      <w:r>
        <w:rPr>
          <w:rtl/>
        </w:rPr>
        <w:t xml:space="preserve">אף על פי כן, אם הבעל מקפיד על מינוי השליחות הנוספת אנו חוששים שמא הוא ביטל את השליחות כאשר שמע על המינוי, כדברי הרמב"ן. תוספות, לעומתו, מסבירים שחידוש התורה ששליח עושה שליח הוא רק כאשר אין הבעל מקפיד בשעת המינוי, והרי זה כאילו </w:t>
      </w:r>
      <w:proofErr w:type="spellStart"/>
      <w:r>
        <w:rPr>
          <w:rtl/>
        </w:rPr>
        <w:t>הרשהו</w:t>
      </w:r>
      <w:proofErr w:type="spellEnd"/>
      <w:r>
        <w:rPr>
          <w:rtl/>
        </w:rPr>
        <w:t xml:space="preserve"> על כך בפירוש. אך פירוש זה קצת קשה, שהרי לכאורה אין בזה שום חידוש.</w:t>
      </w:r>
    </w:p>
    <w:p w:rsidR="0054460C" w:rsidRDefault="0054460C" w:rsidP="00D11D96">
      <w:pPr>
        <w:rPr>
          <w:rtl/>
        </w:rPr>
      </w:pPr>
      <w:r>
        <w:rPr>
          <w:rtl/>
        </w:rPr>
        <w:t xml:space="preserve">ונראה שגם אם יש לשליח מעמד עצמאי, אפשר שאין זה אלא כשלא הקפיד הבעל בשעת מינויו. אך אם הקפיד הבעל בשעת המינוי והגביל את סמכותו של השליח, אין בכוח השליח למנות שליח נוסף. ואם כן גם לשיטת תוספות דין שליח עושה שליח מחדש שיש לשליח מעמד עצמאי - ולכן השליח יכול למנות שליח אף על פי שלא </w:t>
      </w:r>
      <w:proofErr w:type="spellStart"/>
      <w:r>
        <w:rPr>
          <w:rtl/>
        </w:rPr>
        <w:t>הרשהו</w:t>
      </w:r>
      <w:proofErr w:type="spellEnd"/>
      <w:r>
        <w:rPr>
          <w:rtl/>
        </w:rPr>
        <w:t xml:space="preserve"> הבעל לכך - אך היינו דווקא כאשר הבעל לא הקפיד בשעת המינוי.</w:t>
      </w:r>
    </w:p>
    <w:p w:rsidR="00815737" w:rsidRDefault="0054460C" w:rsidP="00D11D96">
      <w:pPr>
        <w:rPr>
          <w:rtl/>
        </w:rPr>
      </w:pPr>
      <w:r>
        <w:rPr>
          <w:rtl/>
        </w:rPr>
        <w:t xml:space="preserve">לאור הנ"ל יש לשוב ולעיין במחלוקת </w:t>
      </w:r>
      <w:proofErr w:type="spellStart"/>
      <w:r>
        <w:rPr>
          <w:rtl/>
        </w:rPr>
        <w:t>רשב"ג</w:t>
      </w:r>
      <w:proofErr w:type="spellEnd"/>
      <w:r>
        <w:rPr>
          <w:rtl/>
        </w:rPr>
        <w:t xml:space="preserve"> וחכמים. חכמים סוברים שבאופן עקרוני יש כוח ביד השליח למסור </w:t>
      </w:r>
      <w:r>
        <w:rPr>
          <w:rtl/>
        </w:rPr>
        <w:lastRenderedPageBreak/>
        <w:t xml:space="preserve">את הגט לשליח אחר, אך מכל מקום, אם הבעל הקפיד במפורש ואמר "את הולך", לא ישלחנו ביד אחר. רבן שמעון בן גמליאל, לעומתם, קבע בצורה ברורה: "בין כך ובין כך אין השליח עושה שליח", ומשמע שאין זה תלוי בקפידת הבעל. וכך אכן הבינה הגמרא בהתחלה: "ואי רבן שמעון בן גמליאל - אפילו חלה </w:t>
      </w:r>
      <w:proofErr w:type="spellStart"/>
      <w:r>
        <w:rPr>
          <w:rtl/>
        </w:rPr>
        <w:t>נמי</w:t>
      </w:r>
      <w:proofErr w:type="spellEnd"/>
      <w:r>
        <w:rPr>
          <w:rtl/>
        </w:rPr>
        <w:t xml:space="preserve"> לא".</w:t>
      </w:r>
    </w:p>
    <w:p w:rsidR="0054460C" w:rsidRDefault="0054460C" w:rsidP="00D11D96">
      <w:pPr>
        <w:rPr>
          <w:rtl/>
        </w:rPr>
      </w:pPr>
      <w:r>
        <w:rPr>
          <w:rtl/>
        </w:rPr>
        <w:t xml:space="preserve">רק לפי התירוץ השלישי חזרה בה הגמרא מהבנה זו, אבל משני התירוצים הראשונים משמע שאין שליח עושה שליח אפילו אם חלה השליח הראשון. ומסתבר שלפי חכמים השליח תופס את מקומו של המשלח, ולכן באופן עקרוני שליח עושה שליח אלא אם כן הקפיד הבעל והגביל את סמכותו, ואילו רבן שמעון בן גמליאל חלק עליהם וקבע כי "אין שליח עושה שליח", ולדבריו אין השליח אלא ידו של המשלח, ואין לו כוח עצמאי למנות שליח נוסף אלא אם </w:t>
      </w:r>
      <w:proofErr w:type="spellStart"/>
      <w:r>
        <w:rPr>
          <w:rtl/>
        </w:rPr>
        <w:t>הרשהו</w:t>
      </w:r>
      <w:proofErr w:type="spellEnd"/>
      <w:r>
        <w:rPr>
          <w:rtl/>
        </w:rPr>
        <w:t xml:space="preserve"> הבעל על כך ומינה אותו לשליח לעשות שליח.</w:t>
      </w:r>
    </w:p>
    <w:p w:rsidR="00333FAC" w:rsidRDefault="008F0AF6" w:rsidP="008F0AF6">
      <w:pPr>
        <w:rPr>
          <w:rtl/>
        </w:rPr>
      </w:pPr>
      <w:r>
        <w:rPr>
          <w:rtl/>
        </w:rPr>
        <w:t>ו</w:t>
      </w:r>
      <w:r w:rsidR="0054460C">
        <w:rPr>
          <w:rtl/>
        </w:rPr>
        <w:t>עי</w:t>
      </w:r>
      <w:r>
        <w:rPr>
          <w:rtl/>
        </w:rPr>
        <w:t xml:space="preserve">ין </w:t>
      </w:r>
      <w:proofErr w:type="spellStart"/>
      <w:r>
        <w:rPr>
          <w:rtl/>
        </w:rPr>
        <w:t>בראב"ד</w:t>
      </w:r>
      <w:proofErr w:type="spellEnd"/>
      <w:r>
        <w:rPr>
          <w:rtl/>
        </w:rPr>
        <w:t xml:space="preserve"> בהשגתו על </w:t>
      </w:r>
      <w:proofErr w:type="spellStart"/>
      <w:r>
        <w:rPr>
          <w:rtl/>
        </w:rPr>
        <w:t>הרי"ף</w:t>
      </w:r>
      <w:proofErr w:type="spellEnd"/>
      <w:r>
        <w:rPr>
          <w:rtl/>
        </w:rPr>
        <w:t xml:space="preserve"> שטען כי </w:t>
      </w:r>
      <w:r w:rsidR="0054460C">
        <w:rPr>
          <w:rtl/>
        </w:rPr>
        <w:t xml:space="preserve">אין לפסוק </w:t>
      </w:r>
      <w:proofErr w:type="spellStart"/>
      <w:r w:rsidR="0054460C">
        <w:rPr>
          <w:rtl/>
        </w:rPr>
        <w:t>כרשב"ג</w:t>
      </w:r>
      <w:proofErr w:type="spellEnd"/>
      <w:r>
        <w:rPr>
          <w:rtl/>
        </w:rPr>
        <w:t>:</w:t>
      </w:r>
      <w:r w:rsidR="0054460C">
        <w:rPr>
          <w:rtl/>
        </w:rPr>
        <w:t xml:space="preserve"> </w:t>
      </w:r>
    </w:p>
    <w:p w:rsidR="00333FAC" w:rsidRDefault="0054460C" w:rsidP="00333FAC">
      <w:pPr>
        <w:pStyle w:val="a0"/>
        <w:rPr>
          <w:rtl/>
        </w:rPr>
      </w:pPr>
      <w:r>
        <w:rPr>
          <w:rtl/>
        </w:rPr>
        <w:t>"</w:t>
      </w:r>
      <w:proofErr w:type="spellStart"/>
      <w:r>
        <w:rPr>
          <w:rtl/>
        </w:rPr>
        <w:t>דהא</w:t>
      </w:r>
      <w:proofErr w:type="spellEnd"/>
      <w:r>
        <w:rPr>
          <w:rtl/>
        </w:rPr>
        <w:t xml:space="preserve"> תניא... 'ושלח' פעם שנייה - מלמד שהשליח עושה שליח, וכיון </w:t>
      </w:r>
      <w:proofErr w:type="spellStart"/>
      <w:r>
        <w:rPr>
          <w:rtl/>
        </w:rPr>
        <w:t>דקראי</w:t>
      </w:r>
      <w:proofErr w:type="spellEnd"/>
      <w:r>
        <w:rPr>
          <w:rtl/>
        </w:rPr>
        <w:t xml:space="preserve"> </w:t>
      </w:r>
      <w:proofErr w:type="spellStart"/>
      <w:r>
        <w:rPr>
          <w:rtl/>
        </w:rPr>
        <w:t>קא</w:t>
      </w:r>
      <w:proofErr w:type="spellEnd"/>
      <w:r>
        <w:rPr>
          <w:rtl/>
        </w:rPr>
        <w:t xml:space="preserve"> </w:t>
      </w:r>
      <w:proofErr w:type="spellStart"/>
      <w:r>
        <w:rPr>
          <w:rtl/>
        </w:rPr>
        <w:t>דרשינן</w:t>
      </w:r>
      <w:proofErr w:type="spellEnd"/>
      <w:r>
        <w:rPr>
          <w:rtl/>
        </w:rPr>
        <w:t xml:space="preserve">, וקרא לא מפליג בין חלה ללא חלה, </w:t>
      </w:r>
      <w:proofErr w:type="spellStart"/>
      <w:r>
        <w:rPr>
          <w:rtl/>
        </w:rPr>
        <w:t>אנן</w:t>
      </w:r>
      <w:proofErr w:type="spellEnd"/>
      <w:r>
        <w:rPr>
          <w:rtl/>
        </w:rPr>
        <w:t xml:space="preserve"> </w:t>
      </w:r>
      <w:proofErr w:type="spellStart"/>
      <w:r>
        <w:rPr>
          <w:rtl/>
        </w:rPr>
        <w:t>היכי</w:t>
      </w:r>
      <w:proofErr w:type="spellEnd"/>
      <w:r>
        <w:rPr>
          <w:rtl/>
        </w:rPr>
        <w:t xml:space="preserve"> </w:t>
      </w:r>
      <w:proofErr w:type="spellStart"/>
      <w:r>
        <w:rPr>
          <w:rtl/>
        </w:rPr>
        <w:t>מפלגינן</w:t>
      </w:r>
      <w:proofErr w:type="spellEnd"/>
      <w:r>
        <w:rPr>
          <w:rtl/>
        </w:rPr>
        <w:t xml:space="preserve">? אבל בין הולך לאת הולך ודאי </w:t>
      </w:r>
      <w:proofErr w:type="spellStart"/>
      <w:r>
        <w:rPr>
          <w:rtl/>
        </w:rPr>
        <w:t>מפלגינן</w:t>
      </w:r>
      <w:proofErr w:type="spellEnd"/>
      <w:r>
        <w:rPr>
          <w:rtl/>
        </w:rPr>
        <w:t xml:space="preserve">, לפי שהבעל אין מוציא אלא לרצונו, ובעל הא </w:t>
      </w:r>
      <w:proofErr w:type="spellStart"/>
      <w:r>
        <w:rPr>
          <w:rtl/>
        </w:rPr>
        <w:t>קא</w:t>
      </w:r>
      <w:proofErr w:type="spellEnd"/>
      <w:r>
        <w:rPr>
          <w:rtl/>
        </w:rPr>
        <w:t xml:space="preserve"> </w:t>
      </w:r>
      <w:proofErr w:type="spellStart"/>
      <w:r>
        <w:rPr>
          <w:rtl/>
        </w:rPr>
        <w:t>קפיד</w:t>
      </w:r>
      <w:proofErr w:type="spellEnd"/>
      <w:r>
        <w:rPr>
          <w:rtl/>
        </w:rPr>
        <w:t xml:space="preserve">". </w:t>
      </w:r>
    </w:p>
    <w:p w:rsidR="0054460C" w:rsidRDefault="0054460C" w:rsidP="00D11D96">
      <w:pPr>
        <w:rPr>
          <w:rtl/>
        </w:rPr>
      </w:pPr>
      <w:r>
        <w:rPr>
          <w:rtl/>
        </w:rPr>
        <w:t xml:space="preserve">משמע מן </w:t>
      </w:r>
      <w:proofErr w:type="spellStart"/>
      <w:r>
        <w:rPr>
          <w:rtl/>
        </w:rPr>
        <w:t>הראב"ד</w:t>
      </w:r>
      <w:proofErr w:type="spellEnd"/>
      <w:r>
        <w:rPr>
          <w:rtl/>
        </w:rPr>
        <w:t xml:space="preserve"> </w:t>
      </w:r>
      <w:proofErr w:type="spellStart"/>
      <w:r>
        <w:rPr>
          <w:rtl/>
        </w:rPr>
        <w:t>שרשב"ג</w:t>
      </w:r>
      <w:proofErr w:type="spellEnd"/>
      <w:r>
        <w:rPr>
          <w:rtl/>
        </w:rPr>
        <w:t xml:space="preserve"> חולק על הדרשה שממנה לומדים ששליח עושה שליח, וכי לדבריו אין בכוחו של שליח למנות שליח כלל.</w:t>
      </w:r>
    </w:p>
    <w:p w:rsidR="0054460C" w:rsidRDefault="0054460C" w:rsidP="00D11D96">
      <w:pPr>
        <w:rPr>
          <w:rtl/>
        </w:rPr>
      </w:pPr>
      <w:r>
        <w:rPr>
          <w:rtl/>
        </w:rPr>
        <w:t xml:space="preserve">אולם יש לדייק עוד בדברי </w:t>
      </w:r>
      <w:proofErr w:type="spellStart"/>
      <w:r>
        <w:rPr>
          <w:rtl/>
        </w:rPr>
        <w:t>הראב"ד</w:t>
      </w:r>
      <w:proofErr w:type="spellEnd"/>
      <w:r>
        <w:rPr>
          <w:rtl/>
        </w:rPr>
        <w:t xml:space="preserve">. מדבריו משמע </w:t>
      </w:r>
      <w:proofErr w:type="spellStart"/>
      <w:r>
        <w:rPr>
          <w:rtl/>
        </w:rPr>
        <w:t>שרשב"ג</w:t>
      </w:r>
      <w:proofErr w:type="spellEnd"/>
      <w:r>
        <w:rPr>
          <w:rtl/>
        </w:rPr>
        <w:t xml:space="preserve"> חולק על דרשה זו אפילו לפי התירוץ השלישי, שלפיו </w:t>
      </w:r>
      <w:proofErr w:type="spellStart"/>
      <w:r>
        <w:rPr>
          <w:rtl/>
        </w:rPr>
        <w:t>רשב"ג</w:t>
      </w:r>
      <w:proofErr w:type="spellEnd"/>
      <w:r>
        <w:rPr>
          <w:rtl/>
        </w:rPr>
        <w:t xml:space="preserve"> מודה ששליח שחלה עושה שליח. וקשה: הלוא ההבדל בין חלה ללא חלה היא הקפדת הבעל, ואם כן איך מסתדרים עם הדרשה חכמים, המחלקים בין "הולך" ל"את הולך" - הרי גם חילוק זה תלוי במידת הקפדת הבעל?</w:t>
      </w:r>
    </w:p>
    <w:p w:rsidR="0054460C" w:rsidRDefault="0054460C" w:rsidP="00D11D96">
      <w:pPr>
        <w:rPr>
          <w:rtl/>
        </w:rPr>
      </w:pPr>
      <w:r>
        <w:rPr>
          <w:rtl/>
        </w:rPr>
        <w:t xml:space="preserve">ונראה שלפי </w:t>
      </w:r>
      <w:proofErr w:type="spellStart"/>
      <w:r>
        <w:rPr>
          <w:rtl/>
        </w:rPr>
        <w:t>הראב"ד</w:t>
      </w:r>
      <w:proofErr w:type="spellEnd"/>
      <w:r>
        <w:rPr>
          <w:rtl/>
        </w:rPr>
        <w:t xml:space="preserve"> </w:t>
      </w:r>
      <w:proofErr w:type="spellStart"/>
      <w:r>
        <w:rPr>
          <w:rtl/>
        </w:rPr>
        <w:t>רשב"ג</w:t>
      </w:r>
      <w:proofErr w:type="spellEnd"/>
      <w:r>
        <w:rPr>
          <w:rtl/>
        </w:rPr>
        <w:t xml:space="preserve"> סובר ששליח אינו אלא ידו של המשלח. לכן אין לשליח הכוח לעשות שליח, ואף על פי כן אם חלה השליח הראשון יש </w:t>
      </w:r>
      <w:proofErr w:type="spellStart"/>
      <w:r>
        <w:rPr>
          <w:rtl/>
        </w:rPr>
        <w:t>אומדנא</w:t>
      </w:r>
      <w:proofErr w:type="spellEnd"/>
      <w:r>
        <w:rPr>
          <w:rtl/>
        </w:rPr>
        <w:t xml:space="preserve"> שהבעל מרשהו למנות שליח נוסף. אם כן, אין זה אלא כמי שמינהו מראש למנות שליח, ואין בזה שום חידוש, ואין דין זה זקוק ללימוד מן הפסוק. לעומת זאת, באומר "הולך גט זה לאשתי" אין לנו </w:t>
      </w:r>
      <w:proofErr w:type="spellStart"/>
      <w:r>
        <w:rPr>
          <w:rtl/>
        </w:rPr>
        <w:t>אומדנא</w:t>
      </w:r>
      <w:proofErr w:type="spellEnd"/>
      <w:r>
        <w:rPr>
          <w:rtl/>
        </w:rPr>
        <w:t xml:space="preserve"> </w:t>
      </w:r>
      <w:proofErr w:type="spellStart"/>
      <w:r>
        <w:rPr>
          <w:rtl/>
        </w:rPr>
        <w:t>שהרשהו</w:t>
      </w:r>
      <w:proofErr w:type="spellEnd"/>
      <w:r>
        <w:rPr>
          <w:rtl/>
        </w:rPr>
        <w:t xml:space="preserve"> למנות שליח, ומכל מקום הואיל ואין הקפדה מפורשת מצד הבעל - שהרי לא אמר "את הולך" - יש כוח ביד השליח לעשות שליח אחר. דין זה בנוי על המעמד העצמאי של השליח, ולכן צריכים אנו לדרשה המלמדת ששליח עושה שליח אחר.</w:t>
      </w:r>
    </w:p>
    <w:p w:rsidR="002C089F" w:rsidRDefault="002C089F" w:rsidP="002C089F">
      <w:pPr>
        <w:pStyle w:val="2"/>
        <w:rPr>
          <w:rtl/>
        </w:rPr>
      </w:pPr>
      <w:r>
        <w:rPr>
          <w:rtl/>
        </w:rPr>
        <w:t>מילי לא ממסרן לשליח</w:t>
      </w:r>
    </w:p>
    <w:p w:rsidR="00333FAC" w:rsidRDefault="0054460C" w:rsidP="00D11D96">
      <w:pPr>
        <w:rPr>
          <w:rtl/>
        </w:rPr>
      </w:pPr>
      <w:r>
        <w:rPr>
          <w:rtl/>
        </w:rPr>
        <w:t>הגמרא ממשיכה להקשות על דין שליח עושה שליח מברייתא אחרת: "</w:t>
      </w:r>
      <w:proofErr w:type="spellStart"/>
      <w:r>
        <w:rPr>
          <w:rtl/>
        </w:rPr>
        <w:t>ורמינהו</w:t>
      </w:r>
      <w:proofErr w:type="spellEnd"/>
      <w:r>
        <w:rPr>
          <w:rtl/>
        </w:rPr>
        <w:t xml:space="preserve">: אמר לשנים 'תנו גט לאשתי'... הרי אלו יכתבו ויתנו - </w:t>
      </w:r>
      <w:proofErr w:type="spellStart"/>
      <w:r>
        <w:rPr>
          <w:rtl/>
        </w:rPr>
        <w:t>אינהו</w:t>
      </w:r>
      <w:proofErr w:type="spellEnd"/>
      <w:r>
        <w:rPr>
          <w:rtl/>
        </w:rPr>
        <w:t xml:space="preserve"> אין, אבל שליח לא!". רבא משיב בחילוק בין משנתנו, שבה נמסר למשלח גט שכבר נכתב, לבין הברייתא - הדנה בגט שטרם נכתב. והוא מסביר </w:t>
      </w:r>
      <w:r>
        <w:rPr>
          <w:rtl/>
        </w:rPr>
        <w:lastRenderedPageBreak/>
        <w:t xml:space="preserve">שאם הגט עוד לא נכתב אזי "מילי </w:t>
      </w:r>
      <w:proofErr w:type="spellStart"/>
      <w:r>
        <w:rPr>
          <w:rtl/>
        </w:rPr>
        <w:t>נינהו</w:t>
      </w:r>
      <w:proofErr w:type="spellEnd"/>
      <w:r>
        <w:rPr>
          <w:rtl/>
        </w:rPr>
        <w:t xml:space="preserve">, ומילי לא </w:t>
      </w:r>
      <w:proofErr w:type="spellStart"/>
      <w:r>
        <w:rPr>
          <w:rtl/>
        </w:rPr>
        <w:t>מימסרן</w:t>
      </w:r>
      <w:proofErr w:type="spellEnd"/>
      <w:r>
        <w:rPr>
          <w:rtl/>
        </w:rPr>
        <w:t xml:space="preserve"> לשליח". ועיין ברש"י שפירש:</w:t>
      </w:r>
    </w:p>
    <w:p w:rsidR="00333FAC" w:rsidRDefault="0054460C" w:rsidP="00333FAC">
      <w:pPr>
        <w:pStyle w:val="a0"/>
        <w:rPr>
          <w:rtl/>
        </w:rPr>
      </w:pPr>
      <w:r>
        <w:rPr>
          <w:rtl/>
        </w:rPr>
        <w:t>"התם היינו טעמא דלא מ</w:t>
      </w:r>
      <w:r w:rsidR="002C089F">
        <w:rPr>
          <w:rtl/>
        </w:rPr>
        <w:t>שוו שליח, שלא מסר להם אלא דברים,</w:t>
      </w:r>
      <w:r>
        <w:rPr>
          <w:rtl/>
        </w:rPr>
        <w:t xml:space="preserve"> ואין בדברים </w:t>
      </w:r>
      <w:proofErr w:type="spellStart"/>
      <w:r>
        <w:rPr>
          <w:rtl/>
        </w:rPr>
        <w:t>כח</w:t>
      </w:r>
      <w:proofErr w:type="spellEnd"/>
      <w:r>
        <w:rPr>
          <w:rtl/>
        </w:rPr>
        <w:t xml:space="preserve"> להיות חוזרים ונמסרים לאחר, אבל גט - דאית ביה </w:t>
      </w:r>
      <w:proofErr w:type="spellStart"/>
      <w:r>
        <w:rPr>
          <w:rtl/>
        </w:rPr>
        <w:t>מששא</w:t>
      </w:r>
      <w:proofErr w:type="spellEnd"/>
      <w:r>
        <w:rPr>
          <w:rtl/>
        </w:rPr>
        <w:t xml:space="preserve"> - חוזר ונמסר".</w:t>
      </w:r>
    </w:p>
    <w:p w:rsidR="00333FAC" w:rsidRDefault="0054460C" w:rsidP="008F0AF6">
      <w:pPr>
        <w:rPr>
          <w:rtl/>
        </w:rPr>
      </w:pPr>
      <w:r>
        <w:rPr>
          <w:rtl/>
        </w:rPr>
        <w:t xml:space="preserve">משמע שאם לא מסר לשליח חפץ מסוים אין בכוח השליח לעשות שליח אחר. ועיין בתוספות </w:t>
      </w:r>
      <w:proofErr w:type="spellStart"/>
      <w:r>
        <w:rPr>
          <w:rtl/>
        </w:rPr>
        <w:t>הרי"ד</w:t>
      </w:r>
      <w:proofErr w:type="spellEnd"/>
      <w:r>
        <w:rPr>
          <w:rtl/>
        </w:rPr>
        <w:t xml:space="preserve">, </w:t>
      </w:r>
      <w:r w:rsidR="008F0AF6">
        <w:rPr>
          <w:rtl/>
        </w:rPr>
        <w:t>שכתב</w:t>
      </w:r>
      <w:r>
        <w:rPr>
          <w:rtl/>
        </w:rPr>
        <w:t xml:space="preserve">: </w:t>
      </w:r>
    </w:p>
    <w:p w:rsidR="00333FAC" w:rsidRDefault="0054460C" w:rsidP="00333FAC">
      <w:pPr>
        <w:pStyle w:val="a0"/>
        <w:rPr>
          <w:rtl/>
        </w:rPr>
      </w:pPr>
      <w:r>
        <w:rPr>
          <w:rtl/>
        </w:rPr>
        <w:t xml:space="preserve">"ומיכן יש להוכיח </w:t>
      </w:r>
      <w:proofErr w:type="spellStart"/>
      <w:r>
        <w:rPr>
          <w:rtl/>
        </w:rPr>
        <w:t>שהאשה</w:t>
      </w:r>
      <w:proofErr w:type="spellEnd"/>
      <w:r>
        <w:rPr>
          <w:rtl/>
        </w:rPr>
        <w:t xml:space="preserve"> שהיא ממנה שליח קבלה שאין השליח יכול למנות שליח אחר...</w:t>
      </w:r>
      <w:r w:rsidR="00333FAC">
        <w:rPr>
          <w:rtl/>
        </w:rPr>
        <w:t xml:space="preserve"> </w:t>
      </w:r>
      <w:r>
        <w:rPr>
          <w:rtl/>
        </w:rPr>
        <w:t xml:space="preserve">משום </w:t>
      </w:r>
      <w:proofErr w:type="spellStart"/>
      <w:r>
        <w:rPr>
          <w:rtl/>
        </w:rPr>
        <w:t>דמילי</w:t>
      </w:r>
      <w:proofErr w:type="spellEnd"/>
      <w:r>
        <w:rPr>
          <w:rtl/>
        </w:rPr>
        <w:t xml:space="preserve"> </w:t>
      </w:r>
      <w:proofErr w:type="spellStart"/>
      <w:r>
        <w:rPr>
          <w:rtl/>
        </w:rPr>
        <w:t>נינהו</w:t>
      </w:r>
      <w:proofErr w:type="spellEnd"/>
      <w:r>
        <w:rPr>
          <w:rtl/>
        </w:rPr>
        <w:t>, שלא מסרה שום חפץ בידו"</w:t>
      </w:r>
      <w:r w:rsidR="008F0AF6">
        <w:rPr>
          <w:rtl/>
        </w:rPr>
        <w:tab/>
        <w:t xml:space="preserve">(לקמן דף </w:t>
      </w:r>
      <w:proofErr w:type="spellStart"/>
      <w:r w:rsidR="008F0AF6">
        <w:rPr>
          <w:rtl/>
        </w:rPr>
        <w:t>סו</w:t>
      </w:r>
      <w:proofErr w:type="spellEnd"/>
      <w:r w:rsidR="008F0AF6">
        <w:rPr>
          <w:rtl/>
        </w:rPr>
        <w:t>:)</w:t>
      </w:r>
      <w:r>
        <w:rPr>
          <w:rtl/>
        </w:rPr>
        <w:t xml:space="preserve">. </w:t>
      </w:r>
    </w:p>
    <w:p w:rsidR="00333FAC" w:rsidRDefault="002C089F" w:rsidP="002C089F">
      <w:pPr>
        <w:rPr>
          <w:rtl/>
        </w:rPr>
      </w:pPr>
      <w:r>
        <w:rPr>
          <w:rtl/>
        </w:rPr>
        <w:t xml:space="preserve">יש להבין פשר דין זה, ולשם כך נראה את דברי </w:t>
      </w:r>
      <w:proofErr w:type="spellStart"/>
      <w:r>
        <w:rPr>
          <w:rtl/>
        </w:rPr>
        <w:t>ה</w:t>
      </w:r>
      <w:r w:rsidR="0054460C">
        <w:rPr>
          <w:rtl/>
        </w:rPr>
        <w:t>מרדכי</w:t>
      </w:r>
      <w:proofErr w:type="spellEnd"/>
      <w:r w:rsidR="0054460C">
        <w:rPr>
          <w:rtl/>
        </w:rPr>
        <w:t xml:space="preserve"> </w:t>
      </w:r>
      <w:r>
        <w:rPr>
          <w:rtl/>
        </w:rPr>
        <w:t>ש</w:t>
      </w:r>
      <w:r w:rsidR="0054460C">
        <w:rPr>
          <w:rtl/>
        </w:rPr>
        <w:t xml:space="preserve">חלק על </w:t>
      </w:r>
      <w:proofErr w:type="spellStart"/>
      <w:r w:rsidR="0054460C">
        <w:rPr>
          <w:rtl/>
        </w:rPr>
        <w:t>הרי"ד</w:t>
      </w:r>
      <w:proofErr w:type="spellEnd"/>
      <w:r w:rsidR="008F0AF6">
        <w:rPr>
          <w:rtl/>
        </w:rPr>
        <w:t>:</w:t>
      </w:r>
    </w:p>
    <w:p w:rsidR="00333FAC" w:rsidRDefault="0054460C" w:rsidP="00333FAC">
      <w:pPr>
        <w:pStyle w:val="a0"/>
        <w:rPr>
          <w:rtl/>
        </w:rPr>
      </w:pPr>
      <w:r>
        <w:rPr>
          <w:rtl/>
        </w:rPr>
        <w:t xml:space="preserve">"הקשה </w:t>
      </w:r>
      <w:proofErr w:type="spellStart"/>
      <w:r>
        <w:rPr>
          <w:rtl/>
        </w:rPr>
        <w:t>הר"ב</w:t>
      </w:r>
      <w:proofErr w:type="spellEnd"/>
      <w:r>
        <w:rPr>
          <w:rtl/>
        </w:rPr>
        <w:t xml:space="preserve"> ז"ל... והא </w:t>
      </w:r>
      <w:proofErr w:type="spellStart"/>
      <w:r>
        <w:rPr>
          <w:rtl/>
        </w:rPr>
        <w:t>אמרינן</w:t>
      </w:r>
      <w:proofErr w:type="spellEnd"/>
      <w:r>
        <w:rPr>
          <w:rtl/>
        </w:rPr>
        <w:t xml:space="preserve"> 'ושלח-ושלחה' - מלמד שהשליח עושה שליח, ואין זה כי אם מילי, </w:t>
      </w:r>
      <w:proofErr w:type="spellStart"/>
      <w:r>
        <w:rPr>
          <w:rtl/>
        </w:rPr>
        <w:t>והיכי</w:t>
      </w:r>
      <w:proofErr w:type="spellEnd"/>
      <w:r>
        <w:rPr>
          <w:rtl/>
        </w:rPr>
        <w:t xml:space="preserve"> משוה שליח? ויש מפרשים </w:t>
      </w:r>
      <w:proofErr w:type="spellStart"/>
      <w:r>
        <w:rPr>
          <w:rtl/>
        </w:rPr>
        <w:t>דקבלת</w:t>
      </w:r>
      <w:proofErr w:type="spellEnd"/>
      <w:r>
        <w:rPr>
          <w:rtl/>
        </w:rPr>
        <w:t xml:space="preserve"> גירושין הגט או </w:t>
      </w:r>
      <w:proofErr w:type="spellStart"/>
      <w:r>
        <w:rPr>
          <w:rtl/>
        </w:rPr>
        <w:t>קדושין</w:t>
      </w:r>
      <w:proofErr w:type="spellEnd"/>
      <w:r>
        <w:rPr>
          <w:rtl/>
        </w:rPr>
        <w:t xml:space="preserve"> הוי מעשה גמור. וממורי הכהן קבלתי: כל </w:t>
      </w:r>
      <w:proofErr w:type="spellStart"/>
      <w:r>
        <w:rPr>
          <w:rtl/>
        </w:rPr>
        <w:t>היכא</w:t>
      </w:r>
      <w:proofErr w:type="spellEnd"/>
      <w:r>
        <w:rPr>
          <w:rtl/>
        </w:rPr>
        <w:t xml:space="preserve"> שאין הדבר נגמר על פי השליח </w:t>
      </w:r>
      <w:proofErr w:type="spellStart"/>
      <w:r>
        <w:rPr>
          <w:rtl/>
        </w:rPr>
        <w:t>חשיב</w:t>
      </w:r>
      <w:proofErr w:type="spellEnd"/>
      <w:r>
        <w:rPr>
          <w:rtl/>
        </w:rPr>
        <w:t xml:space="preserve"> מילי ולא </w:t>
      </w:r>
      <w:proofErr w:type="spellStart"/>
      <w:r>
        <w:rPr>
          <w:rtl/>
        </w:rPr>
        <w:t>מימסר</w:t>
      </w:r>
      <w:proofErr w:type="spellEnd"/>
      <w:r>
        <w:rPr>
          <w:rtl/>
        </w:rPr>
        <w:t xml:space="preserve"> לשליח, אבל קבלת הגט זהו גמר דבר. אבל הכתיבה שאמר לעדים </w:t>
      </w:r>
      <w:proofErr w:type="spellStart"/>
      <w:r>
        <w:rPr>
          <w:rtl/>
        </w:rPr>
        <w:t>חשיב</w:t>
      </w:r>
      <w:proofErr w:type="spellEnd"/>
      <w:r>
        <w:rPr>
          <w:rtl/>
        </w:rPr>
        <w:t xml:space="preserve"> מילי, משום </w:t>
      </w:r>
      <w:proofErr w:type="spellStart"/>
      <w:r>
        <w:rPr>
          <w:rtl/>
        </w:rPr>
        <w:t>דאין</w:t>
      </w:r>
      <w:proofErr w:type="spellEnd"/>
      <w:r>
        <w:rPr>
          <w:rtl/>
        </w:rPr>
        <w:t xml:space="preserve"> הדבר נגמר עד נתינת הגט"</w:t>
      </w:r>
      <w:r w:rsidR="008F0AF6">
        <w:rPr>
          <w:rtl/>
        </w:rPr>
        <w:tab/>
      </w:r>
      <w:r w:rsidR="008F0AF6">
        <w:rPr>
          <w:rtl/>
        </w:rPr>
        <w:br/>
      </w:r>
      <w:r w:rsidR="008F0AF6">
        <w:rPr>
          <w:rtl/>
        </w:rPr>
        <w:tab/>
        <w:t>(גיטין סימן ת"כ)</w:t>
      </w:r>
      <w:r>
        <w:rPr>
          <w:rtl/>
        </w:rPr>
        <w:t>.</w:t>
      </w:r>
    </w:p>
    <w:p w:rsidR="0054460C" w:rsidRDefault="0054460C" w:rsidP="00D11D96">
      <w:pPr>
        <w:rPr>
          <w:rtl/>
        </w:rPr>
      </w:pPr>
      <w:r>
        <w:rPr>
          <w:rtl/>
        </w:rPr>
        <w:t xml:space="preserve">לפי </w:t>
      </w:r>
      <w:proofErr w:type="spellStart"/>
      <w:r>
        <w:rPr>
          <w:rtl/>
        </w:rPr>
        <w:t>המרדכי</w:t>
      </w:r>
      <w:proofErr w:type="spellEnd"/>
      <w:r>
        <w:rPr>
          <w:rtl/>
        </w:rPr>
        <w:t xml:space="preserve"> החילוק אינו בין חפץ למילים בעלמא. לדבריו הגדר של מילי שייך בכל שליחות שאין בה גמר מעשה, ולכן קבלת הגט אינה נחשבת למילי אף על פי שאין בה מסירת חפץ, שהרי על ידי קבלת הגט נגמרים הגירושין, ואילו כתיבת גט נחשבת למילי, משום שאין הגירושין נגמרים על ידי הכתיבה.</w:t>
      </w:r>
    </w:p>
    <w:p w:rsidR="0054460C" w:rsidRDefault="0054460C" w:rsidP="00D11D96">
      <w:pPr>
        <w:rPr>
          <w:rtl/>
        </w:rPr>
      </w:pPr>
      <w:r>
        <w:rPr>
          <w:rtl/>
        </w:rPr>
        <w:t xml:space="preserve">נראה להסביר את שיטת </w:t>
      </w:r>
      <w:proofErr w:type="spellStart"/>
      <w:r>
        <w:rPr>
          <w:rtl/>
        </w:rPr>
        <w:t>המרדכי</w:t>
      </w:r>
      <w:proofErr w:type="spellEnd"/>
      <w:r>
        <w:rPr>
          <w:rtl/>
        </w:rPr>
        <w:t xml:space="preserve"> על פי גדרי שליחות שהצענו למעלה. שליחות שיש בה גמר מעשה מעניקה לשליח כוח עצמאי ובעלות על המעשה. לכן יכול שליח כזה למנות שליח אחר, ועליו אמר הכתוב " 'ושלח-ושלחה' - מלמד שהשליח עושה שליח". שליח שאינו נמנה לגמור מעשה, לעומתו, אינו אלא יד המשלח, ואין לו כל מעמד עצמאי. לכן אין לו כוח לעשות עבור המשלח דבר שלא נתמנה במפורש לעשותו, והואיל וכן, אין הוא יכול למנות שליח אחר שיכתוב גט במקומו.</w:t>
      </w:r>
    </w:p>
    <w:p w:rsidR="004A0F71" w:rsidRDefault="0054460C" w:rsidP="002C089F">
      <w:pPr>
        <w:rPr>
          <w:rtl/>
        </w:rPr>
      </w:pPr>
      <w:r>
        <w:rPr>
          <w:rtl/>
        </w:rPr>
        <w:t>ועיין במרדכי לקיד</w:t>
      </w:r>
      <w:r w:rsidR="004A0F71">
        <w:rPr>
          <w:rtl/>
        </w:rPr>
        <w:t xml:space="preserve">ושין </w:t>
      </w:r>
      <w:r w:rsidR="002C089F">
        <w:rPr>
          <w:rtl/>
        </w:rPr>
        <w:t>שכתב:</w:t>
      </w:r>
    </w:p>
    <w:p w:rsidR="0054460C" w:rsidRDefault="0054460C" w:rsidP="002C089F">
      <w:pPr>
        <w:pStyle w:val="a0"/>
        <w:rPr>
          <w:rtl/>
        </w:rPr>
      </w:pPr>
      <w:r>
        <w:rPr>
          <w:rtl/>
        </w:rPr>
        <w:t xml:space="preserve">"פסק הקדוש מדרוש </w:t>
      </w:r>
      <w:proofErr w:type="spellStart"/>
      <w:r>
        <w:rPr>
          <w:rtl/>
        </w:rPr>
        <w:t>דהעושה</w:t>
      </w:r>
      <w:proofErr w:type="spellEnd"/>
      <w:r>
        <w:rPr>
          <w:rtl/>
        </w:rPr>
        <w:t xml:space="preserve"> שליח לקדש </w:t>
      </w:r>
      <w:proofErr w:type="spellStart"/>
      <w:r>
        <w:rPr>
          <w:rtl/>
        </w:rPr>
        <w:t>אשה</w:t>
      </w:r>
      <w:proofErr w:type="spellEnd"/>
      <w:r>
        <w:rPr>
          <w:rtl/>
        </w:rPr>
        <w:t xml:space="preserve"> ומסר לו הטבעת לקדש, אפילו </w:t>
      </w:r>
      <w:proofErr w:type="spellStart"/>
      <w:r>
        <w:rPr>
          <w:rtl/>
        </w:rPr>
        <w:t>איתניס</w:t>
      </w:r>
      <w:proofErr w:type="spellEnd"/>
      <w:r>
        <w:rPr>
          <w:rtl/>
        </w:rPr>
        <w:t xml:space="preserve"> בדרך אינו יכול לעשות שליח אחר, משום </w:t>
      </w:r>
      <w:proofErr w:type="spellStart"/>
      <w:r>
        <w:rPr>
          <w:rtl/>
        </w:rPr>
        <w:t>דמילי</w:t>
      </w:r>
      <w:proofErr w:type="spellEnd"/>
      <w:r>
        <w:rPr>
          <w:rtl/>
        </w:rPr>
        <w:t xml:space="preserve"> </w:t>
      </w:r>
      <w:proofErr w:type="spellStart"/>
      <w:r>
        <w:rPr>
          <w:rtl/>
        </w:rPr>
        <w:t>נינהו</w:t>
      </w:r>
      <w:proofErr w:type="spellEnd"/>
      <w:r>
        <w:rPr>
          <w:rtl/>
        </w:rPr>
        <w:t xml:space="preserve">, ומילי לא ממסרן לשליח. ואף על גב </w:t>
      </w:r>
      <w:proofErr w:type="spellStart"/>
      <w:r>
        <w:rPr>
          <w:rtl/>
        </w:rPr>
        <w:t>דגבי</w:t>
      </w:r>
      <w:proofErr w:type="spellEnd"/>
      <w:r>
        <w:rPr>
          <w:rtl/>
        </w:rPr>
        <w:t xml:space="preserve"> גט קיימא לן שליח עושה שליח, ולא הוי מילי משום מסירת הגט, הכא </w:t>
      </w:r>
      <w:proofErr w:type="spellStart"/>
      <w:r>
        <w:rPr>
          <w:rtl/>
        </w:rPr>
        <w:t>נמי</w:t>
      </w:r>
      <w:proofErr w:type="spellEnd"/>
      <w:r>
        <w:rPr>
          <w:rtl/>
        </w:rPr>
        <w:t xml:space="preserve"> הא איכא מסירת הטבעת? - לא דמי, </w:t>
      </w:r>
      <w:proofErr w:type="spellStart"/>
      <w:r>
        <w:rPr>
          <w:rtl/>
        </w:rPr>
        <w:t>דגבי</w:t>
      </w:r>
      <w:proofErr w:type="spellEnd"/>
      <w:r>
        <w:rPr>
          <w:rtl/>
        </w:rPr>
        <w:t xml:space="preserve"> גט </w:t>
      </w:r>
      <w:proofErr w:type="spellStart"/>
      <w:r>
        <w:rPr>
          <w:rtl/>
        </w:rPr>
        <w:t>אשה</w:t>
      </w:r>
      <w:proofErr w:type="spellEnd"/>
      <w:r>
        <w:rPr>
          <w:rtl/>
        </w:rPr>
        <w:t xml:space="preserve"> מתגרשת בעל כורחה, ומיד כשיגיע הגט ליד השליח הרי היא כאילו מגורשת, הלכך לא הוי מילי, שהרי השליח יכול לגרשה בעל </w:t>
      </w:r>
      <w:proofErr w:type="spellStart"/>
      <w:r>
        <w:rPr>
          <w:rtl/>
        </w:rPr>
        <w:t>כרחה</w:t>
      </w:r>
      <w:proofErr w:type="spellEnd"/>
      <w:r>
        <w:rPr>
          <w:rtl/>
        </w:rPr>
        <w:t xml:space="preserve">, </w:t>
      </w:r>
      <w:proofErr w:type="spellStart"/>
      <w:r>
        <w:rPr>
          <w:rtl/>
        </w:rPr>
        <w:t>דיד</w:t>
      </w:r>
      <w:proofErr w:type="spellEnd"/>
      <w:r>
        <w:rPr>
          <w:rtl/>
        </w:rPr>
        <w:t xml:space="preserve"> השליח כיד הבעל; אבל שליח </w:t>
      </w:r>
      <w:proofErr w:type="spellStart"/>
      <w:r>
        <w:rPr>
          <w:rtl/>
        </w:rPr>
        <w:t>קדושין</w:t>
      </w:r>
      <w:proofErr w:type="spellEnd"/>
      <w:r>
        <w:rPr>
          <w:rtl/>
        </w:rPr>
        <w:t xml:space="preserve"> - אם לא </w:t>
      </w:r>
      <w:r>
        <w:rPr>
          <w:rtl/>
        </w:rPr>
        <w:lastRenderedPageBreak/>
        <w:t xml:space="preserve">תאבה </w:t>
      </w:r>
      <w:proofErr w:type="spellStart"/>
      <w:r>
        <w:rPr>
          <w:rtl/>
        </w:rPr>
        <w:t>האשה</w:t>
      </w:r>
      <w:proofErr w:type="spellEnd"/>
      <w:r>
        <w:rPr>
          <w:rtl/>
        </w:rPr>
        <w:t xml:space="preserve"> אינה מתקדשת, הלכך הוו להו מילי"</w:t>
      </w:r>
      <w:r w:rsidR="002C089F">
        <w:rPr>
          <w:rtl/>
        </w:rPr>
        <w:tab/>
      </w:r>
      <w:r w:rsidR="002C089F">
        <w:rPr>
          <w:rtl/>
        </w:rPr>
        <w:br/>
      </w:r>
      <w:r w:rsidR="002C089F">
        <w:rPr>
          <w:rtl/>
        </w:rPr>
        <w:tab/>
        <w:t xml:space="preserve"> (תחילת פרק שני, סימן תק"ה)</w:t>
      </w:r>
      <w:r>
        <w:rPr>
          <w:rtl/>
        </w:rPr>
        <w:t>.</w:t>
      </w:r>
    </w:p>
    <w:p w:rsidR="008F0AF6" w:rsidRDefault="0054460C" w:rsidP="00D11D96">
      <w:pPr>
        <w:rPr>
          <w:rtl/>
        </w:rPr>
      </w:pPr>
      <w:r>
        <w:rPr>
          <w:rtl/>
        </w:rPr>
        <w:t xml:space="preserve">גם כאן קבע </w:t>
      </w:r>
      <w:proofErr w:type="spellStart"/>
      <w:r>
        <w:rPr>
          <w:rtl/>
        </w:rPr>
        <w:t>המרדכי</w:t>
      </w:r>
      <w:proofErr w:type="spellEnd"/>
      <w:r>
        <w:rPr>
          <w:rtl/>
        </w:rPr>
        <w:t xml:space="preserve"> שדין מילי אינו תלוי ב"דברים" לעומת "חפצים": הרי המקדש מסר טבעת לשליח, ואף על פי כן הוא אינו יכול למנות שליח אחר משום שמילי </w:t>
      </w:r>
      <w:proofErr w:type="spellStart"/>
      <w:r>
        <w:rPr>
          <w:rtl/>
        </w:rPr>
        <w:t>נינהו</w:t>
      </w:r>
      <w:proofErr w:type="spellEnd"/>
      <w:r>
        <w:rPr>
          <w:rtl/>
        </w:rPr>
        <w:t xml:space="preserve">! ובטעם הדבר חילק בין גירושין - שבהם האישה מתגרשת בעל כורחה - לבין קידושין - שאין אישה מתקדשת אלא לרצונה. </w:t>
      </w:r>
    </w:p>
    <w:p w:rsidR="0054460C" w:rsidRDefault="0054460C" w:rsidP="00D11D96">
      <w:pPr>
        <w:rPr>
          <w:rtl/>
        </w:rPr>
      </w:pPr>
      <w:r>
        <w:rPr>
          <w:rtl/>
        </w:rPr>
        <w:t xml:space="preserve">נראים הדברים שגם כאן החילוק הוא בין שני סוגי השליחים שהזכרנו לעיל: כאשר שליח יכול לבצע את שליחותו בכל מצב, ואין מי שיכול לעצור בעדו, הרי שניתנו לו עצמאות ובעלות על המעשה במקום המשלח; אולם כאשר אין הוא יכול לקיים את שליחותו ללא הסכמה של גורמים אחרים, אזי רק </w:t>
      </w:r>
      <w:proofErr w:type="spellStart"/>
      <w:r>
        <w:rPr>
          <w:rtl/>
        </w:rPr>
        <w:t>בידא</w:t>
      </w:r>
      <w:proofErr w:type="spellEnd"/>
      <w:r>
        <w:rPr>
          <w:rtl/>
        </w:rPr>
        <w:t xml:space="preserve"> </w:t>
      </w:r>
      <w:proofErr w:type="spellStart"/>
      <w:r>
        <w:rPr>
          <w:rtl/>
        </w:rPr>
        <w:t>אריכתא</w:t>
      </w:r>
      <w:proofErr w:type="spellEnd"/>
      <w:r>
        <w:rPr>
          <w:rtl/>
        </w:rPr>
        <w:t xml:space="preserve"> עסקינן, ולגבי שליח כזה מילי לא </w:t>
      </w:r>
      <w:proofErr w:type="spellStart"/>
      <w:r>
        <w:rPr>
          <w:rtl/>
        </w:rPr>
        <w:t>מימסרן</w:t>
      </w:r>
      <w:proofErr w:type="spellEnd"/>
      <w:r>
        <w:rPr>
          <w:rtl/>
        </w:rPr>
        <w:t xml:space="preserve"> שליח.</w:t>
      </w:r>
    </w:p>
    <w:p w:rsidR="002C089F" w:rsidRDefault="002C089F" w:rsidP="002C089F">
      <w:pPr>
        <w:pStyle w:val="2"/>
        <w:rPr>
          <w:rtl/>
        </w:rPr>
      </w:pPr>
      <w:r>
        <w:rPr>
          <w:rtl/>
        </w:rPr>
        <w:t>סיכום</w:t>
      </w:r>
    </w:p>
    <w:p w:rsidR="0054460C" w:rsidRDefault="0054460C" w:rsidP="00D11D96">
      <w:pPr>
        <w:rPr>
          <w:rtl/>
        </w:rPr>
      </w:pPr>
      <w:r>
        <w:rPr>
          <w:rtl/>
        </w:rPr>
        <w:t xml:space="preserve">ראינו שדין שליח עושה שליח הנלמד מהדרשה "ושלח-ושלחה" נובע מהכוח ומהמעמד העצמאי שיש למשלח, שבעטיים יכול השליח למנות שליח אחר אף על פי שלא קיבל לכך רשות מהמשלח בשעת המינוי. ייתכן </w:t>
      </w:r>
      <w:proofErr w:type="spellStart"/>
      <w:r>
        <w:rPr>
          <w:rtl/>
        </w:rPr>
        <w:t>שרשב"ג</w:t>
      </w:r>
      <w:proofErr w:type="spellEnd"/>
      <w:r>
        <w:rPr>
          <w:rtl/>
        </w:rPr>
        <w:t xml:space="preserve"> חולק על הבנה זו בשליחות, ולדבריו שליח אינו אלא יד המשלח. לכן (לדעת </w:t>
      </w:r>
      <w:proofErr w:type="spellStart"/>
      <w:r>
        <w:rPr>
          <w:rtl/>
        </w:rPr>
        <w:t>הראב"ד</w:t>
      </w:r>
      <w:proofErr w:type="spellEnd"/>
      <w:r>
        <w:rPr>
          <w:rtl/>
        </w:rPr>
        <w:t xml:space="preserve">) חולק </w:t>
      </w:r>
      <w:proofErr w:type="spellStart"/>
      <w:r>
        <w:rPr>
          <w:rtl/>
        </w:rPr>
        <w:t>רשב"ג</w:t>
      </w:r>
      <w:proofErr w:type="spellEnd"/>
      <w:r>
        <w:rPr>
          <w:rtl/>
        </w:rPr>
        <w:t xml:space="preserve"> גם על דרשת שליח עושה שליח, אולם אפשר שגם הוא מודה ששליח יכול לעשות שליח אם קיבל מינוי מפורש או מובן מהמשלח (כגון בחולה).</w:t>
      </w:r>
    </w:p>
    <w:p w:rsidR="0054460C" w:rsidRDefault="0054460C" w:rsidP="0069679D">
      <w:pPr>
        <w:rPr>
          <w:rtl/>
        </w:rPr>
      </w:pPr>
      <w:r>
        <w:rPr>
          <w:rtl/>
        </w:rPr>
        <w:t xml:space="preserve">גם חכמים, הסוברים ששליח עושה שליח הואיל ויש לשליח מעמד עצמאי, מסכימים שמילי לא </w:t>
      </w:r>
      <w:proofErr w:type="spellStart"/>
      <w:r>
        <w:rPr>
          <w:rtl/>
        </w:rPr>
        <w:t>מימסרן</w:t>
      </w:r>
      <w:proofErr w:type="spellEnd"/>
      <w:r>
        <w:rPr>
          <w:rtl/>
        </w:rPr>
        <w:t xml:space="preserve"> לשליח. לפי </w:t>
      </w:r>
      <w:proofErr w:type="spellStart"/>
      <w:r>
        <w:rPr>
          <w:rtl/>
        </w:rPr>
        <w:t>המרדכי</w:t>
      </w:r>
      <w:proofErr w:type="spellEnd"/>
      <w:r>
        <w:rPr>
          <w:rtl/>
        </w:rPr>
        <w:t xml:space="preserve"> גדר מילי הוא שליחות שבה אין לשליח מעמד עצמאי אלא דין יד בעלמא, דהיינו כאשר השליח לא נשלח לעשות גמר מעשה (מרדכי בקידושין), או במקרה שהשליח נשלח לעשות מעשה התלוי בדעת אחרים (מרדכי </w:t>
      </w:r>
      <w:proofErr w:type="spellStart"/>
      <w:r>
        <w:rPr>
          <w:rtl/>
        </w:rPr>
        <w:t>בגיטין</w:t>
      </w:r>
      <w:proofErr w:type="spellEnd"/>
      <w:r>
        <w:rPr>
          <w:rtl/>
        </w:rPr>
        <w:t xml:space="preserve">). בשני המקרים הללו אין השליח הראשון יכול למנות שליח שני הואיל ואין לו מעמד עצמאי. האפשרות שהמשלח ירשה לשליח כזה למנות שליח אחר נידונה בסוגיית </w:t>
      </w:r>
      <w:r w:rsidR="0069679D">
        <w:rPr>
          <w:rtl/>
        </w:rPr>
        <w:t>'</w:t>
      </w:r>
      <w:r>
        <w:rPr>
          <w:rtl/>
        </w:rPr>
        <w:t>אומר אמרו</w:t>
      </w:r>
      <w:r w:rsidR="0069679D">
        <w:rPr>
          <w:rtl/>
        </w:rPr>
        <w:t>'</w:t>
      </w:r>
      <w:r>
        <w:rPr>
          <w:rtl/>
        </w:rPr>
        <w:t xml:space="preserve"> </w:t>
      </w:r>
      <w:r w:rsidR="0069679D">
        <w:rPr>
          <w:rtl/>
        </w:rPr>
        <w:t>(</w:t>
      </w:r>
      <w:r>
        <w:rPr>
          <w:rtl/>
        </w:rPr>
        <w:t xml:space="preserve">בדף </w:t>
      </w:r>
      <w:proofErr w:type="spellStart"/>
      <w:r>
        <w:rPr>
          <w:rtl/>
        </w:rPr>
        <w:t>סו</w:t>
      </w:r>
      <w:proofErr w:type="spellEnd"/>
      <w:r>
        <w:rPr>
          <w:rtl/>
        </w:rPr>
        <w:t>:</w:t>
      </w:r>
      <w:r w:rsidR="0069679D">
        <w:rPr>
          <w:rtl/>
        </w:rPr>
        <w:t>)</w:t>
      </w:r>
      <w:r>
        <w:rPr>
          <w:rtl/>
        </w:rPr>
        <w:t>.</w:t>
      </w:r>
    </w:p>
    <w:p w:rsidR="005D0112" w:rsidRDefault="005D0112" w:rsidP="00080635">
      <w:pPr>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CA4E9E">
        <w:tblPrEx>
          <w:tblCellMar>
            <w:top w:w="0" w:type="dxa"/>
            <w:bottom w:w="0" w:type="dxa"/>
          </w:tblCellMar>
        </w:tblPrEx>
        <w:tc>
          <w:tcPr>
            <w:tcW w:w="283" w:type="dxa"/>
            <w:tcBorders>
              <w:top w:val="nil"/>
              <w:left w:val="nil"/>
              <w:bottom w:val="nil"/>
              <w:right w:val="nil"/>
            </w:tcBorders>
          </w:tcPr>
          <w:p w:rsidR="00CA4E9E" w:rsidRDefault="00CA4E9E" w:rsidP="00F734D6">
            <w:pPr>
              <w:pStyle w:val="a2"/>
              <w:rPr>
                <w:noProof w:val="0"/>
              </w:rPr>
            </w:pPr>
            <w:r>
              <w:rPr>
                <w:noProof w:val="0"/>
                <w:rtl/>
              </w:rPr>
              <w:t>*</w:t>
            </w:r>
          </w:p>
        </w:tc>
        <w:tc>
          <w:tcPr>
            <w:tcW w:w="4111" w:type="dxa"/>
            <w:tcBorders>
              <w:top w:val="nil"/>
              <w:left w:val="nil"/>
              <w:bottom w:val="nil"/>
              <w:right w:val="nil"/>
            </w:tcBorders>
          </w:tcPr>
          <w:p w:rsidR="00CA4E9E" w:rsidRDefault="00CA4E9E" w:rsidP="00F734D6">
            <w:pPr>
              <w:pStyle w:val="a2"/>
              <w:rPr>
                <w:noProof w:val="0"/>
              </w:rPr>
            </w:pPr>
            <w:r>
              <w:rPr>
                <w:noProof w:val="0"/>
                <w:rtl/>
              </w:rPr>
              <w:t>**********************************************************</w:t>
            </w:r>
          </w:p>
        </w:tc>
        <w:tc>
          <w:tcPr>
            <w:tcW w:w="284" w:type="dxa"/>
            <w:tcBorders>
              <w:top w:val="nil"/>
              <w:left w:val="nil"/>
              <w:bottom w:val="nil"/>
              <w:right w:val="nil"/>
            </w:tcBorders>
          </w:tcPr>
          <w:p w:rsidR="00CA4E9E" w:rsidRDefault="00CA4E9E" w:rsidP="00F734D6">
            <w:pPr>
              <w:pStyle w:val="a2"/>
              <w:rPr>
                <w:noProof w:val="0"/>
              </w:rPr>
            </w:pPr>
            <w:r>
              <w:rPr>
                <w:noProof w:val="0"/>
                <w:rtl/>
              </w:rPr>
              <w:t>*</w:t>
            </w:r>
          </w:p>
        </w:tc>
      </w:tr>
      <w:tr w:rsidR="00CA4E9E">
        <w:tblPrEx>
          <w:tblCellMar>
            <w:top w:w="0" w:type="dxa"/>
            <w:bottom w:w="0" w:type="dxa"/>
          </w:tblCellMar>
        </w:tblPrEx>
        <w:tc>
          <w:tcPr>
            <w:tcW w:w="283" w:type="dxa"/>
            <w:tcBorders>
              <w:top w:val="nil"/>
              <w:left w:val="nil"/>
              <w:bottom w:val="nil"/>
              <w:right w:val="nil"/>
            </w:tcBorders>
          </w:tcPr>
          <w:p w:rsidR="00CA4E9E" w:rsidRDefault="00CA4E9E" w:rsidP="00F734D6">
            <w:pPr>
              <w:pStyle w:val="a2"/>
              <w:rPr>
                <w:noProof w:val="0"/>
              </w:rPr>
            </w:pPr>
            <w:r>
              <w:rPr>
                <w:noProof w:val="0"/>
                <w:rtl/>
              </w:rPr>
              <w:t>* * * * * * * * * *</w:t>
            </w:r>
          </w:p>
        </w:tc>
        <w:tc>
          <w:tcPr>
            <w:tcW w:w="4111" w:type="dxa"/>
            <w:tcBorders>
              <w:top w:val="nil"/>
              <w:left w:val="nil"/>
              <w:bottom w:val="nil"/>
              <w:right w:val="nil"/>
            </w:tcBorders>
          </w:tcPr>
          <w:p w:rsidR="00CA4E9E" w:rsidRDefault="007675FA" w:rsidP="00F734D6">
            <w:pPr>
              <w:pStyle w:val="a2"/>
              <w:rPr>
                <w:noProof w:val="0"/>
                <w:rtl/>
              </w:rPr>
            </w:pPr>
            <w:r>
              <w:rPr>
                <w:noProof w:val="0"/>
                <w:rtl/>
              </w:rPr>
              <w:t>כל הזכויות שמורות לישיבת הר עציון</w:t>
            </w:r>
            <w:r w:rsidR="00CA4E9E">
              <w:rPr>
                <w:noProof w:val="0"/>
                <w:rtl/>
              </w:rPr>
              <w:t>, תשס"ו</w:t>
            </w:r>
          </w:p>
          <w:p w:rsidR="00CA4E9E" w:rsidRDefault="00CA4E9E" w:rsidP="00F734D6">
            <w:pPr>
              <w:pStyle w:val="a2"/>
              <w:rPr>
                <w:noProof w:val="0"/>
                <w:rtl/>
              </w:rPr>
            </w:pPr>
            <w:r>
              <w:rPr>
                <w:noProof w:val="0"/>
                <w:rtl/>
              </w:rPr>
              <w:t xml:space="preserve">עורך: </w:t>
            </w:r>
            <w:r w:rsidR="00332489">
              <w:rPr>
                <w:noProof w:val="0"/>
                <w:rtl/>
              </w:rPr>
              <w:t>יהונתן סלע</w:t>
            </w:r>
          </w:p>
          <w:p w:rsidR="00CA4E9E" w:rsidRDefault="00CA4E9E" w:rsidP="00F734D6">
            <w:pPr>
              <w:pStyle w:val="a2"/>
              <w:rPr>
                <w:noProof w:val="0"/>
                <w:rtl/>
              </w:rPr>
            </w:pPr>
            <w:r>
              <w:rPr>
                <w:noProof w:val="0"/>
                <w:rtl/>
              </w:rPr>
              <w:t>*******************************************************</w:t>
            </w:r>
          </w:p>
          <w:p w:rsidR="00CA4E9E" w:rsidRDefault="00CA4E9E" w:rsidP="00F734D6">
            <w:pPr>
              <w:pStyle w:val="a2"/>
              <w:rPr>
                <w:noProof w:val="0"/>
                <w:rtl/>
              </w:rPr>
            </w:pPr>
          </w:p>
          <w:p w:rsidR="00CA4E9E" w:rsidRDefault="00CA4E9E" w:rsidP="00F734D6">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CA4E9E" w:rsidRDefault="00CA4E9E" w:rsidP="00F734D6">
            <w:pPr>
              <w:pStyle w:val="a2"/>
              <w:rPr>
                <w:noProof w:val="0"/>
                <w:rtl/>
              </w:rPr>
            </w:pPr>
            <w:r>
              <w:rPr>
                <w:noProof w:val="0"/>
                <w:rtl/>
              </w:rPr>
              <w:t>האתר בעברית:</w:t>
            </w:r>
            <w:r>
              <w:rPr>
                <w:noProof w:val="0"/>
                <w:rtl/>
              </w:rPr>
              <w:tab/>
            </w:r>
            <w:hyperlink r:id="rId8" w:history="1">
              <w:r w:rsidR="000A6E46">
                <w:rPr>
                  <w:rStyle w:val="Hyperlink"/>
                </w:rPr>
                <w:t>http://www.etzion.org.il</w:t>
              </w:r>
            </w:hyperlink>
          </w:p>
          <w:p w:rsidR="00CA4E9E" w:rsidRDefault="00CA4E9E" w:rsidP="00F734D6">
            <w:pPr>
              <w:pStyle w:val="a2"/>
              <w:rPr>
                <w:noProof w:val="0"/>
                <w:rtl/>
              </w:rPr>
            </w:pPr>
            <w:r>
              <w:rPr>
                <w:noProof w:val="0"/>
                <w:rtl/>
              </w:rPr>
              <w:t>האתר באנגלית:</w:t>
            </w:r>
            <w:r>
              <w:rPr>
                <w:noProof w:val="0"/>
                <w:rtl/>
              </w:rPr>
              <w:tab/>
            </w:r>
            <w:hyperlink r:id="rId9" w:history="1">
              <w:r w:rsidRPr="007675FA">
                <w:rPr>
                  <w:rStyle w:val="Hyperlink"/>
                </w:rPr>
                <w:t>http://www.vbm-torah.org</w:t>
              </w:r>
            </w:hyperlink>
          </w:p>
          <w:p w:rsidR="00CA4E9E" w:rsidRDefault="00CA4E9E" w:rsidP="00F734D6">
            <w:pPr>
              <w:pStyle w:val="a2"/>
              <w:rPr>
                <w:noProof w:val="0"/>
                <w:rtl/>
              </w:rPr>
            </w:pPr>
          </w:p>
          <w:p w:rsidR="00CA4E9E" w:rsidRDefault="00CA4E9E" w:rsidP="00F734D6">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02-993</w:t>
            </w:r>
            <w:r w:rsidR="00BF4FF3">
              <w:rPr>
                <w:noProof w:val="0"/>
                <w:rtl/>
              </w:rPr>
              <w:t>7300</w:t>
            </w:r>
            <w:r>
              <w:rPr>
                <w:noProof w:val="0"/>
                <w:rtl/>
              </w:rPr>
              <w:t xml:space="preserve"> שלוחה 5 </w:t>
            </w:r>
          </w:p>
          <w:p w:rsidR="00CA4E9E" w:rsidRDefault="00CA4E9E" w:rsidP="00F734D6">
            <w:pPr>
              <w:pStyle w:val="a2"/>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CA4E9E" w:rsidRDefault="00CA4E9E" w:rsidP="00F734D6">
            <w:pPr>
              <w:pStyle w:val="a2"/>
              <w:rPr>
                <w:noProof w:val="0"/>
              </w:rPr>
            </w:pPr>
            <w:r>
              <w:rPr>
                <w:noProof w:val="0"/>
                <w:rtl/>
              </w:rPr>
              <w:t xml:space="preserve">* * * * * * * * * * </w:t>
            </w:r>
          </w:p>
        </w:tc>
      </w:tr>
      <w:tr w:rsidR="00CA4E9E">
        <w:tblPrEx>
          <w:tblCellMar>
            <w:top w:w="0" w:type="dxa"/>
            <w:bottom w:w="0" w:type="dxa"/>
          </w:tblCellMar>
        </w:tblPrEx>
        <w:tc>
          <w:tcPr>
            <w:tcW w:w="283" w:type="dxa"/>
            <w:tcBorders>
              <w:top w:val="nil"/>
              <w:left w:val="nil"/>
              <w:bottom w:val="nil"/>
              <w:right w:val="nil"/>
            </w:tcBorders>
          </w:tcPr>
          <w:p w:rsidR="00CA4E9E" w:rsidRDefault="00CA4E9E" w:rsidP="00F734D6">
            <w:pPr>
              <w:pStyle w:val="a2"/>
              <w:rPr>
                <w:noProof w:val="0"/>
              </w:rPr>
            </w:pPr>
            <w:r>
              <w:rPr>
                <w:noProof w:val="0"/>
                <w:rtl/>
              </w:rPr>
              <w:t>*</w:t>
            </w:r>
          </w:p>
        </w:tc>
        <w:tc>
          <w:tcPr>
            <w:tcW w:w="4111" w:type="dxa"/>
            <w:tcBorders>
              <w:top w:val="nil"/>
              <w:left w:val="nil"/>
              <w:bottom w:val="nil"/>
              <w:right w:val="nil"/>
            </w:tcBorders>
          </w:tcPr>
          <w:p w:rsidR="00CA4E9E" w:rsidRDefault="00CA4E9E" w:rsidP="00F734D6">
            <w:pPr>
              <w:pStyle w:val="a2"/>
              <w:rPr>
                <w:noProof w:val="0"/>
              </w:rPr>
            </w:pPr>
            <w:r>
              <w:rPr>
                <w:noProof w:val="0"/>
                <w:rtl/>
              </w:rPr>
              <w:t>**********************************************************</w:t>
            </w:r>
          </w:p>
        </w:tc>
        <w:tc>
          <w:tcPr>
            <w:tcW w:w="284" w:type="dxa"/>
            <w:tcBorders>
              <w:top w:val="nil"/>
              <w:left w:val="nil"/>
              <w:bottom w:val="nil"/>
              <w:right w:val="nil"/>
            </w:tcBorders>
          </w:tcPr>
          <w:p w:rsidR="00CA4E9E" w:rsidRDefault="00CA4E9E" w:rsidP="00F734D6">
            <w:pPr>
              <w:pStyle w:val="a2"/>
              <w:rPr>
                <w:noProof w:val="0"/>
              </w:rPr>
            </w:pPr>
            <w:r>
              <w:rPr>
                <w:noProof w:val="0"/>
                <w:rtl/>
              </w:rPr>
              <w:t>*</w:t>
            </w:r>
          </w:p>
        </w:tc>
      </w:tr>
    </w:tbl>
    <w:p w:rsidR="00D246FA" w:rsidRDefault="00D246FA" w:rsidP="004149AB">
      <w:pPr>
        <w:rPr>
          <w:rtl/>
        </w:rPr>
      </w:pPr>
    </w:p>
    <w:sectPr w:rsidR="00D246FA">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F6" w:rsidRDefault="008F0AF6">
      <w:r>
        <w:separator/>
      </w:r>
    </w:p>
  </w:endnote>
  <w:endnote w:type="continuationSeparator" w:id="0">
    <w:p w:rsidR="008F0AF6" w:rsidRDefault="008F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entury Schoolbook"/>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F6" w:rsidRDefault="008F0AF6">
      <w:r>
        <w:separator/>
      </w:r>
    </w:p>
  </w:footnote>
  <w:footnote w:type="continuationSeparator" w:id="0">
    <w:p w:rsidR="008F0AF6" w:rsidRDefault="008F0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F6" w:rsidRDefault="008F0AF6">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176A5">
      <w:rPr>
        <w:b/>
        <w:bCs/>
        <w:noProof/>
        <w:sz w:val="21"/>
        <w:rtl/>
      </w:rPr>
      <w:t>3</w:t>
    </w:r>
    <w:r>
      <w:rPr>
        <w:b/>
        <w:bCs/>
        <w:sz w:val="21"/>
        <w:rtl/>
      </w:rPr>
      <w:fldChar w:fldCharType="end"/>
    </w:r>
    <w:r>
      <w:rPr>
        <w:b/>
        <w:bCs/>
        <w:sz w:val="21"/>
        <w:rtl/>
      </w:rPr>
      <w:t xml:space="preserve"> -</w:t>
    </w:r>
  </w:p>
  <w:p w:rsidR="008F0AF6" w:rsidRDefault="008F0AF6"/>
  <w:p w:rsidR="008F0AF6" w:rsidRDefault="008F0A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8F0AF6">
      <w:tblPrEx>
        <w:tblCellMar>
          <w:top w:w="0" w:type="dxa"/>
          <w:bottom w:w="0" w:type="dxa"/>
        </w:tblCellMar>
      </w:tblPrEx>
      <w:tc>
        <w:tcPr>
          <w:tcW w:w="4927" w:type="dxa"/>
          <w:tcBorders>
            <w:top w:val="nil"/>
            <w:left w:val="nil"/>
            <w:bottom w:val="double" w:sz="4" w:space="0" w:color="auto"/>
            <w:right w:val="nil"/>
          </w:tcBorders>
        </w:tcPr>
        <w:p w:rsidR="008F0AF6" w:rsidRDefault="008F0AF6">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8F0AF6" w:rsidRDefault="008F0AF6">
          <w:pPr>
            <w:pStyle w:val="Header"/>
            <w:tabs>
              <w:tab w:val="clear" w:pos="4153"/>
              <w:tab w:val="clear" w:pos="8306"/>
              <w:tab w:val="center" w:pos="4818"/>
              <w:tab w:val="right" w:pos="8220"/>
            </w:tabs>
            <w:spacing w:after="0"/>
            <w:rPr>
              <w:sz w:val="21"/>
            </w:rPr>
          </w:pPr>
          <w:r>
            <w:rPr>
              <w:sz w:val="21"/>
              <w:rtl/>
            </w:rPr>
            <w:t>שיעורים בעיון במסכת גיטין מאת רבני הישיבה</w:t>
          </w:r>
        </w:p>
      </w:tc>
      <w:tc>
        <w:tcPr>
          <w:tcW w:w="4927" w:type="dxa"/>
          <w:tcBorders>
            <w:top w:val="nil"/>
            <w:left w:val="nil"/>
            <w:bottom w:val="double" w:sz="4" w:space="0" w:color="auto"/>
            <w:right w:val="nil"/>
          </w:tcBorders>
          <w:vAlign w:val="center"/>
        </w:tcPr>
        <w:p w:rsidR="008F0AF6" w:rsidRDefault="008F0AF6" w:rsidP="000A6E46">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8F0AF6" w:rsidRDefault="008F0AF6">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817"/>
    <w:multiLevelType w:val="hybridMultilevel"/>
    <w:tmpl w:val="B5AC06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2">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3">
    <w:nsid w:val="07987937"/>
    <w:multiLevelType w:val="hybridMultilevel"/>
    <w:tmpl w:val="54301C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9681CC0"/>
    <w:multiLevelType w:val="hybridMultilevel"/>
    <w:tmpl w:val="CDB40BAC"/>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6">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7">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8">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9">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1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1">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2">
    <w:nsid w:val="26875073"/>
    <w:multiLevelType w:val="hybridMultilevel"/>
    <w:tmpl w:val="0F04830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4">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5">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6">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7">
    <w:nsid w:val="3A60430B"/>
    <w:multiLevelType w:val="singleLevel"/>
    <w:tmpl w:val="040D000F"/>
    <w:lvl w:ilvl="0">
      <w:start w:val="1"/>
      <w:numFmt w:val="decimal"/>
      <w:lvlText w:val="%1."/>
      <w:lvlJc w:val="center"/>
      <w:pPr>
        <w:tabs>
          <w:tab w:val="num" w:pos="648"/>
        </w:tabs>
        <w:ind w:hanging="72"/>
      </w:pPr>
      <w:rPr>
        <w:rFonts w:cs="Miriam"/>
      </w:rPr>
    </w:lvl>
  </w:abstractNum>
  <w:abstractNum w:abstractNumId="18">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9">
    <w:nsid w:val="3C467BCF"/>
    <w:multiLevelType w:val="singleLevel"/>
    <w:tmpl w:val="040D000F"/>
    <w:lvl w:ilvl="0">
      <w:start w:val="1"/>
      <w:numFmt w:val="decimal"/>
      <w:lvlText w:val="%1."/>
      <w:lvlJc w:val="center"/>
      <w:pPr>
        <w:tabs>
          <w:tab w:val="num" w:pos="648"/>
        </w:tabs>
        <w:ind w:hanging="72"/>
      </w:pPr>
      <w:rPr>
        <w:rFonts w:cs="Miriam"/>
      </w:rPr>
    </w:lvl>
  </w:abstractNum>
  <w:abstractNum w:abstractNumId="2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21">
    <w:nsid w:val="40217101"/>
    <w:multiLevelType w:val="hybridMultilevel"/>
    <w:tmpl w:val="7FB4ACA8"/>
    <w:lvl w:ilvl="0" w:tplc="A920ADF8">
      <w:start w:val="1"/>
      <w:numFmt w:val="decimal"/>
      <w:lvlText w:val="(%1)"/>
      <w:lvlJc w:val="left"/>
      <w:pPr>
        <w:tabs>
          <w:tab w:val="num" w:pos="720"/>
        </w:tabs>
        <w:ind w:left="720" w:hanging="360"/>
      </w:pPr>
      <w:rPr>
        <w:rFonts w:cs="David"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1EF2D46"/>
    <w:multiLevelType w:val="hybridMultilevel"/>
    <w:tmpl w:val="282EEE1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24">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25">
    <w:nsid w:val="47D73A76"/>
    <w:multiLevelType w:val="hybridMultilevel"/>
    <w:tmpl w:val="2AB00D62"/>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7">
    <w:nsid w:val="562D425B"/>
    <w:multiLevelType w:val="hybridMultilevel"/>
    <w:tmpl w:val="B4E0857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97F2C1D"/>
    <w:multiLevelType w:val="hybridMultilevel"/>
    <w:tmpl w:val="C2248D78"/>
    <w:lvl w:ilvl="0" w:tplc="EA9879F8">
      <w:start w:val="1"/>
      <w:numFmt w:val="hebrew1"/>
      <w:lvlText w:val="%1."/>
      <w:lvlJc w:val="left"/>
      <w:pPr>
        <w:tabs>
          <w:tab w:val="num" w:pos="720"/>
        </w:tabs>
        <w:ind w:left="720" w:hanging="36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3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31">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32">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33">
    <w:nsid w:val="5F202647"/>
    <w:multiLevelType w:val="hybridMultilevel"/>
    <w:tmpl w:val="4D2050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3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3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37">
    <w:nsid w:val="637F5B00"/>
    <w:multiLevelType w:val="hybridMultilevel"/>
    <w:tmpl w:val="8ED61D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9">
    <w:nsid w:val="695705C6"/>
    <w:multiLevelType w:val="hybridMultilevel"/>
    <w:tmpl w:val="CF52312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972175B"/>
    <w:multiLevelType w:val="hybridMultilevel"/>
    <w:tmpl w:val="588C654E"/>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42">
    <w:nsid w:val="728517AA"/>
    <w:multiLevelType w:val="hybridMultilevel"/>
    <w:tmpl w:val="04BE58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44">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45">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46">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41"/>
  </w:num>
  <w:num w:numId="2">
    <w:abstractNumId w:val="32"/>
  </w:num>
  <w:num w:numId="3">
    <w:abstractNumId w:val="46"/>
  </w:num>
  <w:num w:numId="4">
    <w:abstractNumId w:val="20"/>
  </w:num>
  <w:num w:numId="5">
    <w:abstractNumId w:val="7"/>
  </w:num>
  <w:num w:numId="6">
    <w:abstractNumId w:val="36"/>
  </w:num>
  <w:num w:numId="7">
    <w:abstractNumId w:val="16"/>
  </w:num>
  <w:num w:numId="8">
    <w:abstractNumId w:val="45"/>
  </w:num>
  <w:num w:numId="9">
    <w:abstractNumId w:val="1"/>
  </w:num>
  <w:num w:numId="10">
    <w:abstractNumId w:val="9"/>
  </w:num>
  <w:num w:numId="11">
    <w:abstractNumId w:val="38"/>
  </w:num>
  <w:num w:numId="12">
    <w:abstractNumId w:val="11"/>
  </w:num>
  <w:num w:numId="13">
    <w:abstractNumId w:val="29"/>
  </w:num>
  <w:num w:numId="14">
    <w:abstractNumId w:val="23"/>
  </w:num>
  <w:num w:numId="15">
    <w:abstractNumId w:val="31"/>
  </w:num>
  <w:num w:numId="16">
    <w:abstractNumId w:val="10"/>
  </w:num>
  <w:num w:numId="17">
    <w:abstractNumId w:val="15"/>
  </w:num>
  <w:num w:numId="18">
    <w:abstractNumId w:val="18"/>
  </w:num>
  <w:num w:numId="19">
    <w:abstractNumId w:val="35"/>
  </w:num>
  <w:num w:numId="20">
    <w:abstractNumId w:val="6"/>
  </w:num>
  <w:num w:numId="21">
    <w:abstractNumId w:val="34"/>
  </w:num>
  <w:num w:numId="22">
    <w:abstractNumId w:val="8"/>
  </w:num>
  <w:num w:numId="23">
    <w:abstractNumId w:val="13"/>
  </w:num>
  <w:num w:numId="24">
    <w:abstractNumId w:val="5"/>
  </w:num>
  <w:num w:numId="25">
    <w:abstractNumId w:val="24"/>
  </w:num>
  <w:num w:numId="26">
    <w:abstractNumId w:val="44"/>
  </w:num>
  <w:num w:numId="27">
    <w:abstractNumId w:val="2"/>
  </w:num>
  <w:num w:numId="28">
    <w:abstractNumId w:val="43"/>
  </w:num>
  <w:num w:numId="29">
    <w:abstractNumId w:val="14"/>
  </w:num>
  <w:num w:numId="30">
    <w:abstractNumId w:val="30"/>
  </w:num>
  <w:num w:numId="31">
    <w:abstractNumId w:val="26"/>
  </w:num>
  <w:num w:numId="32">
    <w:abstractNumId w:val="22"/>
  </w:num>
  <w:num w:numId="33">
    <w:abstractNumId w:val="25"/>
  </w:num>
  <w:num w:numId="34">
    <w:abstractNumId w:val="40"/>
  </w:num>
  <w:num w:numId="35">
    <w:abstractNumId w:val="39"/>
  </w:num>
  <w:num w:numId="36">
    <w:abstractNumId w:val="27"/>
  </w:num>
  <w:num w:numId="37">
    <w:abstractNumId w:val="4"/>
  </w:num>
  <w:num w:numId="38">
    <w:abstractNumId w:val="17"/>
  </w:num>
  <w:num w:numId="39">
    <w:abstractNumId w:val="19"/>
  </w:num>
  <w:num w:numId="40">
    <w:abstractNumId w:val="21"/>
  </w:num>
  <w:num w:numId="41">
    <w:abstractNumId w:val="37"/>
  </w:num>
  <w:num w:numId="42">
    <w:abstractNumId w:val="33"/>
  </w:num>
  <w:num w:numId="43">
    <w:abstractNumId w:val="28"/>
  </w:num>
  <w:num w:numId="44">
    <w:abstractNumId w:val="0"/>
  </w:num>
  <w:num w:numId="45">
    <w:abstractNumId w:val="3"/>
  </w:num>
  <w:num w:numId="46">
    <w:abstractNumId w:val="1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06F48"/>
    <w:rsid w:val="00020D8A"/>
    <w:rsid w:val="00021AD6"/>
    <w:rsid w:val="00033D21"/>
    <w:rsid w:val="000407D3"/>
    <w:rsid w:val="0005121A"/>
    <w:rsid w:val="00061F9D"/>
    <w:rsid w:val="00065200"/>
    <w:rsid w:val="00080635"/>
    <w:rsid w:val="00090B74"/>
    <w:rsid w:val="0009220A"/>
    <w:rsid w:val="000A6E46"/>
    <w:rsid w:val="000A7A9B"/>
    <w:rsid w:val="000B2015"/>
    <w:rsid w:val="000B5981"/>
    <w:rsid w:val="000B6138"/>
    <w:rsid w:val="000C3095"/>
    <w:rsid w:val="000E6912"/>
    <w:rsid w:val="000F0293"/>
    <w:rsid w:val="00105126"/>
    <w:rsid w:val="001225F6"/>
    <w:rsid w:val="001231AC"/>
    <w:rsid w:val="0012482F"/>
    <w:rsid w:val="00133D8A"/>
    <w:rsid w:val="00141826"/>
    <w:rsid w:val="001472B1"/>
    <w:rsid w:val="00147F88"/>
    <w:rsid w:val="001568DB"/>
    <w:rsid w:val="001570A0"/>
    <w:rsid w:val="0016009A"/>
    <w:rsid w:val="00184BF6"/>
    <w:rsid w:val="00195031"/>
    <w:rsid w:val="00196895"/>
    <w:rsid w:val="001A7A33"/>
    <w:rsid w:val="001B75A8"/>
    <w:rsid w:val="001C043B"/>
    <w:rsid w:val="001C1C7E"/>
    <w:rsid w:val="001C5BB8"/>
    <w:rsid w:val="001C6A76"/>
    <w:rsid w:val="001C727F"/>
    <w:rsid w:val="001C744D"/>
    <w:rsid w:val="001D7FBF"/>
    <w:rsid w:val="001F6A81"/>
    <w:rsid w:val="0020679D"/>
    <w:rsid w:val="00207380"/>
    <w:rsid w:val="00212325"/>
    <w:rsid w:val="00223193"/>
    <w:rsid w:val="002232F7"/>
    <w:rsid w:val="002237D8"/>
    <w:rsid w:val="00233098"/>
    <w:rsid w:val="00234630"/>
    <w:rsid w:val="00242FDB"/>
    <w:rsid w:val="002523B4"/>
    <w:rsid w:val="002564F5"/>
    <w:rsid w:val="00256B1A"/>
    <w:rsid w:val="002804B3"/>
    <w:rsid w:val="002A15EE"/>
    <w:rsid w:val="002B3F3B"/>
    <w:rsid w:val="002B6FFE"/>
    <w:rsid w:val="002C089F"/>
    <w:rsid w:val="002D5136"/>
    <w:rsid w:val="002E5538"/>
    <w:rsid w:val="002E7501"/>
    <w:rsid w:val="002F33B1"/>
    <w:rsid w:val="003162C5"/>
    <w:rsid w:val="003237F5"/>
    <w:rsid w:val="0032598B"/>
    <w:rsid w:val="00330853"/>
    <w:rsid w:val="00332489"/>
    <w:rsid w:val="003324BD"/>
    <w:rsid w:val="00333FAC"/>
    <w:rsid w:val="003412D1"/>
    <w:rsid w:val="0035650D"/>
    <w:rsid w:val="00360C62"/>
    <w:rsid w:val="00361BED"/>
    <w:rsid w:val="003907DB"/>
    <w:rsid w:val="00390837"/>
    <w:rsid w:val="00396005"/>
    <w:rsid w:val="003A5E55"/>
    <w:rsid w:val="003B4C5E"/>
    <w:rsid w:val="003C25AA"/>
    <w:rsid w:val="003E203D"/>
    <w:rsid w:val="00406E33"/>
    <w:rsid w:val="00413328"/>
    <w:rsid w:val="004149AB"/>
    <w:rsid w:val="00422DBE"/>
    <w:rsid w:val="00425CC9"/>
    <w:rsid w:val="00436D76"/>
    <w:rsid w:val="004425DD"/>
    <w:rsid w:val="00445940"/>
    <w:rsid w:val="00462593"/>
    <w:rsid w:val="00463CBE"/>
    <w:rsid w:val="00476C67"/>
    <w:rsid w:val="004808FA"/>
    <w:rsid w:val="00480B7F"/>
    <w:rsid w:val="004A0F71"/>
    <w:rsid w:val="004A4CF1"/>
    <w:rsid w:val="004C627F"/>
    <w:rsid w:val="004D1E6C"/>
    <w:rsid w:val="004E731F"/>
    <w:rsid w:val="0051404B"/>
    <w:rsid w:val="00515146"/>
    <w:rsid w:val="0051518D"/>
    <w:rsid w:val="0051555A"/>
    <w:rsid w:val="00522EEC"/>
    <w:rsid w:val="00532685"/>
    <w:rsid w:val="005441B6"/>
    <w:rsid w:val="0054460C"/>
    <w:rsid w:val="00551E15"/>
    <w:rsid w:val="00570D01"/>
    <w:rsid w:val="00582524"/>
    <w:rsid w:val="00584F1F"/>
    <w:rsid w:val="005A46F8"/>
    <w:rsid w:val="005A507F"/>
    <w:rsid w:val="005A798E"/>
    <w:rsid w:val="005B3283"/>
    <w:rsid w:val="005D0112"/>
    <w:rsid w:val="005D7A3C"/>
    <w:rsid w:val="005E7C9D"/>
    <w:rsid w:val="005F31C0"/>
    <w:rsid w:val="005F433D"/>
    <w:rsid w:val="00601F39"/>
    <w:rsid w:val="00616A25"/>
    <w:rsid w:val="00622BE0"/>
    <w:rsid w:val="0062361A"/>
    <w:rsid w:val="00630648"/>
    <w:rsid w:val="006309ED"/>
    <w:rsid w:val="00632129"/>
    <w:rsid w:val="006336F8"/>
    <w:rsid w:val="0064200B"/>
    <w:rsid w:val="00661F82"/>
    <w:rsid w:val="00667D01"/>
    <w:rsid w:val="00694A9A"/>
    <w:rsid w:val="0069679D"/>
    <w:rsid w:val="006A2D30"/>
    <w:rsid w:val="006B43F4"/>
    <w:rsid w:val="006B684E"/>
    <w:rsid w:val="006B6EEA"/>
    <w:rsid w:val="006C0E20"/>
    <w:rsid w:val="006C774A"/>
    <w:rsid w:val="006D56AD"/>
    <w:rsid w:val="006D5C52"/>
    <w:rsid w:val="006E3229"/>
    <w:rsid w:val="006F121B"/>
    <w:rsid w:val="006F38D9"/>
    <w:rsid w:val="006F4884"/>
    <w:rsid w:val="006F6533"/>
    <w:rsid w:val="006F6A8D"/>
    <w:rsid w:val="00705898"/>
    <w:rsid w:val="007070EC"/>
    <w:rsid w:val="007157E1"/>
    <w:rsid w:val="00741FA3"/>
    <w:rsid w:val="0076358B"/>
    <w:rsid w:val="00763CDF"/>
    <w:rsid w:val="00765B5E"/>
    <w:rsid w:val="007675FA"/>
    <w:rsid w:val="00771C4B"/>
    <w:rsid w:val="00774798"/>
    <w:rsid w:val="00783F30"/>
    <w:rsid w:val="00785B62"/>
    <w:rsid w:val="0079480D"/>
    <w:rsid w:val="007B242A"/>
    <w:rsid w:val="007C1577"/>
    <w:rsid w:val="007E3FB0"/>
    <w:rsid w:val="007E5688"/>
    <w:rsid w:val="007F249F"/>
    <w:rsid w:val="007F381C"/>
    <w:rsid w:val="00812F14"/>
    <w:rsid w:val="00814AFB"/>
    <w:rsid w:val="00815737"/>
    <w:rsid w:val="00856223"/>
    <w:rsid w:val="00857848"/>
    <w:rsid w:val="008816E7"/>
    <w:rsid w:val="00883332"/>
    <w:rsid w:val="008A6B36"/>
    <w:rsid w:val="008B2946"/>
    <w:rsid w:val="008C4A9D"/>
    <w:rsid w:val="008C6D8D"/>
    <w:rsid w:val="008E0111"/>
    <w:rsid w:val="008E0AF3"/>
    <w:rsid w:val="008F0AF6"/>
    <w:rsid w:val="008F18B8"/>
    <w:rsid w:val="008F3595"/>
    <w:rsid w:val="008F57D8"/>
    <w:rsid w:val="008F6C19"/>
    <w:rsid w:val="0090318D"/>
    <w:rsid w:val="00904AD0"/>
    <w:rsid w:val="00916B5B"/>
    <w:rsid w:val="00925B52"/>
    <w:rsid w:val="0093078F"/>
    <w:rsid w:val="00933869"/>
    <w:rsid w:val="00934F72"/>
    <w:rsid w:val="00946061"/>
    <w:rsid w:val="00950094"/>
    <w:rsid w:val="00952FAF"/>
    <w:rsid w:val="0097110F"/>
    <w:rsid w:val="00976B14"/>
    <w:rsid w:val="00977FFC"/>
    <w:rsid w:val="009831CD"/>
    <w:rsid w:val="0098591D"/>
    <w:rsid w:val="009A12D6"/>
    <w:rsid w:val="009A2A00"/>
    <w:rsid w:val="009A3B55"/>
    <w:rsid w:val="009A6999"/>
    <w:rsid w:val="009B12A5"/>
    <w:rsid w:val="009B1ED1"/>
    <w:rsid w:val="009B3191"/>
    <w:rsid w:val="009C682B"/>
    <w:rsid w:val="009C7457"/>
    <w:rsid w:val="009C7CEC"/>
    <w:rsid w:val="009E219E"/>
    <w:rsid w:val="009E5C6D"/>
    <w:rsid w:val="009F5229"/>
    <w:rsid w:val="009F799E"/>
    <w:rsid w:val="00A01250"/>
    <w:rsid w:val="00A06458"/>
    <w:rsid w:val="00A10BCC"/>
    <w:rsid w:val="00A31881"/>
    <w:rsid w:val="00A3496A"/>
    <w:rsid w:val="00A36B61"/>
    <w:rsid w:val="00A730A5"/>
    <w:rsid w:val="00A73EFE"/>
    <w:rsid w:val="00A8182D"/>
    <w:rsid w:val="00A86A01"/>
    <w:rsid w:val="00AA036F"/>
    <w:rsid w:val="00AA5848"/>
    <w:rsid w:val="00AB483F"/>
    <w:rsid w:val="00AB6BE2"/>
    <w:rsid w:val="00AB6CB7"/>
    <w:rsid w:val="00AC0122"/>
    <w:rsid w:val="00AC4198"/>
    <w:rsid w:val="00AC5F48"/>
    <w:rsid w:val="00AC6175"/>
    <w:rsid w:val="00AF0DDB"/>
    <w:rsid w:val="00AF63E2"/>
    <w:rsid w:val="00B05085"/>
    <w:rsid w:val="00B10EEA"/>
    <w:rsid w:val="00B144C7"/>
    <w:rsid w:val="00B27C2F"/>
    <w:rsid w:val="00B3602E"/>
    <w:rsid w:val="00B646AE"/>
    <w:rsid w:val="00B85DE6"/>
    <w:rsid w:val="00B9082F"/>
    <w:rsid w:val="00BA67E7"/>
    <w:rsid w:val="00BB497B"/>
    <w:rsid w:val="00BC3090"/>
    <w:rsid w:val="00BC3E32"/>
    <w:rsid w:val="00BC4C83"/>
    <w:rsid w:val="00BC5A42"/>
    <w:rsid w:val="00BC74DC"/>
    <w:rsid w:val="00BD13E6"/>
    <w:rsid w:val="00BD38E6"/>
    <w:rsid w:val="00BE1E43"/>
    <w:rsid w:val="00BF2212"/>
    <w:rsid w:val="00BF4FF3"/>
    <w:rsid w:val="00C05E39"/>
    <w:rsid w:val="00C40DFC"/>
    <w:rsid w:val="00C4736F"/>
    <w:rsid w:val="00C74290"/>
    <w:rsid w:val="00C74E38"/>
    <w:rsid w:val="00C86970"/>
    <w:rsid w:val="00CA0B8B"/>
    <w:rsid w:val="00CA13F6"/>
    <w:rsid w:val="00CA4E9E"/>
    <w:rsid w:val="00CC79CC"/>
    <w:rsid w:val="00CD401D"/>
    <w:rsid w:val="00CD4792"/>
    <w:rsid w:val="00CD4FF3"/>
    <w:rsid w:val="00CD6F1D"/>
    <w:rsid w:val="00CE49D1"/>
    <w:rsid w:val="00D060B5"/>
    <w:rsid w:val="00D11D96"/>
    <w:rsid w:val="00D176A5"/>
    <w:rsid w:val="00D246FA"/>
    <w:rsid w:val="00D57A54"/>
    <w:rsid w:val="00D60991"/>
    <w:rsid w:val="00D6226F"/>
    <w:rsid w:val="00D66BA4"/>
    <w:rsid w:val="00D71AEE"/>
    <w:rsid w:val="00D75494"/>
    <w:rsid w:val="00D846AD"/>
    <w:rsid w:val="00D93529"/>
    <w:rsid w:val="00D941C6"/>
    <w:rsid w:val="00DB01B9"/>
    <w:rsid w:val="00DB0D53"/>
    <w:rsid w:val="00DB1B98"/>
    <w:rsid w:val="00DB4619"/>
    <w:rsid w:val="00DB4F1E"/>
    <w:rsid w:val="00DC6475"/>
    <w:rsid w:val="00DD628F"/>
    <w:rsid w:val="00DD779C"/>
    <w:rsid w:val="00DF08EE"/>
    <w:rsid w:val="00DF39FE"/>
    <w:rsid w:val="00DF497F"/>
    <w:rsid w:val="00E00BAC"/>
    <w:rsid w:val="00E35070"/>
    <w:rsid w:val="00E37312"/>
    <w:rsid w:val="00E44AC6"/>
    <w:rsid w:val="00E7637B"/>
    <w:rsid w:val="00E8498E"/>
    <w:rsid w:val="00E85E1C"/>
    <w:rsid w:val="00E90E75"/>
    <w:rsid w:val="00EA021D"/>
    <w:rsid w:val="00EA13B9"/>
    <w:rsid w:val="00EB2165"/>
    <w:rsid w:val="00EB301D"/>
    <w:rsid w:val="00EC1B20"/>
    <w:rsid w:val="00EC2D70"/>
    <w:rsid w:val="00EC3EA1"/>
    <w:rsid w:val="00ED26CB"/>
    <w:rsid w:val="00ED3C6A"/>
    <w:rsid w:val="00ED4507"/>
    <w:rsid w:val="00EE0405"/>
    <w:rsid w:val="00EE3381"/>
    <w:rsid w:val="00EE4964"/>
    <w:rsid w:val="00EF0DDD"/>
    <w:rsid w:val="00EF5691"/>
    <w:rsid w:val="00F03A38"/>
    <w:rsid w:val="00F13307"/>
    <w:rsid w:val="00F36C01"/>
    <w:rsid w:val="00F44AFE"/>
    <w:rsid w:val="00F45E12"/>
    <w:rsid w:val="00F47A5A"/>
    <w:rsid w:val="00F61A71"/>
    <w:rsid w:val="00F66DD4"/>
    <w:rsid w:val="00F70934"/>
    <w:rsid w:val="00F734D6"/>
    <w:rsid w:val="00F739CE"/>
    <w:rsid w:val="00F91E5E"/>
    <w:rsid w:val="00FA2F32"/>
    <w:rsid w:val="00FE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rsid w:val="00CA4E9E"/>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rPr>
      <w:rFonts w:cs="Narkisim"/>
      <w:sz w:val="20"/>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rPr>
      <w:rFonts w:cs="Narkisim"/>
      <w:sz w:val="20"/>
      <w:szCs w:val="20"/>
    </w:rPr>
  </w:style>
  <w:style w:type="character" w:styleId="EndnoteReference">
    <w:name w:val="endnote reference"/>
    <w:basedOn w:val="DefaultParagraphFont"/>
    <w:uiPriority w:val="99"/>
    <w:semiHidden/>
    <w:rsid w:val="00A0125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rsid w:val="00CA4E9E"/>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rPr>
      <w:rFonts w:cs="Narkisim"/>
      <w:sz w:val="20"/>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rPr>
      <w:rFonts w:cs="Narkisim"/>
      <w:sz w:val="20"/>
      <w:szCs w:val="20"/>
    </w:rPr>
  </w:style>
  <w:style w:type="character" w:styleId="EndnoteReference">
    <w:name w:val="endnote reference"/>
    <w:basedOn w:val="DefaultParagraphFont"/>
    <w:uiPriority w:val="99"/>
    <w:semiHidden/>
    <w:rsid w:val="00A0125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2</cp:revision>
  <cp:lastPrinted>2005-12-27T02:53:00Z</cp:lastPrinted>
  <dcterms:created xsi:type="dcterms:W3CDTF">2019-06-11T07:38:00Z</dcterms:created>
  <dcterms:modified xsi:type="dcterms:W3CDTF">2019-06-11T07:38:00Z</dcterms:modified>
</cp:coreProperties>
</file>