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0B" w:rsidRPr="00527D71" w:rsidRDefault="00691341" w:rsidP="00606945">
      <w:pPr>
        <w:pStyle w:val="a9"/>
        <w:spacing w:before="0"/>
        <w:rPr>
          <w:rFonts w:ascii="Arial" w:hAnsi="Arial"/>
          <w:rtl/>
        </w:rPr>
        <w:sectPr w:rsidR="00FD080B" w:rsidRPr="00527D71">
          <w:headerReference w:type="default" r:id="rId8"/>
          <w:type w:val="continuous"/>
          <w:pgSz w:w="11906" w:h="16838"/>
          <w:pgMar w:top="1134" w:right="1134" w:bottom="964" w:left="1134" w:header="709" w:footer="709" w:gutter="0"/>
          <w:cols w:space="708" w:equalWidth="0">
            <w:col w:w="8972"/>
          </w:cols>
          <w:bidi/>
          <w:docGrid w:linePitch="360"/>
        </w:sectPr>
      </w:pPr>
      <w:r>
        <w:rPr>
          <w:rFonts w:ascii="Arial" w:hAnsi="Arial" w:hint="cs"/>
          <w:color w:val="000000"/>
          <w:sz w:val="34"/>
          <w:szCs w:val="34"/>
          <w:shd w:val="clear" w:color="auto" w:fill="FFFFFF"/>
          <w:rtl/>
        </w:rPr>
        <w:t xml:space="preserve">מחשבת ישראל וגורמים להתעוררותה </w:t>
      </w:r>
      <w:r w:rsidR="006C24E2">
        <w:rPr>
          <w:rFonts w:ascii="Arial" w:hAnsi="Arial" w:hint="cs"/>
          <w:color w:val="000000"/>
          <w:sz w:val="34"/>
          <w:szCs w:val="34"/>
          <w:shd w:val="clear" w:color="auto" w:fill="FFFFFF"/>
          <w:rtl/>
        </w:rPr>
        <w:t>(א</w:t>
      </w:r>
      <w:r w:rsidR="00606945">
        <w:rPr>
          <w:rFonts w:ascii="Arial" w:hAnsi="Arial" w:hint="cs"/>
          <w:color w:val="000000"/>
          <w:sz w:val="34"/>
          <w:szCs w:val="34"/>
          <w:shd w:val="clear" w:color="auto" w:fill="FFFFFF"/>
          <w:rtl/>
        </w:rPr>
        <w:t xml:space="preserve">) </w:t>
      </w:r>
      <w:r>
        <w:rPr>
          <w:rFonts w:ascii="Arial" w:hAnsi="Arial"/>
          <w:color w:val="000000"/>
          <w:sz w:val="34"/>
          <w:szCs w:val="34"/>
          <w:shd w:val="clear" w:color="auto" w:fill="FFFFFF"/>
          <w:rtl/>
        </w:rPr>
        <w:t>–</w:t>
      </w:r>
      <w:r w:rsidR="00606945">
        <w:rPr>
          <w:rFonts w:ascii="Arial" w:hAnsi="Arial" w:hint="cs"/>
          <w:color w:val="000000"/>
          <w:sz w:val="34"/>
          <w:szCs w:val="34"/>
          <w:shd w:val="clear" w:color="auto" w:fill="FFFFFF"/>
          <w:rtl/>
        </w:rPr>
        <w:t xml:space="preserve"> הקדמה</w:t>
      </w:r>
    </w:p>
    <w:p w:rsidR="006C24E2" w:rsidRPr="00691341" w:rsidRDefault="006C24E2" w:rsidP="006C24E2">
      <w:pPr>
        <w:jc w:val="center"/>
        <w:rPr>
          <w:rFonts w:ascii="Arial" w:hAnsi="Arial" w:cs="Arial"/>
          <w:b/>
          <w:bCs/>
          <w:rtl/>
        </w:rPr>
      </w:pPr>
      <w:r>
        <w:rPr>
          <w:rFonts w:ascii="Arial" w:hAnsi="Arial" w:cs="Arial" w:hint="cs"/>
          <w:b/>
          <w:bCs/>
          <w:rtl/>
        </w:rPr>
        <w:lastRenderedPageBreak/>
        <w:t>מקורות</w:t>
      </w:r>
    </w:p>
    <w:p w:rsidR="006C24E2" w:rsidRDefault="006C24E2" w:rsidP="006C24E2">
      <w:pPr>
        <w:rPr>
          <w:rtl/>
          <w:lang w:val="en-CA"/>
        </w:rPr>
      </w:pPr>
      <w:r>
        <w:rPr>
          <w:rFonts w:hint="cs"/>
          <w:rtl/>
          <w:lang w:val="en-CA"/>
        </w:rPr>
        <w:t>קראו את אחד מן המאמרים הבאים (אם אפשר, כדאי לקרוא את כולם):</w:t>
      </w:r>
    </w:p>
    <w:p w:rsidR="006C24E2" w:rsidRPr="00627E10" w:rsidRDefault="006C24E2" w:rsidP="006C24E2">
      <w:pPr>
        <w:numPr>
          <w:ilvl w:val="0"/>
          <w:numId w:val="44"/>
        </w:numPr>
        <w:rPr>
          <w:rtl/>
          <w:lang w:val="en-CA"/>
        </w:rPr>
      </w:pPr>
      <w:r w:rsidRPr="00627E10">
        <w:rPr>
          <w:rFonts w:hint="cs"/>
          <w:rtl/>
          <w:lang w:val="en-CA"/>
        </w:rPr>
        <w:t>רפאל ישפה, פילוסופיה יהודית מהי, בתוך: פילוסופיה יהודית בימי הביניים כרך א', הוצאת האוניברסיטה הפתוחה, עמודים 16-65 (</w:t>
      </w:r>
      <w:hyperlink r:id="rId9" w:history="1">
        <w:r w:rsidRPr="007948F0">
          <w:rPr>
            <w:rStyle w:val="Hyperlink"/>
            <w:rFonts w:hint="cs"/>
            <w:rtl/>
            <w:lang w:val="en-CA"/>
          </w:rPr>
          <w:t>קישור</w:t>
        </w:r>
      </w:hyperlink>
      <w:r w:rsidRPr="00627E10">
        <w:rPr>
          <w:rFonts w:hint="cs"/>
          <w:rtl/>
          <w:lang w:val="en-CA"/>
        </w:rPr>
        <w:t>)</w:t>
      </w:r>
      <w:r>
        <w:rPr>
          <w:rFonts w:hint="cs"/>
          <w:rtl/>
          <w:lang w:val="en-CA"/>
        </w:rPr>
        <w:t>.</w:t>
      </w:r>
    </w:p>
    <w:p w:rsidR="006C24E2" w:rsidRPr="005F0FA0" w:rsidRDefault="006C24E2" w:rsidP="006C24E2">
      <w:pPr>
        <w:numPr>
          <w:ilvl w:val="0"/>
          <w:numId w:val="44"/>
        </w:numPr>
        <w:rPr>
          <w:rtl/>
          <w:lang w:val="en-CA"/>
        </w:rPr>
      </w:pPr>
      <w:r>
        <w:rPr>
          <w:rFonts w:hint="cs"/>
          <w:rtl/>
          <w:lang w:val="en-CA"/>
        </w:rPr>
        <w:t>זאב לוי, פילוסופיה יהודית מהי, בתוך: בין יפת לשם, מעמדה של הפילוסופיה היהודית בפילוסופיה הכללית, הוצאת ספריית הילל בן חיים, עמ' 119-160 (</w:t>
      </w:r>
      <w:hyperlink r:id="rId10" w:history="1">
        <w:r w:rsidRPr="007948F0">
          <w:rPr>
            <w:rStyle w:val="Hyperlink"/>
            <w:rFonts w:hint="cs"/>
            <w:rtl/>
            <w:lang w:val="en-CA"/>
          </w:rPr>
          <w:t>קישור</w:t>
        </w:r>
      </w:hyperlink>
      <w:r>
        <w:rPr>
          <w:rFonts w:hint="cs"/>
          <w:rtl/>
          <w:lang w:val="en-CA"/>
        </w:rPr>
        <w:t>)</w:t>
      </w:r>
    </w:p>
    <w:p w:rsidR="006C24E2" w:rsidRDefault="006C24E2" w:rsidP="006C24E2">
      <w:pPr>
        <w:numPr>
          <w:ilvl w:val="0"/>
          <w:numId w:val="44"/>
        </w:numPr>
        <w:rPr>
          <w:lang w:val="en-CA"/>
        </w:rPr>
      </w:pPr>
      <w:r>
        <w:rPr>
          <w:rFonts w:hint="cs"/>
          <w:rtl/>
          <w:lang w:val="en-CA"/>
        </w:rPr>
        <w:t xml:space="preserve">הרב אליעזר ברקוביץ, מהי פילוסופיה יהודית, </w:t>
      </w:r>
      <w:r w:rsidRPr="00B757A5">
        <w:rPr>
          <w:lang w:val="en-CA"/>
        </w:rPr>
        <w:t>Tradition</w:t>
      </w:r>
      <w:r w:rsidRPr="00B757A5">
        <w:rPr>
          <w:rFonts w:cs="Arial"/>
          <w:rtl/>
          <w:lang w:val="en-CA"/>
        </w:rPr>
        <w:t xml:space="preserve"> </w:t>
      </w:r>
      <w:r w:rsidRPr="00691341">
        <w:rPr>
          <w:rtl/>
        </w:rPr>
        <w:t>(כרך 3, מס' 2. אביב 1961), (</w:t>
      </w:r>
      <w:hyperlink r:id="rId11" w:history="1">
        <w:r w:rsidRPr="00691341">
          <w:rPr>
            <w:rStyle w:val="Hyperlink"/>
            <w:rFonts w:hint="cs"/>
            <w:rtl/>
          </w:rPr>
          <w:t>קישור לתרגום בעברית</w:t>
        </w:r>
      </w:hyperlink>
      <w:r>
        <w:rPr>
          <w:rFonts w:hint="cs"/>
          <w:rtl/>
          <w:lang w:val="en-CA"/>
        </w:rPr>
        <w:t>).</w:t>
      </w:r>
    </w:p>
    <w:p w:rsidR="006C24E2" w:rsidRDefault="006C24E2" w:rsidP="006C24E2">
      <w:pPr>
        <w:rPr>
          <w:lang w:val="en-CA"/>
        </w:rPr>
      </w:pPr>
    </w:p>
    <w:p w:rsidR="00B85F38" w:rsidRPr="00B85F38" w:rsidRDefault="00B85F38" w:rsidP="00B85F38">
      <w:pPr>
        <w:pStyle w:val="aff"/>
        <w:autoSpaceDE/>
        <w:autoSpaceDN/>
        <w:spacing w:after="160" w:line="276" w:lineRule="auto"/>
        <w:contextualSpacing/>
        <w:jc w:val="center"/>
        <w:rPr>
          <w:rFonts w:ascii="Arial" w:hAnsi="Arial" w:cs="Arial"/>
          <w:b/>
          <w:bCs/>
          <w:smallCaps w:val="0"/>
          <w:sz w:val="20"/>
        </w:rPr>
      </w:pPr>
      <w:r w:rsidRPr="00B85F38">
        <w:rPr>
          <w:rFonts w:ascii="Arial" w:hAnsi="Arial" w:cs="Arial" w:hint="cs"/>
          <w:b/>
          <w:bCs/>
          <w:smallCaps w:val="0"/>
          <w:sz w:val="20"/>
          <w:rtl/>
        </w:rPr>
        <w:t xml:space="preserve">הקדמה </w:t>
      </w:r>
      <w:r w:rsidRPr="00B85F38">
        <w:rPr>
          <w:rFonts w:ascii="Arial" w:hAnsi="Arial" w:cs="Arial"/>
          <w:b/>
          <w:bCs/>
          <w:smallCaps w:val="0"/>
          <w:sz w:val="20"/>
          <w:rtl/>
        </w:rPr>
        <w:t>–</w:t>
      </w:r>
      <w:r w:rsidRPr="00B85F38">
        <w:rPr>
          <w:rFonts w:ascii="Arial" w:hAnsi="Arial" w:cs="Arial" w:hint="cs"/>
          <w:b/>
          <w:bCs/>
          <w:smallCaps w:val="0"/>
          <w:sz w:val="20"/>
          <w:rtl/>
        </w:rPr>
        <w:t xml:space="preserve"> פילוסופיה, מחשבה ואמונה יהודית</w:t>
      </w:r>
    </w:p>
    <w:p w:rsidR="00B85F38" w:rsidRDefault="00B85F38" w:rsidP="00B85F38">
      <w:pPr>
        <w:rPr>
          <w:rtl/>
        </w:rPr>
      </w:pPr>
      <w:r>
        <w:rPr>
          <w:rFonts w:hint="cs"/>
          <w:rtl/>
        </w:rPr>
        <w:t xml:space="preserve">מטרתנו בשיעור זה תהיה לדון בשאלה: מהו הכוח שגורם להתעוררות ופיתוח המחשבה היהודית? לשון אחרת, מהם הגורמים שהובילו הוגים שונים </w:t>
      </w:r>
      <w:r>
        <w:rPr>
          <w:rtl/>
        </w:rPr>
        <w:t>–</w:t>
      </w:r>
      <w:r>
        <w:rPr>
          <w:rFonts w:hint="cs"/>
          <w:rtl/>
        </w:rPr>
        <w:t xml:space="preserve"> וביניהם רבי יהודה הלוי, שבו נתמקד בסדרה זו </w:t>
      </w:r>
      <w:r>
        <w:rPr>
          <w:rtl/>
        </w:rPr>
        <w:t>–</w:t>
      </w:r>
      <w:r>
        <w:rPr>
          <w:rFonts w:hint="cs"/>
          <w:rtl/>
        </w:rPr>
        <w:t xml:space="preserve"> לכתוב את ספריהם ולנסח את מערכת האמונות והדעות שלהם. </w:t>
      </w:r>
    </w:p>
    <w:p w:rsidR="00B85F38" w:rsidRDefault="00B85F38" w:rsidP="00B85F38">
      <w:pPr>
        <w:rPr>
          <w:rtl/>
        </w:rPr>
      </w:pPr>
      <w:r>
        <w:rPr>
          <w:rFonts w:hint="cs"/>
          <w:rtl/>
        </w:rPr>
        <w:t xml:space="preserve">אולם קודם שניגש לגופו של השיעור, ברצוני לפתוח בדיון מקדמי קצר העוסק בעצם קיומו של המושג 'מחשבה יהודית' או 'פילוסופיה יהודית'. במהלך מאה השנים האחרונות, עם התבססותו של הדיון האקדמי במחשבת ישראל, הוא לווה מיניה וביה בשאלה המעמידה בספק את עצם קיומו כתחום עצמאי </w:t>
      </w:r>
      <w:r>
        <w:rPr>
          <w:rtl/>
        </w:rPr>
        <w:t>–</w:t>
      </w:r>
      <w:r>
        <w:rPr>
          <w:rFonts w:hint="cs"/>
          <w:rtl/>
        </w:rPr>
        <w:t xml:space="preserve"> האמנם ניתן להגדיר את מחשבת ישראל באופן מנותק מן הפילוסופיה העולמית</w:t>
      </w:r>
      <w:r>
        <w:rPr>
          <w:rStyle w:val="a6"/>
          <w:rtl/>
        </w:rPr>
        <w:footnoteReference w:id="1"/>
      </w:r>
      <w:r>
        <w:rPr>
          <w:rFonts w:hint="cs"/>
          <w:rtl/>
        </w:rPr>
        <w:t>?</w:t>
      </w:r>
    </w:p>
    <w:p w:rsidR="00B85F38" w:rsidRDefault="00B85F38" w:rsidP="00B85F38">
      <w:pPr>
        <w:rPr>
          <w:rtl/>
          <w:lang w:val="en-CA"/>
        </w:rPr>
      </w:pPr>
      <w:r w:rsidRPr="00DA1A9B">
        <w:rPr>
          <w:rFonts w:hint="cs"/>
          <w:rtl/>
          <w:lang w:val="en-CA"/>
        </w:rPr>
        <w:t>מהבחינה</w:t>
      </w:r>
      <w:r w:rsidRPr="00DA1A9B">
        <w:rPr>
          <w:rtl/>
          <w:lang w:val="en-CA"/>
        </w:rPr>
        <w:t xml:space="preserve"> </w:t>
      </w:r>
      <w:r w:rsidRPr="00DA1A9B">
        <w:rPr>
          <w:rFonts w:hint="cs"/>
          <w:rtl/>
          <w:lang w:val="en-CA"/>
        </w:rPr>
        <w:t>המהותית</w:t>
      </w:r>
      <w:r>
        <w:rPr>
          <w:rFonts w:hint="cs"/>
          <w:rtl/>
          <w:lang w:val="en-CA"/>
        </w:rPr>
        <w:t xml:space="preserve">, כך נטען, לא תיתכן פילוסופיה יהודית, כשם שלא תיתכן 'פיסיקה יהודית'. הפילוסופיה מעצם מהותה טוענת להגיע לאמתות אוניברסליות, ואם כן אין מקום לחלק בין פילוסופיה יהודית ובין פילוסופיה סתם. </w:t>
      </w:r>
    </w:p>
    <w:p w:rsidR="00B85F38" w:rsidRDefault="00B85F38" w:rsidP="00B85F38">
      <w:pPr>
        <w:rPr>
          <w:rtl/>
          <w:lang w:val="en-CA"/>
        </w:rPr>
      </w:pPr>
      <w:r>
        <w:rPr>
          <w:rFonts w:hint="cs"/>
          <w:rtl/>
          <w:lang w:val="en-CA"/>
        </w:rPr>
        <w:t xml:space="preserve">בתשובה לשאלה זו ניתן להציע אחד משלושה כיוונים. נעיר, כי אין מדובר בשאלה שתשובתה נכונה או שגויה, כי אם שאלה של הגדרה </w:t>
      </w:r>
      <w:r>
        <w:rPr>
          <w:rtl/>
          <w:lang w:val="en-CA"/>
        </w:rPr>
        <w:t>–</w:t>
      </w:r>
      <w:r>
        <w:rPr>
          <w:rFonts w:hint="cs"/>
          <w:rtl/>
          <w:lang w:val="en-CA"/>
        </w:rPr>
        <w:t xml:space="preserve"> מהו בעצם החומר שאנו לומדים. </w:t>
      </w:r>
    </w:p>
    <w:p w:rsidR="00B85F38" w:rsidRDefault="00B85F38" w:rsidP="00B85F38">
      <w:pPr>
        <w:rPr>
          <w:rtl/>
          <w:lang w:val="en-CA"/>
        </w:rPr>
      </w:pPr>
      <w:r>
        <w:rPr>
          <w:rFonts w:hint="cs"/>
          <w:rtl/>
          <w:lang w:val="en-CA"/>
        </w:rPr>
        <w:t xml:space="preserve">התשובה הראשונה היא קבלה של הנחת השאלה </w:t>
      </w:r>
      <w:r>
        <w:rPr>
          <w:rtl/>
          <w:lang w:val="en-CA"/>
        </w:rPr>
        <w:t>–</w:t>
      </w:r>
      <w:r>
        <w:rPr>
          <w:rFonts w:hint="cs"/>
          <w:rtl/>
          <w:lang w:val="en-CA"/>
        </w:rPr>
        <w:t xml:space="preserve"> אכן, אין פילוסופיה שניתן לכנותה יהודית באופן מהותי. לכל היותר ניתן לדבר על </w:t>
      </w:r>
      <w:r w:rsidRPr="00DA1A9B">
        <w:rPr>
          <w:rFonts w:hint="cs"/>
          <w:rtl/>
          <w:lang w:val="en-CA"/>
        </w:rPr>
        <w:t>מאפיינים</w:t>
      </w:r>
      <w:r w:rsidRPr="00DA1A9B">
        <w:rPr>
          <w:rtl/>
          <w:lang w:val="en-CA"/>
        </w:rPr>
        <w:t xml:space="preserve"> </w:t>
      </w:r>
      <w:r w:rsidRPr="00DA1A9B">
        <w:rPr>
          <w:rFonts w:hint="cs"/>
          <w:rtl/>
          <w:lang w:val="en-CA"/>
        </w:rPr>
        <w:t>חיצוניים</w:t>
      </w:r>
      <w:r w:rsidRPr="00DA1A9B">
        <w:rPr>
          <w:rtl/>
          <w:lang w:val="en-CA"/>
        </w:rPr>
        <w:t xml:space="preserve"> </w:t>
      </w:r>
      <w:r w:rsidRPr="00DA1A9B">
        <w:rPr>
          <w:rFonts w:hint="cs"/>
          <w:rtl/>
          <w:lang w:val="en-CA"/>
        </w:rPr>
        <w:t>המגדירים</w:t>
      </w:r>
      <w:r w:rsidRPr="00DA1A9B">
        <w:rPr>
          <w:rtl/>
          <w:lang w:val="en-CA"/>
        </w:rPr>
        <w:t xml:space="preserve"> </w:t>
      </w:r>
      <w:r w:rsidRPr="00DA1A9B">
        <w:rPr>
          <w:rFonts w:hint="cs"/>
          <w:rtl/>
          <w:lang w:val="en-CA"/>
        </w:rPr>
        <w:t>את</w:t>
      </w:r>
      <w:r w:rsidRPr="00DA1A9B">
        <w:rPr>
          <w:rtl/>
          <w:lang w:val="en-CA"/>
        </w:rPr>
        <w:t xml:space="preserve"> </w:t>
      </w:r>
      <w:r w:rsidRPr="00DA1A9B">
        <w:rPr>
          <w:rFonts w:hint="cs"/>
          <w:rtl/>
          <w:lang w:val="en-CA"/>
        </w:rPr>
        <w:t>הפילוסופיה</w:t>
      </w:r>
      <w:r w:rsidRPr="00DA1A9B">
        <w:rPr>
          <w:rtl/>
          <w:lang w:val="en-CA"/>
        </w:rPr>
        <w:t xml:space="preserve"> </w:t>
      </w:r>
      <w:r w:rsidRPr="00DA1A9B">
        <w:rPr>
          <w:rFonts w:hint="cs"/>
          <w:rtl/>
          <w:lang w:val="en-CA"/>
        </w:rPr>
        <w:t>היהודית</w:t>
      </w:r>
      <w:r>
        <w:rPr>
          <w:rFonts w:hint="cs"/>
          <w:rtl/>
          <w:lang w:val="en-CA"/>
        </w:rPr>
        <w:t xml:space="preserve">, כגון זהותו הדתית של ההוגה והשפה שבה הוא כותב. כפי שכתב אחד מגדולי החוקרים של </w:t>
      </w:r>
      <w:proofErr w:type="spellStart"/>
      <w:r>
        <w:rPr>
          <w:rFonts w:hint="cs"/>
          <w:rtl/>
          <w:lang w:val="en-CA"/>
        </w:rPr>
        <w:t>הפילוספיה</w:t>
      </w:r>
      <w:proofErr w:type="spellEnd"/>
      <w:r>
        <w:rPr>
          <w:rFonts w:hint="cs"/>
          <w:rtl/>
          <w:lang w:val="en-CA"/>
        </w:rPr>
        <w:t xml:space="preserve"> </w:t>
      </w:r>
      <w:r>
        <w:rPr>
          <w:rFonts w:hint="cs"/>
          <w:rtl/>
          <w:lang w:val="en-CA"/>
        </w:rPr>
        <w:lastRenderedPageBreak/>
        <w:t xml:space="preserve">היהודית בראשית המאה העשרים, יוליוס גוטמן </w:t>
      </w:r>
      <w:r>
        <w:rPr>
          <w:rtl/>
          <w:lang w:val="en-CA"/>
        </w:rPr>
        <w:t>–</w:t>
      </w:r>
      <w:r>
        <w:rPr>
          <w:rFonts w:hint="cs"/>
          <w:rtl/>
          <w:lang w:val="en-CA"/>
        </w:rPr>
        <w:t xml:space="preserve"> "יש פילוסופים ויש יהודים, ויש יהודים שעוסקים בפילוסופיה, אך אין פילוסופיה יהודית". אם בכל זאת נרצה לדבר על פילוסופיה יהודית, ניתן להשתמש אך ורק במאפיינים צורניים כגון זהותו של הכותב או שפת הכתיבה. מעתה ואילך נכנה </w:t>
      </w:r>
      <w:r w:rsidRPr="00630860">
        <w:rPr>
          <w:rFonts w:hint="cs"/>
          <w:rtl/>
          <w:lang w:val="en-CA"/>
        </w:rPr>
        <w:t>כיוון</w:t>
      </w:r>
      <w:r w:rsidRPr="00630860">
        <w:rPr>
          <w:rtl/>
          <w:lang w:val="en-CA"/>
        </w:rPr>
        <w:t xml:space="preserve"> </w:t>
      </w:r>
      <w:r w:rsidRPr="00630860">
        <w:rPr>
          <w:rFonts w:hint="cs"/>
          <w:rtl/>
          <w:lang w:val="en-CA"/>
        </w:rPr>
        <w:t>זה</w:t>
      </w:r>
      <w:r>
        <w:rPr>
          <w:rFonts w:hint="cs"/>
          <w:rtl/>
          <w:lang w:val="en-CA"/>
        </w:rPr>
        <w:t xml:space="preserve"> 'פילוסופיה יהודית'.</w:t>
      </w:r>
    </w:p>
    <w:p w:rsidR="00B85F38" w:rsidRDefault="00B85F38" w:rsidP="006C24E2">
      <w:pPr>
        <w:rPr>
          <w:rtl/>
          <w:lang w:val="en-CA"/>
        </w:rPr>
      </w:pPr>
      <w:r>
        <w:rPr>
          <w:rFonts w:hint="cs"/>
          <w:rtl/>
          <w:lang w:val="en-CA"/>
        </w:rPr>
        <w:t xml:space="preserve">הכיוון השני מקבל אף הוא את הנחת היסוד של השאלה כי פילוסופיה היא מדע אוניברסלי, ועל כן מגדיר את הפילוסופיה היהודית כפילוסופיה אשר מטרתה אישוש וחיזוק הדת היהודית. לכיוון זה נקרא 'אמונה', והוא מתאפיין בדרוש הידוע על מטבע התפילה </w:t>
      </w:r>
      <w:r>
        <w:rPr>
          <w:rtl/>
          <w:lang w:val="en-CA"/>
        </w:rPr>
        <w:t>–</w:t>
      </w:r>
      <w:r>
        <w:rPr>
          <w:rFonts w:hint="cs"/>
          <w:rtl/>
          <w:lang w:val="en-CA"/>
        </w:rPr>
        <w:t xml:space="preserve"> "אין </w:t>
      </w:r>
      <w:proofErr w:type="spellStart"/>
      <w:r>
        <w:rPr>
          <w:rFonts w:hint="cs"/>
          <w:rtl/>
          <w:lang w:val="en-CA"/>
        </w:rPr>
        <w:t>כא-לוהינו</w:t>
      </w:r>
      <w:proofErr w:type="spellEnd"/>
      <w:r>
        <w:rPr>
          <w:rFonts w:hint="cs"/>
          <w:rtl/>
          <w:lang w:val="en-CA"/>
        </w:rPr>
        <w:t xml:space="preserve"> מי </w:t>
      </w:r>
      <w:proofErr w:type="spellStart"/>
      <w:r>
        <w:rPr>
          <w:rFonts w:hint="cs"/>
          <w:rtl/>
          <w:lang w:val="en-CA"/>
        </w:rPr>
        <w:t>כא-לוהינו</w:t>
      </w:r>
      <w:proofErr w:type="spellEnd"/>
      <w:r>
        <w:rPr>
          <w:rFonts w:hint="cs"/>
          <w:rtl/>
          <w:lang w:val="en-CA"/>
        </w:rPr>
        <w:t xml:space="preserve">". ראשית אנו קובעים שאין </w:t>
      </w:r>
      <w:proofErr w:type="spellStart"/>
      <w:r>
        <w:rPr>
          <w:rFonts w:hint="cs"/>
          <w:rtl/>
          <w:lang w:val="en-CA"/>
        </w:rPr>
        <w:t>כא-לוהינו</w:t>
      </w:r>
      <w:proofErr w:type="spellEnd"/>
      <w:r>
        <w:rPr>
          <w:rFonts w:hint="cs"/>
          <w:rtl/>
          <w:lang w:val="en-CA"/>
        </w:rPr>
        <w:t>, ורק לאחר מכן אנו שואלים מיהו והאם יש כמוהו</w:t>
      </w:r>
      <w:r>
        <w:rPr>
          <w:rStyle w:val="a6"/>
          <w:rtl/>
          <w:lang w:val="en-CA"/>
        </w:rPr>
        <w:footnoteReference w:id="2"/>
      </w:r>
      <w:r>
        <w:rPr>
          <w:rFonts w:hint="cs"/>
          <w:rtl/>
          <w:lang w:val="en-CA"/>
        </w:rPr>
        <w:t xml:space="preserve">. תפיסה מעין זו, כמובן, אינה יכולה באמת להיחשב פילוסופיה, כיוון שאין היא עוסקת אלא בהוכחת המבוקש, ומטרתה מונחת לה מראש. בעיה נוספת העולה משיטה זו היא שלא ברור כיצד אנו מגיעים לאותו מבוקש שברצוננו להוכיח </w:t>
      </w:r>
      <w:r>
        <w:rPr>
          <w:rtl/>
          <w:lang w:val="en-CA"/>
        </w:rPr>
        <w:t>–</w:t>
      </w:r>
      <w:r>
        <w:rPr>
          <w:rFonts w:hint="cs"/>
          <w:rtl/>
          <w:lang w:val="en-CA"/>
        </w:rPr>
        <w:t xml:space="preserve"> אלא אם כן נניח שעיקרי אמונה אלו או אחרים ניתנו למשה מסיני או נפסקו להלכה על ידי עם ישראל וממילא מחייבים ואמתיים.</w:t>
      </w:r>
    </w:p>
    <w:p w:rsidR="00B85F38" w:rsidRDefault="00B85F38" w:rsidP="00B85F38">
      <w:pPr>
        <w:rPr>
          <w:rtl/>
          <w:lang w:val="en-CA"/>
        </w:rPr>
      </w:pPr>
      <w:r>
        <w:rPr>
          <w:rFonts w:hint="cs"/>
          <w:rtl/>
          <w:lang w:val="en-CA"/>
        </w:rPr>
        <w:t xml:space="preserve">תשובה שלישית כופרת בהנחת היסוד כי פילוסופיה היא מדע אוניברסלי לגמרי בדומה לפיזיקה או למתמטיקה. מאחר והפילוסופיה שבה אנו דנים כאן אינה מדעי הטבע כי אם המדעים שמעל הטבע, 'מטפיזיקה', ממילא אפשר לטעון כי דרכי הטיעונים והראיות אינם שווים. מאחר ואין אנו חווים, ובעיקר אין אנו יכולים לתאר, את העולם המטפיזי באופן ישיר, אלא רק דרך דימויים השאובים מן העולם הפיסי שסביבנו (ויוכיחו מושגים כעין 'רוח' או 'צורה', שהם המושגים המופשטים ביותר, ומכל מקום בנויים על מושגים פיסיים), הרי שהעולם שבו נטוע הפילוסוף משפיע השפעה מכרעת על תפיסותיו. </w:t>
      </w:r>
      <w:proofErr w:type="spellStart"/>
      <w:r>
        <w:rPr>
          <w:rFonts w:hint="cs"/>
          <w:rtl/>
          <w:lang w:val="en-CA"/>
        </w:rPr>
        <w:t>ידויק</w:t>
      </w:r>
      <w:proofErr w:type="spellEnd"/>
      <w:r>
        <w:rPr>
          <w:rFonts w:hint="cs"/>
          <w:rtl/>
          <w:lang w:val="en-CA"/>
        </w:rPr>
        <w:t xml:space="preserve">, כי אם אין באמירה זו כדי לבטל את ערך האמת שייתכן שיש לפילוסופיה, אלא רק להצביע על מגבלות התבונה האנושית. לאור זאת יש מקום להציע, כי הפילוסופיה היהודית היא כל עיסוק בשאלות הפילוסופיות, אף האוניברסליות ביותר, מתוך החוויה היהודית. על פי תשובה זו ייתכן שהתחום צריך להיקרא 'מחשבת ישראל', כלומר עולם המחשבה כפי שנוצר בקרבו של עם ישראל. </w:t>
      </w:r>
    </w:p>
    <w:p w:rsidR="00B85F38" w:rsidRDefault="00B85F38" w:rsidP="00B85F38">
      <w:pPr>
        <w:rPr>
          <w:rtl/>
          <w:lang w:val="en-CA"/>
        </w:rPr>
      </w:pPr>
      <w:r>
        <w:rPr>
          <w:rFonts w:hint="cs"/>
          <w:rtl/>
          <w:lang w:val="en-CA"/>
        </w:rPr>
        <w:t>מובן שתשובה זו זקוקה עדיין להגדרה מהי '</w:t>
      </w:r>
      <w:proofErr w:type="spellStart"/>
      <w:r>
        <w:rPr>
          <w:rFonts w:hint="cs"/>
          <w:rtl/>
          <w:lang w:val="en-CA"/>
        </w:rPr>
        <w:t>החווייה</w:t>
      </w:r>
      <w:proofErr w:type="spellEnd"/>
      <w:r>
        <w:rPr>
          <w:rFonts w:hint="cs"/>
          <w:rtl/>
          <w:lang w:val="en-CA"/>
        </w:rPr>
        <w:t xml:space="preserve"> היהודית'. אך כאן דומני שתשובה מתקבלת על הדעת היא </w:t>
      </w:r>
      <w:r>
        <w:rPr>
          <w:rtl/>
          <w:lang w:val="en-CA"/>
        </w:rPr>
        <w:t>–</w:t>
      </w:r>
      <w:r>
        <w:rPr>
          <w:rFonts w:hint="cs"/>
          <w:rtl/>
          <w:lang w:val="en-CA"/>
        </w:rPr>
        <w:t xml:space="preserve"> חיים בתוך קהילה יהודית; </w:t>
      </w:r>
      <w:r w:rsidRPr="00252070">
        <w:rPr>
          <w:rFonts w:hint="cs"/>
          <w:rtl/>
          <w:lang w:val="en-CA"/>
        </w:rPr>
        <w:t>כזו</w:t>
      </w:r>
      <w:r w:rsidRPr="00252070">
        <w:rPr>
          <w:rtl/>
          <w:lang w:val="en-CA"/>
        </w:rPr>
        <w:t xml:space="preserve"> </w:t>
      </w:r>
      <w:r w:rsidRPr="004E0BB1">
        <w:rPr>
          <w:rFonts w:hint="cs"/>
          <w:rtl/>
          <w:lang w:val="en-CA"/>
        </w:rPr>
        <w:t>בעלת</w:t>
      </w:r>
      <w:r w:rsidRPr="004E0BB1">
        <w:rPr>
          <w:rtl/>
          <w:lang w:val="en-CA"/>
        </w:rPr>
        <w:t xml:space="preserve"> </w:t>
      </w:r>
      <w:r w:rsidRPr="004E0BB1">
        <w:rPr>
          <w:rFonts w:hint="cs"/>
          <w:rtl/>
          <w:lang w:val="en-CA"/>
        </w:rPr>
        <w:t>תודעה</w:t>
      </w:r>
      <w:r w:rsidRPr="004E0BB1">
        <w:rPr>
          <w:rtl/>
          <w:lang w:val="en-CA"/>
        </w:rPr>
        <w:t xml:space="preserve"> </w:t>
      </w:r>
      <w:r w:rsidRPr="004E0BB1">
        <w:rPr>
          <w:rFonts w:hint="cs"/>
          <w:rtl/>
          <w:lang w:val="en-CA"/>
        </w:rPr>
        <w:t>יהודית</w:t>
      </w:r>
      <w:r w:rsidRPr="004E0BB1">
        <w:rPr>
          <w:rtl/>
          <w:lang w:val="en-CA"/>
        </w:rPr>
        <w:t xml:space="preserve"> </w:t>
      </w:r>
      <w:r w:rsidRPr="004E0BB1">
        <w:rPr>
          <w:rFonts w:hint="cs"/>
          <w:rtl/>
          <w:lang w:val="en-CA"/>
        </w:rPr>
        <w:t>של</w:t>
      </w:r>
      <w:r w:rsidRPr="004E0BB1">
        <w:rPr>
          <w:rtl/>
          <w:lang w:val="en-CA"/>
        </w:rPr>
        <w:t xml:space="preserve"> </w:t>
      </w:r>
      <w:r w:rsidRPr="004E0BB1">
        <w:rPr>
          <w:rFonts w:hint="cs"/>
          <w:rtl/>
          <w:lang w:val="en-CA"/>
        </w:rPr>
        <w:t>המשכיות</w:t>
      </w:r>
      <w:r w:rsidRPr="004E0BB1">
        <w:rPr>
          <w:rtl/>
          <w:lang w:val="en-CA"/>
        </w:rPr>
        <w:t xml:space="preserve"> </w:t>
      </w:r>
      <w:r w:rsidRPr="004E0BB1">
        <w:rPr>
          <w:rFonts w:hint="cs"/>
          <w:rtl/>
          <w:lang w:val="en-CA"/>
        </w:rPr>
        <w:t>יהודית</w:t>
      </w:r>
      <w:r w:rsidRPr="004E0BB1">
        <w:rPr>
          <w:rtl/>
          <w:lang w:val="en-CA"/>
        </w:rPr>
        <w:t xml:space="preserve">, </w:t>
      </w:r>
      <w:r w:rsidRPr="004E0BB1">
        <w:rPr>
          <w:rFonts w:hint="cs"/>
          <w:rtl/>
          <w:lang w:val="en-CA"/>
        </w:rPr>
        <w:t>תוך</w:t>
      </w:r>
      <w:r w:rsidRPr="004E0BB1">
        <w:rPr>
          <w:rtl/>
          <w:lang w:val="en-CA"/>
        </w:rPr>
        <w:t xml:space="preserve"> </w:t>
      </w:r>
      <w:r w:rsidRPr="004E0BB1">
        <w:rPr>
          <w:rFonts w:hint="cs"/>
          <w:rtl/>
          <w:lang w:val="en-CA"/>
        </w:rPr>
        <w:t>מחויבות</w:t>
      </w:r>
      <w:r w:rsidRPr="004E0BB1">
        <w:rPr>
          <w:rtl/>
          <w:lang w:val="en-CA"/>
        </w:rPr>
        <w:t xml:space="preserve"> </w:t>
      </w:r>
      <w:r w:rsidRPr="004E0BB1">
        <w:rPr>
          <w:rFonts w:hint="cs"/>
          <w:rtl/>
          <w:lang w:val="en-CA"/>
        </w:rPr>
        <w:t>לאורח</w:t>
      </w:r>
      <w:r w:rsidRPr="004E0BB1">
        <w:rPr>
          <w:rtl/>
          <w:lang w:val="en-CA"/>
        </w:rPr>
        <w:t xml:space="preserve"> </w:t>
      </w:r>
      <w:r w:rsidRPr="004E0BB1">
        <w:rPr>
          <w:rFonts w:hint="cs"/>
          <w:rtl/>
          <w:lang w:val="en-CA"/>
        </w:rPr>
        <w:t>החיים</w:t>
      </w:r>
      <w:r w:rsidRPr="004E0BB1">
        <w:rPr>
          <w:rtl/>
          <w:lang w:val="en-CA"/>
        </w:rPr>
        <w:t xml:space="preserve"> </w:t>
      </w:r>
      <w:r w:rsidRPr="004E0BB1">
        <w:rPr>
          <w:rFonts w:hint="cs"/>
          <w:rtl/>
          <w:lang w:val="en-CA"/>
        </w:rPr>
        <w:t>היהודי</w:t>
      </w:r>
      <w:r w:rsidRPr="00252070">
        <w:rPr>
          <w:rtl/>
          <w:lang w:val="en-CA"/>
        </w:rPr>
        <w:t xml:space="preserve">, </w:t>
      </w:r>
      <w:r w:rsidRPr="00252070">
        <w:rPr>
          <w:rFonts w:hint="cs"/>
          <w:rtl/>
          <w:lang w:val="en-CA"/>
        </w:rPr>
        <w:t>היינו</w:t>
      </w:r>
      <w:r w:rsidRPr="00252070">
        <w:rPr>
          <w:rtl/>
          <w:lang w:val="en-CA"/>
        </w:rPr>
        <w:t xml:space="preserve">, </w:t>
      </w:r>
      <w:r w:rsidRPr="004E0BB1">
        <w:rPr>
          <w:rFonts w:hint="cs"/>
          <w:rtl/>
          <w:lang w:val="en-CA"/>
        </w:rPr>
        <w:t>ההלכה</w:t>
      </w:r>
      <w:r w:rsidRPr="004E0BB1">
        <w:rPr>
          <w:rtl/>
          <w:lang w:val="en-CA"/>
        </w:rPr>
        <w:t xml:space="preserve"> </w:t>
      </w:r>
      <w:r w:rsidRPr="004E0BB1">
        <w:rPr>
          <w:rFonts w:hint="cs"/>
          <w:rtl/>
          <w:lang w:val="en-CA"/>
        </w:rPr>
        <w:t>כפי</w:t>
      </w:r>
      <w:r w:rsidRPr="004E0BB1">
        <w:rPr>
          <w:rtl/>
          <w:lang w:val="en-CA"/>
        </w:rPr>
        <w:t xml:space="preserve"> </w:t>
      </w:r>
      <w:r w:rsidRPr="004E0BB1">
        <w:rPr>
          <w:rFonts w:hint="cs"/>
          <w:rtl/>
          <w:lang w:val="en-CA"/>
        </w:rPr>
        <w:t>שהיא</w:t>
      </w:r>
      <w:r w:rsidRPr="004E0BB1">
        <w:rPr>
          <w:rtl/>
          <w:lang w:val="en-CA"/>
        </w:rPr>
        <w:t xml:space="preserve"> </w:t>
      </w:r>
      <w:r w:rsidRPr="004E0BB1">
        <w:rPr>
          <w:rFonts w:hint="cs"/>
          <w:rtl/>
          <w:lang w:val="en-CA"/>
        </w:rPr>
        <w:t>נתפסת</w:t>
      </w:r>
      <w:r w:rsidRPr="004E0BB1">
        <w:rPr>
          <w:rtl/>
          <w:lang w:val="en-CA"/>
        </w:rPr>
        <w:t xml:space="preserve"> </w:t>
      </w:r>
      <w:r w:rsidRPr="004E0BB1">
        <w:rPr>
          <w:rFonts w:hint="cs"/>
          <w:rtl/>
          <w:lang w:val="en-CA"/>
        </w:rPr>
        <w:t>באותו</w:t>
      </w:r>
      <w:r w:rsidRPr="004E0BB1">
        <w:rPr>
          <w:rtl/>
          <w:lang w:val="en-CA"/>
        </w:rPr>
        <w:t xml:space="preserve"> </w:t>
      </w:r>
      <w:r w:rsidRPr="004E0BB1">
        <w:rPr>
          <w:rFonts w:hint="cs"/>
          <w:rtl/>
          <w:lang w:val="en-CA"/>
        </w:rPr>
        <w:t>הזמן</w:t>
      </w:r>
      <w:r w:rsidRPr="004E0BB1">
        <w:rPr>
          <w:rtl/>
          <w:lang w:val="en-CA"/>
        </w:rPr>
        <w:t>.</w:t>
      </w:r>
    </w:p>
    <w:p w:rsidR="00B85F38" w:rsidRDefault="00B85F38" w:rsidP="00B85F38">
      <w:pPr>
        <w:rPr>
          <w:rtl/>
          <w:lang w:val="en-CA"/>
        </w:rPr>
      </w:pPr>
      <w:r>
        <w:rPr>
          <w:rFonts w:hint="cs"/>
          <w:rtl/>
          <w:lang w:val="en-CA"/>
        </w:rPr>
        <w:lastRenderedPageBreak/>
        <w:t>אם נקבל את ההגדרה האחרונה, הרי שמתגלה לנו דבר חדש. לא הטקסט הוא שקובע אם אדם לומד מחשבת ישראל, כי אם הקורא. יכול אדם לקרוא את הכוזרי, מורה הנבוכים או אורות לרב קוק, ואם אין הוא עצמו נטוע בתוך החוויה היהודית, הרי שקריאתו אינה מייצרת 'מחשבת ישראל', כי אם פילוסופיה סתם. ויכול אדם לקרוא את אריסטו וחבריו, ומכיוון שכל כולו נתון בתוך החוויה היהודית, הרי שקריאתו תהיה 'מחשבת ישראל', וכפי שאני מאמין שהייתה קריאתו של הרמב"ם, לדוגמה, את כתבי הפילוסופים המוסלמים</w:t>
      </w:r>
      <w:r>
        <w:rPr>
          <w:rStyle w:val="a6"/>
          <w:rtl/>
          <w:lang w:val="en-CA"/>
        </w:rPr>
        <w:footnoteReference w:id="3"/>
      </w:r>
      <w:r>
        <w:rPr>
          <w:rFonts w:hint="cs"/>
          <w:rtl/>
          <w:lang w:val="en-CA"/>
        </w:rPr>
        <w:t>.</w:t>
      </w:r>
    </w:p>
    <w:p w:rsidR="00B85F38" w:rsidRDefault="00B85F38" w:rsidP="00B85F38">
      <w:pPr>
        <w:rPr>
          <w:rtl/>
          <w:lang w:val="en-CA"/>
        </w:rPr>
      </w:pPr>
      <w:r>
        <w:rPr>
          <w:rFonts w:hint="cs"/>
          <w:rtl/>
          <w:lang w:val="en-CA"/>
        </w:rPr>
        <w:t xml:space="preserve">במסגרת שיעורינו הבאים נשתדל, אם ירצה השם, לעסוק בסוגיות שונות, מתוך העמדה השלישית שהצגנו; אין אנחנו קובעים מראש את תוצאת העיון, אך גם איננו פילוסופים אשר במקרה </w:t>
      </w:r>
      <w:proofErr w:type="spellStart"/>
      <w:r>
        <w:rPr>
          <w:rFonts w:hint="cs"/>
          <w:rtl/>
          <w:lang w:val="en-CA"/>
        </w:rPr>
        <w:t>נזדמנו</w:t>
      </w:r>
      <w:proofErr w:type="spellEnd"/>
      <w:r>
        <w:rPr>
          <w:rFonts w:hint="cs"/>
          <w:rtl/>
          <w:lang w:val="en-CA"/>
        </w:rPr>
        <w:t xml:space="preserve"> להיות יהודים. אנחנו עוסקים במחשבת ישראל, כלומר אנו חושבים את מחשבותינו מתוך הווייתנו הנטועה עמוק בקיום היהודי, כאשר עבודת השם אינה ח"ו מרכיב צדדי ואף לא ידע נתון מראש, כי אם הכוח המדרבן והדוחף אותנו ללימוד, וערך המתקיים באמצעות הלימוד עצמו.</w:t>
      </w:r>
    </w:p>
    <w:p w:rsidR="00B85F38" w:rsidRDefault="00B85F38" w:rsidP="00B85F38">
      <w:pPr>
        <w:rPr>
          <w:rtl/>
          <w:lang w:val="en-CA"/>
        </w:rPr>
      </w:pPr>
    </w:p>
    <w:p w:rsidR="00B85F38" w:rsidRPr="00B85F38" w:rsidRDefault="00B85F38" w:rsidP="00B85F38">
      <w:pPr>
        <w:pStyle w:val="3"/>
        <w:jc w:val="center"/>
        <w:rPr>
          <w:rFonts w:ascii="Arial" w:hAnsi="Arial"/>
        </w:rPr>
      </w:pPr>
      <w:r w:rsidRPr="00B85F38">
        <w:rPr>
          <w:rFonts w:ascii="Arial" w:hAnsi="Arial" w:hint="cs"/>
          <w:rtl/>
        </w:rPr>
        <w:t>גורמים מעוררים היסטוריים ופנימיים</w:t>
      </w:r>
    </w:p>
    <w:p w:rsidR="00B85F38" w:rsidRPr="001025C0" w:rsidRDefault="00B85F38" w:rsidP="00B85F38">
      <w:pPr>
        <w:rPr>
          <w:rtl/>
          <w:lang w:val="en-CA"/>
        </w:rPr>
      </w:pPr>
      <w:r>
        <w:rPr>
          <w:rFonts w:hint="cs"/>
          <w:rtl/>
          <w:lang w:val="en-CA"/>
        </w:rPr>
        <w:t xml:space="preserve">כפי שנאמר לעיל, מטרתנו בשיעור זה היא לנסות ולהבין את הכוחות שהניעו הוגים יהודים שונים ליצור ולכתוב את ספריהם. בתחום זה יש לחלק בין המניע ובין המטרה. לצורך הדגמת העניין נביט לרגע קט בסוגיית לימוד תורה לשמה. בגמרא בפסחים בדף נ ע"ב מובאת אמרתו של רב יהודה בשם רב </w:t>
      </w:r>
      <w:r>
        <w:rPr>
          <w:rtl/>
          <w:lang w:val="en-CA"/>
        </w:rPr>
        <w:t>–</w:t>
      </w:r>
      <w:r>
        <w:rPr>
          <w:rFonts w:hint="cs"/>
          <w:rtl/>
          <w:lang w:val="en-CA"/>
        </w:rPr>
        <w:t xml:space="preserve"> "לעולם יעסוק אדם בתורה ובמצות, אף על פי שלא לשמה, שמתוך שלא לשמה בא לשמה". תוספות עימתו אמירה זו עם אמירה אחרת של רב, בברכות </w:t>
      </w:r>
      <w:proofErr w:type="spellStart"/>
      <w:r>
        <w:rPr>
          <w:rFonts w:hint="cs"/>
          <w:rtl/>
          <w:lang w:val="en-CA"/>
        </w:rPr>
        <w:t>יז</w:t>
      </w:r>
      <w:proofErr w:type="spellEnd"/>
      <w:r>
        <w:rPr>
          <w:rFonts w:hint="cs"/>
          <w:rtl/>
          <w:lang w:val="en-CA"/>
        </w:rPr>
        <w:t xml:space="preserve"> ע"א, ש"כל העוסק בתורה שלא לשמה נח לו שלא נברא", ותירצו כי יש לחלק בין חוסר כוונה סתמי לכוונה שלילית. אמנם, מדברי הרמב"ם בהלכות תשובה פרק י הלכות ד-ה עולה חילוק אחר. הרמב"ם מבין שהעיסוק שלא לשמה שאליו </w:t>
      </w:r>
      <w:proofErr w:type="spellStart"/>
      <w:r>
        <w:rPr>
          <w:rFonts w:hint="cs"/>
          <w:rtl/>
          <w:lang w:val="en-CA"/>
        </w:rPr>
        <w:t>נתכוונו</w:t>
      </w:r>
      <w:proofErr w:type="spellEnd"/>
      <w:r>
        <w:rPr>
          <w:rFonts w:hint="cs"/>
          <w:rtl/>
          <w:lang w:val="en-CA"/>
        </w:rPr>
        <w:t xml:space="preserve"> בגמרא בפסחים הוא כגון "הלומד על מנת להתעשר או על מנת שיקראוהו רבי", ובסופו של דבר מעשה הלימוד הוא על מנת לעשות. לעומת זאת, בגמרא בברכות מעשה הלימוד עצמו משנה את אופיו, כיוון שאין הוא על מנת לעשות, ועל כן נוח לו שלא נברא.</w:t>
      </w:r>
    </w:p>
    <w:p w:rsidR="00B85F38" w:rsidRDefault="00B85F38" w:rsidP="00B85F38">
      <w:pPr>
        <w:rPr>
          <w:rtl/>
        </w:rPr>
      </w:pPr>
      <w:r>
        <w:rPr>
          <w:rFonts w:hint="cs"/>
          <w:rtl/>
        </w:rPr>
        <w:t xml:space="preserve">למעשה הדברים מוכחים גם מהמשך הסוגיה בפסחים, המדברת על סופרי סת"ם שאינם רואים סימן ברכה לעולם אלא אם כן עוסקים 'לשמה'. מבאר רבי יהושע בן לוי שמאחר ומטרתם היא להרוויח כסף הרי הקב"ה מסובב שלא ירוויחו ולא יימנעו מלכתוב. והנה, ספר תורה שנכתב שלא לשמה פסול; האם נאמר שסופרים אלו, שמטרתם הרווחת ממון, כותבים ספרים פסולים? ברור שאין הדבר כך, אלא שיש לחלק </w:t>
      </w:r>
      <w:r>
        <w:rPr>
          <w:rFonts w:hint="cs"/>
          <w:rtl/>
        </w:rPr>
        <w:lastRenderedPageBreak/>
        <w:t>בין שאלת המניע, שיכול להיות כסף או כבוד, ובין שאלת אופי המעשה עצמו, שהוא לשם כתיבת ספר תורה.</w:t>
      </w:r>
    </w:p>
    <w:p w:rsidR="00B85F38" w:rsidRDefault="00B85F38" w:rsidP="00B85F38">
      <w:pPr>
        <w:rPr>
          <w:rtl/>
        </w:rPr>
      </w:pPr>
      <w:r>
        <w:rPr>
          <w:rFonts w:hint="cs"/>
          <w:rtl/>
        </w:rPr>
        <w:t xml:space="preserve">שני סוגי סיבות אלו קיימים גם לגבי הנדון בבירור שלנו: אמונות ודעות, ספרו של רבי סעדיה גאון, ספר הכוזרי, ובמידה מסוימת גם מורה נבוכים, הם ספרים שנכתבו מתוך מגמה אפולוגטית מובהקת. הדבר נכתב במפורש בהקדמותיהם, ובספר הכוזרי אף ככותרת לספר </w:t>
      </w:r>
      <w:r>
        <w:rPr>
          <w:rtl/>
        </w:rPr>
        <w:t>–</w:t>
      </w:r>
      <w:r>
        <w:rPr>
          <w:rFonts w:hint="cs"/>
          <w:rtl/>
        </w:rPr>
        <w:t xml:space="preserve"> 'להגנת הדת המושפלת והמבוזה'. כלומר, הכוח שעורר את ההוגים הללו לכתיבה, וכמדומה שגם ליצירה, הוא כוח חיצוני </w:t>
      </w:r>
      <w:r w:rsidRPr="001A1B85">
        <w:rPr>
          <w:rtl/>
        </w:rPr>
        <w:t>"</w:t>
      </w:r>
      <w:r w:rsidRPr="001A1B85">
        <w:rPr>
          <w:rFonts w:hint="cs"/>
          <w:rtl/>
        </w:rPr>
        <w:t>לוחץ</w:t>
      </w:r>
      <w:r w:rsidRPr="001A1B85">
        <w:rPr>
          <w:rtl/>
        </w:rPr>
        <w:t>"</w:t>
      </w:r>
      <w:r>
        <w:rPr>
          <w:rFonts w:hint="cs"/>
          <w:rtl/>
        </w:rPr>
        <w:t>. אמנם, בדומה לחילוקנו דלעיל בין מניע ובין מטרה ואופי, אף כאן יש לחלק חילוק דומה. המניע הדוחף אמנם היה הלחץ החיצוני והרצון לענות לתוקפים ולמכחישים, בין מבחוץ ובין מבפנים, אך כאשר באנו לכתיבה עצמה, הרי שעניינם של ספרים אלו אינו תשובה על טענות מבחוץ, כי אם פתרון המתחים שהתגלעו בתוך החשיבה היהודית עצמה. הבעיות החיצוניות, כך נראה, משמשות כזרז החושף ומעורר את העיון הפנימי.</w:t>
      </w:r>
    </w:p>
    <w:p w:rsidR="00912F19" w:rsidRDefault="00912F19" w:rsidP="00D0046A">
      <w:pPr>
        <w:rPr>
          <w:rtl/>
        </w:rPr>
      </w:pPr>
    </w:p>
    <w:p w:rsidR="00835C1F" w:rsidRPr="00691341" w:rsidRDefault="00835C1F" w:rsidP="00835C1F">
      <w:pPr>
        <w:jc w:val="center"/>
        <w:rPr>
          <w:rFonts w:ascii="Arial" w:hAnsi="Arial" w:cs="Arial"/>
          <w:b/>
          <w:bCs/>
        </w:rPr>
      </w:pPr>
      <w:r>
        <w:rPr>
          <w:rFonts w:ascii="Arial" w:hAnsi="Arial" w:cs="Arial" w:hint="cs"/>
          <w:b/>
          <w:bCs/>
          <w:rtl/>
        </w:rPr>
        <w:t>מקורות לשיעור הבא</w:t>
      </w:r>
    </w:p>
    <w:p w:rsidR="00835C1F" w:rsidRDefault="00835C1F" w:rsidP="00835C1F">
      <w:pPr>
        <w:rPr>
          <w:rtl/>
          <w:lang w:val="en-CA"/>
        </w:rPr>
      </w:pPr>
      <w:r>
        <w:rPr>
          <w:rFonts w:hint="cs"/>
          <w:u w:val="single"/>
          <w:rtl/>
          <w:lang w:val="en-CA"/>
        </w:rPr>
        <w:t>הקדמה:</w:t>
      </w:r>
      <w:r>
        <w:rPr>
          <w:rFonts w:hint="cs"/>
          <w:rtl/>
          <w:lang w:val="en-CA"/>
        </w:rPr>
        <w:t xml:space="preserve"> על סוגים שונים של מניעים, עיינו פסחים </w:t>
      </w:r>
      <w:r w:rsidRPr="000F3905">
        <w:rPr>
          <w:rFonts w:hint="cs"/>
          <w:rtl/>
          <w:lang w:val="en-CA"/>
        </w:rPr>
        <w:t>נ</w:t>
      </w:r>
      <w:r>
        <w:rPr>
          <w:rFonts w:hint="cs"/>
          <w:rtl/>
          <w:lang w:val="en-CA"/>
        </w:rPr>
        <w:t xml:space="preserve"> ע"ב "</w:t>
      </w:r>
      <w:r w:rsidRPr="005F0FA0">
        <w:rPr>
          <w:rFonts w:hint="cs"/>
          <w:rtl/>
          <w:lang w:val="en-CA"/>
        </w:rPr>
        <w:t>רבא</w:t>
      </w:r>
      <w:r w:rsidRPr="005F0FA0">
        <w:rPr>
          <w:rtl/>
          <w:lang w:val="en-CA"/>
        </w:rPr>
        <w:t xml:space="preserve"> </w:t>
      </w:r>
      <w:r w:rsidRPr="005F0FA0">
        <w:rPr>
          <w:rFonts w:hint="cs"/>
          <w:rtl/>
          <w:lang w:val="en-CA"/>
        </w:rPr>
        <w:t>רמי</w:t>
      </w:r>
      <w:r>
        <w:rPr>
          <w:rFonts w:hint="cs"/>
          <w:rtl/>
          <w:lang w:val="en-CA"/>
        </w:rPr>
        <w:t xml:space="preserve">... </w:t>
      </w:r>
      <w:r w:rsidRPr="005F0FA0">
        <w:rPr>
          <w:rFonts w:hint="cs"/>
          <w:rtl/>
          <w:lang w:val="en-CA"/>
        </w:rPr>
        <w:t>שמתוך</w:t>
      </w:r>
      <w:r w:rsidRPr="005F0FA0">
        <w:rPr>
          <w:rtl/>
          <w:lang w:val="en-CA"/>
        </w:rPr>
        <w:t xml:space="preserve"> </w:t>
      </w:r>
      <w:r w:rsidRPr="005F0FA0">
        <w:rPr>
          <w:rFonts w:hint="cs"/>
          <w:rtl/>
          <w:lang w:val="en-CA"/>
        </w:rPr>
        <w:t>שלא</w:t>
      </w:r>
      <w:r w:rsidRPr="005F0FA0">
        <w:rPr>
          <w:rtl/>
          <w:lang w:val="en-CA"/>
        </w:rPr>
        <w:t xml:space="preserve"> </w:t>
      </w:r>
      <w:r w:rsidRPr="005F0FA0">
        <w:rPr>
          <w:rFonts w:hint="cs"/>
          <w:rtl/>
          <w:lang w:val="en-CA"/>
        </w:rPr>
        <w:t>לשמה</w:t>
      </w:r>
      <w:r w:rsidRPr="005F0FA0">
        <w:rPr>
          <w:rtl/>
          <w:lang w:val="en-CA"/>
        </w:rPr>
        <w:t xml:space="preserve"> </w:t>
      </w:r>
      <w:r w:rsidRPr="005F0FA0">
        <w:rPr>
          <w:rFonts w:hint="cs"/>
          <w:rtl/>
          <w:lang w:val="en-CA"/>
        </w:rPr>
        <w:t>בא</w:t>
      </w:r>
      <w:r w:rsidRPr="005F0FA0">
        <w:rPr>
          <w:rtl/>
          <w:lang w:val="en-CA"/>
        </w:rPr>
        <w:t xml:space="preserve"> </w:t>
      </w:r>
      <w:r w:rsidRPr="005F0FA0">
        <w:rPr>
          <w:rFonts w:hint="cs"/>
          <w:rtl/>
          <w:lang w:val="en-CA"/>
        </w:rPr>
        <w:t>לשמה</w:t>
      </w:r>
      <w:r>
        <w:rPr>
          <w:rFonts w:hint="cs"/>
          <w:rtl/>
          <w:lang w:val="en-CA"/>
        </w:rPr>
        <w:t>", "</w:t>
      </w:r>
      <w:r w:rsidRPr="005F0FA0">
        <w:rPr>
          <w:rFonts w:hint="cs"/>
          <w:rtl/>
          <w:lang w:val="en-CA"/>
        </w:rPr>
        <w:t>תנו</w:t>
      </w:r>
      <w:r w:rsidRPr="005F0FA0">
        <w:rPr>
          <w:rtl/>
          <w:lang w:val="en-CA"/>
        </w:rPr>
        <w:t xml:space="preserve"> </w:t>
      </w:r>
      <w:r w:rsidRPr="005F0FA0">
        <w:rPr>
          <w:rFonts w:hint="cs"/>
          <w:rtl/>
          <w:lang w:val="en-CA"/>
        </w:rPr>
        <w:t>רבנן</w:t>
      </w:r>
      <w:r w:rsidRPr="005F0FA0">
        <w:rPr>
          <w:rtl/>
          <w:lang w:val="en-CA"/>
        </w:rPr>
        <w:t xml:space="preserve">: </w:t>
      </w:r>
      <w:r w:rsidRPr="005F0FA0">
        <w:rPr>
          <w:rFonts w:hint="cs"/>
          <w:rtl/>
          <w:lang w:val="en-CA"/>
        </w:rPr>
        <w:t>כותבי</w:t>
      </w:r>
      <w:r w:rsidRPr="005F0FA0">
        <w:rPr>
          <w:rtl/>
          <w:lang w:val="en-CA"/>
        </w:rPr>
        <w:t xml:space="preserve"> </w:t>
      </w:r>
      <w:r w:rsidRPr="005F0FA0">
        <w:rPr>
          <w:rFonts w:hint="cs"/>
          <w:rtl/>
          <w:lang w:val="en-CA"/>
        </w:rPr>
        <w:t>ספרים</w:t>
      </w:r>
      <w:r w:rsidRPr="005F0FA0">
        <w:rPr>
          <w:rtl/>
          <w:lang w:val="en-CA"/>
        </w:rPr>
        <w:t xml:space="preserve"> </w:t>
      </w:r>
      <w:r w:rsidRPr="005F0FA0">
        <w:rPr>
          <w:rFonts w:hint="cs"/>
          <w:rtl/>
          <w:lang w:val="en-CA"/>
        </w:rPr>
        <w:t>תפילין</w:t>
      </w:r>
      <w:r w:rsidRPr="005F0FA0">
        <w:rPr>
          <w:rtl/>
          <w:lang w:val="en-CA"/>
        </w:rPr>
        <w:t xml:space="preserve"> </w:t>
      </w:r>
      <w:r w:rsidRPr="005F0FA0">
        <w:rPr>
          <w:rFonts w:hint="cs"/>
          <w:rtl/>
          <w:lang w:val="en-CA"/>
        </w:rPr>
        <w:t>ומזוזות</w:t>
      </w:r>
      <w:r>
        <w:rPr>
          <w:rFonts w:hint="cs"/>
          <w:rtl/>
          <w:lang w:val="en-CA"/>
        </w:rPr>
        <w:t xml:space="preserve">... </w:t>
      </w:r>
      <w:r w:rsidRPr="005F0FA0">
        <w:rPr>
          <w:rFonts w:hint="cs"/>
          <w:rtl/>
          <w:lang w:val="en-CA"/>
        </w:rPr>
        <w:t>אם</w:t>
      </w:r>
      <w:r w:rsidRPr="005F0FA0">
        <w:rPr>
          <w:rtl/>
          <w:lang w:val="en-CA"/>
        </w:rPr>
        <w:t xml:space="preserve"> </w:t>
      </w:r>
      <w:proofErr w:type="spellStart"/>
      <w:r w:rsidRPr="005F0FA0">
        <w:rPr>
          <w:rFonts w:hint="cs"/>
          <w:rtl/>
          <w:lang w:val="en-CA"/>
        </w:rPr>
        <w:t>עוסקין</w:t>
      </w:r>
      <w:proofErr w:type="spellEnd"/>
      <w:r w:rsidRPr="005F0FA0">
        <w:rPr>
          <w:rtl/>
          <w:lang w:val="en-CA"/>
        </w:rPr>
        <w:t xml:space="preserve"> </w:t>
      </w:r>
      <w:r w:rsidRPr="005F0FA0">
        <w:rPr>
          <w:rFonts w:hint="cs"/>
          <w:rtl/>
          <w:lang w:val="en-CA"/>
        </w:rPr>
        <w:t>לשמה</w:t>
      </w:r>
      <w:r w:rsidRPr="005F0FA0">
        <w:rPr>
          <w:rtl/>
          <w:lang w:val="en-CA"/>
        </w:rPr>
        <w:t xml:space="preserve"> - </w:t>
      </w:r>
      <w:proofErr w:type="spellStart"/>
      <w:r w:rsidRPr="005F0FA0">
        <w:rPr>
          <w:rFonts w:hint="cs"/>
          <w:rtl/>
          <w:lang w:val="en-CA"/>
        </w:rPr>
        <w:t>רואין</w:t>
      </w:r>
      <w:proofErr w:type="spellEnd"/>
      <w:r>
        <w:rPr>
          <w:rFonts w:hint="cs"/>
          <w:rtl/>
          <w:lang w:val="en-CA"/>
        </w:rPr>
        <w:t xml:space="preserve">", </w:t>
      </w:r>
      <w:proofErr w:type="spellStart"/>
      <w:r>
        <w:rPr>
          <w:rFonts w:hint="cs"/>
          <w:rtl/>
          <w:lang w:val="en-CA"/>
        </w:rPr>
        <w:t>תוד"ה</w:t>
      </w:r>
      <w:proofErr w:type="spellEnd"/>
      <w:r>
        <w:rPr>
          <w:rFonts w:hint="cs"/>
          <w:rtl/>
          <w:lang w:val="en-CA"/>
        </w:rPr>
        <w:t xml:space="preserve"> וכן בעושים, רמב"ם הלכות תשובה פרק י הלכות ד-ה.</w:t>
      </w:r>
    </w:p>
    <w:p w:rsidR="00835C1F" w:rsidRPr="005F0FA0" w:rsidRDefault="00835C1F" w:rsidP="00835C1F">
      <w:pPr>
        <w:rPr>
          <w:rtl/>
          <w:lang w:val="en-CA"/>
        </w:rPr>
      </w:pPr>
      <w:r>
        <w:rPr>
          <w:rFonts w:hint="cs"/>
          <w:rtl/>
          <w:lang w:val="en-CA"/>
        </w:rPr>
        <w:t xml:space="preserve">כעת נסקור ספרים שונים ואת מטרותיהם כפי שהוצהרו על ידי מחבריהם. מלבד הבנת המטרות, נסו, בכל אחד מן הספרים שתעיינו בו, לנסות ולהבין בקווים כליים מאוד מתי נכתב ומי היה מחברו. לגבי כל ספר ציינתי פסקה בהקדמה שלדעתי מתמצתת את מטרות המחבר. כמובן, קריאת ההקדמות כולן תעניק היקף רחב והבנה עמוקה הרבה יותר. הציטוטים הם על פי המהדורה שבפרויקט </w:t>
      </w:r>
      <w:proofErr w:type="spellStart"/>
      <w:r>
        <w:rPr>
          <w:rFonts w:hint="cs"/>
          <w:rtl/>
          <w:lang w:val="en-CA"/>
        </w:rPr>
        <w:t>השו"ת</w:t>
      </w:r>
      <w:proofErr w:type="spellEnd"/>
      <w:r>
        <w:rPr>
          <w:rFonts w:hint="cs"/>
          <w:rtl/>
          <w:lang w:val="en-CA"/>
        </w:rPr>
        <w:t>.</w:t>
      </w:r>
    </w:p>
    <w:p w:rsidR="00835C1F" w:rsidRDefault="00835C1F" w:rsidP="00835C1F">
      <w:pPr>
        <w:rPr>
          <w:rtl/>
          <w:lang w:val="en-CA"/>
        </w:rPr>
      </w:pPr>
      <w:r>
        <w:rPr>
          <w:rFonts w:hint="cs"/>
          <w:u w:val="single"/>
          <w:rtl/>
          <w:lang w:val="en-CA"/>
        </w:rPr>
        <w:t>אמונות ודעות:</w:t>
      </w:r>
      <w:r>
        <w:rPr>
          <w:rFonts w:hint="cs"/>
          <w:rtl/>
          <w:lang w:val="en-CA"/>
        </w:rPr>
        <w:t xml:space="preserve"> הקדמה "ואשר הביאני אל הדבר הזה... שיחזיק בידם וימשם".</w:t>
      </w:r>
    </w:p>
    <w:p w:rsidR="00835C1F" w:rsidRDefault="00835C1F" w:rsidP="00835C1F">
      <w:pPr>
        <w:rPr>
          <w:rtl/>
          <w:lang w:val="en-CA"/>
        </w:rPr>
      </w:pPr>
      <w:r>
        <w:rPr>
          <w:rFonts w:hint="cs"/>
          <w:u w:val="single"/>
          <w:rtl/>
          <w:lang w:val="en-CA"/>
        </w:rPr>
        <w:t>חובת הלבבות</w:t>
      </w:r>
      <w:r>
        <w:rPr>
          <w:rFonts w:hint="cs"/>
          <w:rtl/>
          <w:lang w:val="en-CA"/>
        </w:rPr>
        <w:t xml:space="preserve">: הקדמה "עיינתי בספרי הקדמונים... </w:t>
      </w:r>
      <w:proofErr w:type="spellStart"/>
      <w:r>
        <w:rPr>
          <w:rFonts w:hint="cs"/>
          <w:rtl/>
          <w:lang w:val="en-CA"/>
        </w:rPr>
        <w:t>ואחייבנה</w:t>
      </w:r>
      <w:proofErr w:type="spellEnd"/>
      <w:r>
        <w:rPr>
          <w:rFonts w:hint="cs"/>
          <w:rtl/>
          <w:lang w:val="en-CA"/>
        </w:rPr>
        <w:t xml:space="preserve"> לעשותם".</w:t>
      </w:r>
    </w:p>
    <w:p w:rsidR="00835C1F" w:rsidRDefault="00835C1F" w:rsidP="00835C1F">
      <w:pPr>
        <w:rPr>
          <w:rtl/>
          <w:lang w:val="en-CA"/>
        </w:rPr>
      </w:pPr>
      <w:r>
        <w:rPr>
          <w:rFonts w:hint="cs"/>
          <w:u w:val="single"/>
          <w:rtl/>
          <w:lang w:val="en-CA"/>
        </w:rPr>
        <w:t>מורה נבוכים</w:t>
      </w:r>
      <w:r>
        <w:rPr>
          <w:rFonts w:hint="cs"/>
          <w:rtl/>
          <w:lang w:val="en-CA"/>
        </w:rPr>
        <w:t>: פתיחה "אבל כוונת המאמר הזה להעיר... ומבוכה גדולה".</w:t>
      </w:r>
    </w:p>
    <w:p w:rsidR="00835C1F" w:rsidRDefault="00835C1F" w:rsidP="00835C1F">
      <w:pPr>
        <w:rPr>
          <w:rtl/>
          <w:lang w:val="en-CA"/>
        </w:rPr>
      </w:pPr>
      <w:r>
        <w:rPr>
          <w:rFonts w:hint="cs"/>
          <w:u w:val="single"/>
          <w:rtl/>
          <w:lang w:val="en-CA"/>
        </w:rPr>
        <w:t>ספר העיקרים</w:t>
      </w:r>
      <w:r>
        <w:rPr>
          <w:rFonts w:hint="cs"/>
          <w:rtl/>
          <w:lang w:val="en-CA"/>
        </w:rPr>
        <w:t xml:space="preserve">: הקדמה "למה </w:t>
      </w:r>
      <w:proofErr w:type="spellStart"/>
      <w:r>
        <w:rPr>
          <w:rFonts w:hint="cs"/>
          <w:rtl/>
          <w:lang w:val="en-CA"/>
        </w:rPr>
        <w:t>שהיתה</w:t>
      </w:r>
      <w:proofErr w:type="spellEnd"/>
      <w:r>
        <w:rPr>
          <w:rFonts w:hint="cs"/>
          <w:rtl/>
          <w:lang w:val="en-CA"/>
        </w:rPr>
        <w:t xml:space="preserve"> ההצלחה האנושית... בידיעת העקרים".</w:t>
      </w:r>
    </w:p>
    <w:p w:rsidR="00835C1F" w:rsidRDefault="00835C1F" w:rsidP="00835C1F">
      <w:pPr>
        <w:rPr>
          <w:lang w:val="en-CA"/>
        </w:rPr>
      </w:pPr>
      <w:r>
        <w:rPr>
          <w:rFonts w:hint="cs"/>
          <w:rtl/>
          <w:lang w:val="en-CA"/>
        </w:rPr>
        <w:t>[</w:t>
      </w:r>
      <w:r>
        <w:rPr>
          <w:rFonts w:hint="cs"/>
          <w:u w:val="single"/>
          <w:rtl/>
          <w:lang w:val="en-CA"/>
        </w:rPr>
        <w:t>גבורות השם</w:t>
      </w:r>
      <w:r>
        <w:rPr>
          <w:rFonts w:hint="cs"/>
          <w:rtl/>
          <w:lang w:val="en-CA"/>
        </w:rPr>
        <w:t>: הפתיחה השלישית.]</w:t>
      </w:r>
    </w:p>
    <w:p w:rsidR="00835C1F" w:rsidRDefault="00835C1F" w:rsidP="00835C1F">
      <w:pPr>
        <w:rPr>
          <w:rtl/>
          <w:lang w:val="en-CA"/>
        </w:rPr>
      </w:pPr>
      <w:r>
        <w:rPr>
          <w:rFonts w:hint="cs"/>
          <w:u w:val="single"/>
          <w:rtl/>
          <w:lang w:val="en-CA"/>
        </w:rPr>
        <w:t>נפש החיים</w:t>
      </w:r>
      <w:r>
        <w:rPr>
          <w:rFonts w:hint="cs"/>
          <w:rtl/>
          <w:lang w:val="en-CA"/>
        </w:rPr>
        <w:t>: שער א פרק ד עד "אבל באמת לא נגעו שם מעשיו כלל כנ"ל".</w:t>
      </w:r>
    </w:p>
    <w:p w:rsidR="005F4A9D" w:rsidRPr="005F4A9D" w:rsidRDefault="005F4A9D" w:rsidP="00835C1F">
      <w:pPr>
        <w:rPr>
          <w:rtl/>
          <w:lang w:val="en-CA"/>
        </w:rPr>
      </w:pPr>
      <w:r>
        <w:rPr>
          <w:rFonts w:hint="cs"/>
          <w:u w:val="single"/>
          <w:rtl/>
          <w:lang w:val="en-CA"/>
        </w:rPr>
        <w:t>איש האמונה הבודד</w:t>
      </w:r>
      <w:r>
        <w:rPr>
          <w:rFonts w:hint="cs"/>
          <w:rtl/>
          <w:lang w:val="en-CA"/>
        </w:rPr>
        <w:t>: בהוצאת מוסד הרב קוק תשס"ו, עמ' 11 "האמת היא כי עיקר ענייני בחקירת המישור השני" עד עמ' 13 "בליבותיהם של שומעי".</w:t>
      </w:r>
    </w:p>
    <w:p w:rsidR="00835C1F" w:rsidRPr="00835C1F" w:rsidRDefault="00835C1F" w:rsidP="00835C1F">
      <w:pPr>
        <w:rPr>
          <w:rtl/>
          <w:lang w:val="en-CA"/>
        </w:rPr>
      </w:pPr>
      <w:proofErr w:type="spellStart"/>
      <w:r w:rsidRPr="005C729E">
        <w:rPr>
          <w:rFonts w:hint="cs"/>
          <w:u w:val="single"/>
          <w:rtl/>
          <w:lang w:val="en-CA"/>
        </w:rPr>
        <w:t>הראי"ה</w:t>
      </w:r>
      <w:proofErr w:type="spellEnd"/>
      <w:r w:rsidRPr="005C729E">
        <w:rPr>
          <w:rFonts w:hint="cs"/>
          <w:u w:val="single"/>
          <w:rtl/>
          <w:lang w:val="en-CA"/>
        </w:rPr>
        <w:t xml:space="preserve"> קוק</w:t>
      </w:r>
      <w:r>
        <w:rPr>
          <w:rFonts w:hint="cs"/>
          <w:rtl/>
          <w:lang w:val="en-CA"/>
        </w:rPr>
        <w:t xml:space="preserve">: בשל אופי כתיבתו, קשה מאד למצוא מספר משפטים בהם יבטא את מטרתו ומניעיו. אמנם, עיינו </w:t>
      </w:r>
      <w:r>
        <w:rPr>
          <w:rFonts w:hint="cs"/>
          <w:rtl/>
          <w:lang w:val="en-CA"/>
        </w:rPr>
        <w:lastRenderedPageBreak/>
        <w:t>בהקדמתו לאורות התשובה, ושם בפרק ב לגבי 'התשובה העליונה'.</w:t>
      </w:r>
    </w:p>
    <w:p w:rsidR="00835C1F" w:rsidRDefault="00835C1F" w:rsidP="00D0046A">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rsidTr="0043544E">
        <w:trPr>
          <w:cantSplit/>
        </w:trPr>
        <w:tc>
          <w:tcPr>
            <w:tcW w:w="283" w:type="dxa"/>
            <w:tcBorders>
              <w:top w:val="nil"/>
              <w:left w:val="nil"/>
              <w:bottom w:val="nil"/>
              <w:right w:val="nil"/>
            </w:tcBorders>
          </w:tcPr>
          <w:p w:rsidR="0043544E" w:rsidRDefault="0043544E" w:rsidP="0043544E">
            <w:pPr>
              <w:pStyle w:val="aa"/>
              <w:rPr>
                <w:noProof w:val="0"/>
              </w:rPr>
            </w:pPr>
            <w:r>
              <w:rPr>
                <w:noProof w:val="0"/>
                <w:rtl/>
              </w:rPr>
              <w:t>*</w:t>
            </w:r>
          </w:p>
        </w:tc>
        <w:tc>
          <w:tcPr>
            <w:tcW w:w="4111" w:type="dxa"/>
            <w:tcBorders>
              <w:top w:val="nil"/>
              <w:left w:val="nil"/>
              <w:bottom w:val="nil"/>
              <w:right w:val="nil"/>
            </w:tcBorders>
          </w:tcPr>
          <w:p w:rsidR="0043544E" w:rsidRDefault="0043544E" w:rsidP="0043544E">
            <w:pPr>
              <w:pStyle w:val="aa"/>
              <w:rPr>
                <w:noProof w:val="0"/>
              </w:rPr>
            </w:pPr>
            <w:r>
              <w:rPr>
                <w:noProof w:val="0"/>
                <w:rtl/>
              </w:rPr>
              <w:t>**********************************************************</w:t>
            </w:r>
          </w:p>
        </w:tc>
        <w:tc>
          <w:tcPr>
            <w:tcW w:w="284" w:type="dxa"/>
            <w:tcBorders>
              <w:top w:val="nil"/>
              <w:left w:val="nil"/>
              <w:bottom w:val="nil"/>
              <w:right w:val="nil"/>
            </w:tcBorders>
          </w:tcPr>
          <w:p w:rsidR="0043544E" w:rsidRDefault="0043544E" w:rsidP="0043544E">
            <w:pPr>
              <w:pStyle w:val="aa"/>
              <w:rPr>
                <w:noProof w:val="0"/>
              </w:rPr>
            </w:pPr>
            <w:r>
              <w:rPr>
                <w:noProof w:val="0"/>
                <w:rtl/>
              </w:rPr>
              <w:t>*</w:t>
            </w:r>
          </w:p>
        </w:tc>
      </w:tr>
      <w:tr w:rsidR="0043544E" w:rsidTr="0043544E">
        <w:trPr>
          <w:cantSplit/>
        </w:trPr>
        <w:tc>
          <w:tcPr>
            <w:tcW w:w="283" w:type="dxa"/>
            <w:tcBorders>
              <w:top w:val="nil"/>
              <w:left w:val="nil"/>
              <w:bottom w:val="nil"/>
              <w:right w:val="nil"/>
            </w:tcBorders>
          </w:tcPr>
          <w:p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rsidR="0043544E" w:rsidRDefault="0043544E" w:rsidP="0043544E">
            <w:pPr>
              <w:pStyle w:val="aa"/>
              <w:rPr>
                <w:noProof w:val="0"/>
                <w:rtl/>
              </w:rPr>
            </w:pPr>
            <w:r>
              <w:rPr>
                <w:noProof w:val="0"/>
                <w:rtl/>
              </w:rPr>
              <w:t xml:space="preserve">עורך: </w:t>
            </w:r>
            <w:r>
              <w:rPr>
                <w:rFonts w:hint="cs"/>
                <w:noProof w:val="0"/>
                <w:rtl/>
              </w:rPr>
              <w:t>בנימין פרנקל</w:t>
            </w:r>
          </w:p>
          <w:p w:rsidR="0043544E" w:rsidRDefault="0043544E" w:rsidP="0043544E">
            <w:pPr>
              <w:pStyle w:val="aa"/>
              <w:rPr>
                <w:noProof w:val="0"/>
                <w:rtl/>
              </w:rPr>
            </w:pPr>
            <w:r>
              <w:rPr>
                <w:noProof w:val="0"/>
                <w:rtl/>
              </w:rPr>
              <w:t>*******************************************************</w:t>
            </w:r>
          </w:p>
          <w:p w:rsidR="0043544E" w:rsidRDefault="0043544E" w:rsidP="0043544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43544E" w:rsidRPr="005734F1" w:rsidRDefault="0043544E" w:rsidP="0043544E">
            <w:pPr>
              <w:pStyle w:val="aa"/>
              <w:rPr>
                <w:noProof w:val="0"/>
                <w:rtl/>
              </w:rPr>
            </w:pPr>
            <w:r w:rsidRPr="005734F1">
              <w:rPr>
                <w:noProof w:val="0"/>
                <w:rtl/>
              </w:rPr>
              <w:t xml:space="preserve">מיסודו של </w:t>
            </w:r>
          </w:p>
          <w:p w:rsidR="0043544E" w:rsidRPr="005734F1" w:rsidRDefault="0043544E" w:rsidP="0043544E">
            <w:pPr>
              <w:pStyle w:val="aa"/>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3544E" w:rsidRDefault="0043544E" w:rsidP="0073655A">
            <w:pPr>
              <w:pStyle w:val="aa"/>
              <w:rPr>
                <w:noProof w:val="0"/>
                <w:rtl/>
              </w:rPr>
            </w:pPr>
            <w:r>
              <w:rPr>
                <w:noProof w:val="0"/>
                <w:rtl/>
              </w:rPr>
              <w:t>האתר בעברית:</w:t>
            </w:r>
            <w:r>
              <w:rPr>
                <w:noProof w:val="0"/>
                <w:rtl/>
              </w:rPr>
              <w:tab/>
            </w:r>
            <w:hyperlink r:id="rId12" w:history="1">
              <w:r w:rsidR="0073655A" w:rsidRPr="0073655A">
                <w:rPr>
                  <w:rStyle w:val="Hyperlink"/>
                  <w:noProof w:val="0"/>
                </w:rPr>
                <w:t>http://www.vbm.etzion.org.il</w:t>
              </w:r>
            </w:hyperlink>
            <w:hyperlink r:id="rId13" w:history="1"/>
          </w:p>
          <w:p w:rsidR="0043544E" w:rsidRDefault="0043544E" w:rsidP="0043544E">
            <w:pPr>
              <w:pStyle w:val="aa"/>
              <w:rPr>
                <w:noProof w:val="0"/>
                <w:rtl/>
              </w:rPr>
            </w:pPr>
            <w:r>
              <w:rPr>
                <w:noProof w:val="0"/>
                <w:rtl/>
              </w:rPr>
              <w:t>האתר באנגלית:</w:t>
            </w:r>
            <w:r>
              <w:rPr>
                <w:noProof w:val="0"/>
                <w:rtl/>
              </w:rPr>
              <w:tab/>
            </w:r>
            <w:hyperlink r:id="rId14" w:history="1">
              <w:r>
                <w:rPr>
                  <w:rStyle w:val="Hyperlink"/>
                </w:rPr>
                <w:t>http://www.vbm-torah.org</w:t>
              </w:r>
            </w:hyperlink>
          </w:p>
          <w:p w:rsidR="0043544E" w:rsidRDefault="0043544E" w:rsidP="0043544E">
            <w:pPr>
              <w:pStyle w:val="aa"/>
              <w:rPr>
                <w:noProof w:val="0"/>
                <w:rtl/>
              </w:rPr>
            </w:pPr>
          </w:p>
          <w:p w:rsidR="0043544E" w:rsidRDefault="0043544E" w:rsidP="0043544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p w:rsidR="0043544E" w:rsidRDefault="0043544E" w:rsidP="0043544E">
            <w:pPr>
              <w:pStyle w:val="aa"/>
              <w:rPr>
                <w:noProof w:val="0"/>
              </w:rPr>
            </w:pPr>
            <w:bookmarkStart w:id="0" w:name="_GoBack"/>
            <w:bookmarkEnd w:id="0"/>
          </w:p>
        </w:tc>
        <w:tc>
          <w:tcPr>
            <w:tcW w:w="284" w:type="dxa"/>
            <w:tcBorders>
              <w:top w:val="nil"/>
              <w:left w:val="nil"/>
              <w:bottom w:val="nil"/>
              <w:right w:val="nil"/>
            </w:tcBorders>
          </w:tcPr>
          <w:p w:rsidR="0043544E" w:rsidRDefault="0043544E" w:rsidP="0043544E">
            <w:pPr>
              <w:pStyle w:val="aa"/>
              <w:rPr>
                <w:noProof w:val="0"/>
              </w:rPr>
            </w:pPr>
            <w:r>
              <w:rPr>
                <w:noProof w:val="0"/>
                <w:rtl/>
              </w:rPr>
              <w:t xml:space="preserve">* * * * * * * </w:t>
            </w:r>
          </w:p>
        </w:tc>
      </w:tr>
    </w:tbl>
    <w:p w:rsidR="007749C4" w:rsidRPr="0025126F" w:rsidRDefault="007749C4" w:rsidP="0094357B">
      <w:pPr>
        <w:rPr>
          <w:rtl/>
        </w:rPr>
      </w:pPr>
    </w:p>
    <w:sectPr w:rsidR="007749C4" w:rsidRPr="0025126F" w:rsidSect="00D0044C">
      <w:headerReference w:type="defaul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D3" w:rsidRDefault="00E609D3">
      <w:r>
        <w:separator/>
      </w:r>
    </w:p>
    <w:p w:rsidR="00E609D3" w:rsidRDefault="00E609D3"/>
  </w:endnote>
  <w:endnote w:type="continuationSeparator" w:id="0">
    <w:p w:rsidR="00E609D3" w:rsidRDefault="00E609D3">
      <w:r>
        <w:continuationSeparator/>
      </w:r>
    </w:p>
    <w:p w:rsidR="00E609D3" w:rsidRDefault="00E6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D3" w:rsidRDefault="00E609D3">
      <w:r>
        <w:separator/>
      </w:r>
    </w:p>
    <w:p w:rsidR="00E609D3" w:rsidRDefault="00E609D3"/>
  </w:footnote>
  <w:footnote w:type="continuationSeparator" w:id="0">
    <w:p w:rsidR="00E609D3" w:rsidRDefault="00E609D3">
      <w:r>
        <w:continuationSeparator/>
      </w:r>
    </w:p>
    <w:p w:rsidR="00E609D3" w:rsidRDefault="00E609D3"/>
  </w:footnote>
  <w:footnote w:id="1">
    <w:p w:rsidR="00B85F38" w:rsidRPr="009F5100" w:rsidRDefault="00B85F38" w:rsidP="00B85F38">
      <w:pPr>
        <w:pStyle w:val="a5"/>
        <w:rPr>
          <w:lang w:val="en-CA"/>
        </w:rPr>
      </w:pPr>
      <w:r>
        <w:rPr>
          <w:rStyle w:val="a6"/>
        </w:rPr>
        <w:footnoteRef/>
      </w:r>
      <w:r>
        <w:rPr>
          <w:rtl/>
        </w:rPr>
        <w:t xml:space="preserve"> </w:t>
      </w:r>
      <w:r w:rsidR="00661F9B">
        <w:rPr>
          <w:rFonts w:hint="cs"/>
          <w:rtl/>
        </w:rPr>
        <w:tab/>
      </w:r>
      <w:r>
        <w:rPr>
          <w:rFonts w:hint="cs"/>
          <w:rtl/>
        </w:rPr>
        <w:t>ראה דעות שונות ב'התגלות, אמונה ותבונה' (מעמוד 147 ואילך), ובאריכות בהקדמתו של פרופסור ישפה לספר 'פילוסופיה יהודית בימי הביניים'.</w:t>
      </w:r>
    </w:p>
  </w:footnote>
  <w:footnote w:id="2">
    <w:p w:rsidR="00B85F38" w:rsidRDefault="00B85F38" w:rsidP="00B85F38">
      <w:pPr>
        <w:pStyle w:val="a5"/>
        <w:rPr>
          <w:rtl/>
        </w:rPr>
      </w:pPr>
      <w:r>
        <w:rPr>
          <w:rStyle w:val="a6"/>
        </w:rPr>
        <w:footnoteRef/>
      </w:r>
      <w:r>
        <w:rPr>
          <w:rtl/>
        </w:rPr>
        <w:t xml:space="preserve"> </w:t>
      </w:r>
      <w:r w:rsidR="00661F9B">
        <w:rPr>
          <w:rFonts w:hint="cs"/>
          <w:rtl/>
        </w:rPr>
        <w:tab/>
      </w:r>
      <w:r>
        <w:rPr>
          <w:rFonts w:hint="cs"/>
          <w:rtl/>
        </w:rPr>
        <w:t xml:space="preserve">תפיסה מעין זו עולה לדוגמה במאמרו של פרופסור הרב ברקוביץ 'פילוסופיה יהודית מהי' אשר נתפרסם בכתב העת </w:t>
      </w:r>
      <w:r>
        <w:t>Tradition</w:t>
      </w:r>
      <w:r>
        <w:rPr>
          <w:rFonts w:hint="cs"/>
          <w:rtl/>
        </w:rPr>
        <w:t xml:space="preserve"> (קישור למאמר הובא לעיל במקורות).</w:t>
      </w:r>
    </w:p>
  </w:footnote>
  <w:footnote w:id="3">
    <w:p w:rsidR="00B85F38" w:rsidRDefault="00B85F38" w:rsidP="00B85F38">
      <w:pPr>
        <w:pStyle w:val="a5"/>
        <w:rPr>
          <w:rtl/>
        </w:rPr>
      </w:pPr>
      <w:r>
        <w:rPr>
          <w:rStyle w:val="a6"/>
        </w:rPr>
        <w:footnoteRef/>
      </w:r>
      <w:r>
        <w:rPr>
          <w:rtl/>
        </w:rPr>
        <w:t xml:space="preserve"> </w:t>
      </w:r>
      <w:r w:rsidR="00661F9B">
        <w:rPr>
          <w:rFonts w:hint="cs"/>
          <w:rtl/>
        </w:rPr>
        <w:tab/>
      </w:r>
      <w:r>
        <w:rPr>
          <w:rFonts w:hint="cs"/>
          <w:rtl/>
        </w:rPr>
        <w:t xml:space="preserve">יש דמיון מסוים בין דברי הנ"ל לדברי פרופסור שלום רוזנברג המובאים בספר 'התגלות אמונה ותבונה' לעיל.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D3039">
      <w:tc>
        <w:tcPr>
          <w:tcW w:w="6506" w:type="dxa"/>
          <w:tcBorders>
            <w:bottom w:val="double" w:sz="4" w:space="0" w:color="auto"/>
          </w:tcBorders>
        </w:tcPr>
        <w:p w:rsidR="002D3039" w:rsidRDefault="002D3039">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2D3039" w:rsidRDefault="0073655A">
          <w:pPr>
            <w:tabs>
              <w:tab w:val="center" w:pos="4818"/>
              <w:tab w:val="right" w:pos="8220"/>
            </w:tabs>
            <w:spacing w:after="0"/>
          </w:pPr>
          <w:r>
            <w:rPr>
              <w:rtl/>
            </w:rPr>
            <w:t xml:space="preserve">שיעורים </w:t>
          </w:r>
          <w:r>
            <w:rPr>
              <w:rFonts w:hint="cs"/>
              <w:rtl/>
            </w:rPr>
            <w:t xml:space="preserve">בספר הכוזרי </w:t>
          </w:r>
          <w:r w:rsidR="008276EC">
            <w:rPr>
              <w:rtl/>
            </w:rPr>
            <w:t xml:space="preserve">מאת הרב </w:t>
          </w:r>
          <w:r w:rsidR="008276EC">
            <w:rPr>
              <w:rFonts w:hint="cs"/>
              <w:rtl/>
            </w:rPr>
            <w:t>ב</w:t>
          </w:r>
          <w:r>
            <w:rPr>
              <w:rFonts w:hint="cs"/>
              <w:rtl/>
            </w:rPr>
            <w:t>רוך וינטרוב</w:t>
          </w:r>
        </w:p>
      </w:tc>
      <w:tc>
        <w:tcPr>
          <w:tcW w:w="3348" w:type="dxa"/>
          <w:tcBorders>
            <w:bottom w:val="double" w:sz="4" w:space="0" w:color="auto"/>
          </w:tcBorders>
          <w:vAlign w:val="center"/>
        </w:tcPr>
        <w:p w:rsidR="002D3039" w:rsidRDefault="002D3039">
          <w:pPr>
            <w:tabs>
              <w:tab w:val="right" w:pos="8220"/>
            </w:tabs>
            <w:bidi w:val="0"/>
            <w:spacing w:after="0" w:line="240" w:lineRule="auto"/>
            <w:jc w:val="left"/>
            <w:rPr>
              <w:sz w:val="28"/>
              <w:szCs w:val="24"/>
            </w:rPr>
          </w:pPr>
          <w:r>
            <w:rPr>
              <w:b/>
              <w:bCs/>
              <w:sz w:val="28"/>
              <w:szCs w:val="24"/>
            </w:rPr>
            <w:t>www.etzion.org.il/vbm</w:t>
          </w:r>
        </w:p>
      </w:tc>
    </w:tr>
  </w:tbl>
  <w:p w:rsidR="002D3039" w:rsidRDefault="002D3039">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39" w:rsidRDefault="002D303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sidR="00D0044C">
      <w:rPr>
        <w:b/>
        <w:bCs/>
        <w:rtl/>
      </w:rPr>
      <w:fldChar w:fldCharType="begin"/>
    </w:r>
    <w:r>
      <w:rPr>
        <w:b/>
        <w:bCs/>
        <w:rtl/>
      </w:rPr>
      <w:instrText xml:space="preserve"> </w:instrText>
    </w:r>
    <w:r>
      <w:rPr>
        <w:b/>
        <w:bCs/>
      </w:rPr>
      <w:instrText>PAGE</w:instrText>
    </w:r>
    <w:r>
      <w:rPr>
        <w:b/>
        <w:bCs/>
        <w:rtl/>
      </w:rPr>
      <w:instrText xml:space="preserve"> </w:instrText>
    </w:r>
    <w:r w:rsidR="00D0044C">
      <w:rPr>
        <w:b/>
        <w:bCs/>
        <w:rtl/>
      </w:rPr>
      <w:fldChar w:fldCharType="separate"/>
    </w:r>
    <w:r w:rsidR="007C7BE9">
      <w:rPr>
        <w:b/>
        <w:bCs/>
        <w:noProof/>
        <w:rtl/>
      </w:rPr>
      <w:t>2</w:t>
    </w:r>
    <w:r w:rsidR="00D0044C">
      <w:rPr>
        <w:b/>
        <w:bCs/>
        <w:rtl/>
      </w:rPr>
      <w:fldChar w:fldCharType="end"/>
    </w:r>
    <w:r>
      <w:rPr>
        <w:b/>
        <w:bCs/>
        <w:rtl/>
      </w:rPr>
      <w:t xml:space="preserve"> -</w:t>
    </w:r>
  </w:p>
  <w:p w:rsidR="002D3063" w:rsidRDefault="002D3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761"/>
    <w:multiLevelType w:val="hybridMultilevel"/>
    <w:tmpl w:val="B0F8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1FE0"/>
    <w:multiLevelType w:val="hybridMultilevel"/>
    <w:tmpl w:val="C95445D2"/>
    <w:lvl w:ilvl="0" w:tplc="9AA63E1A">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91AA6"/>
    <w:multiLevelType w:val="hybridMultilevel"/>
    <w:tmpl w:val="B7CC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24EA7"/>
    <w:multiLevelType w:val="hybridMultilevel"/>
    <w:tmpl w:val="1E3C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34429"/>
    <w:multiLevelType w:val="hybridMultilevel"/>
    <w:tmpl w:val="C76E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36AB3"/>
    <w:multiLevelType w:val="hybridMultilevel"/>
    <w:tmpl w:val="470C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E15712"/>
    <w:multiLevelType w:val="hybridMultilevel"/>
    <w:tmpl w:val="81F86CC6"/>
    <w:lvl w:ilvl="0" w:tplc="108E73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0205A"/>
    <w:multiLevelType w:val="hybridMultilevel"/>
    <w:tmpl w:val="A2180EB6"/>
    <w:lvl w:ilvl="0" w:tplc="BE78A5E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F3394"/>
    <w:multiLevelType w:val="hybridMultilevel"/>
    <w:tmpl w:val="EF42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73F9A"/>
    <w:multiLevelType w:val="hybridMultilevel"/>
    <w:tmpl w:val="3B1A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32DF6"/>
    <w:multiLevelType w:val="hybridMultilevel"/>
    <w:tmpl w:val="F4D8B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2466E"/>
    <w:multiLevelType w:val="hybridMultilevel"/>
    <w:tmpl w:val="12489050"/>
    <w:lvl w:ilvl="0" w:tplc="333E187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FF560A"/>
    <w:multiLevelType w:val="hybridMultilevel"/>
    <w:tmpl w:val="B84C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86098"/>
    <w:multiLevelType w:val="hybridMultilevel"/>
    <w:tmpl w:val="09904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35997"/>
    <w:multiLevelType w:val="hybridMultilevel"/>
    <w:tmpl w:val="E16E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E809B0"/>
    <w:multiLevelType w:val="hybridMultilevel"/>
    <w:tmpl w:val="21C295A8"/>
    <w:lvl w:ilvl="0" w:tplc="F4589F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02DE6"/>
    <w:multiLevelType w:val="hybridMultilevel"/>
    <w:tmpl w:val="705CD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1F855B2"/>
    <w:multiLevelType w:val="hybridMultilevel"/>
    <w:tmpl w:val="3D00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024BC"/>
    <w:multiLevelType w:val="hybridMultilevel"/>
    <w:tmpl w:val="D1F6783A"/>
    <w:lvl w:ilvl="0" w:tplc="FBA6A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E50E3E"/>
    <w:multiLevelType w:val="hybridMultilevel"/>
    <w:tmpl w:val="6834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339BE"/>
    <w:multiLevelType w:val="hybridMultilevel"/>
    <w:tmpl w:val="868293A4"/>
    <w:lvl w:ilvl="0" w:tplc="8DC2CB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F3095"/>
    <w:multiLevelType w:val="hybridMultilevel"/>
    <w:tmpl w:val="F77AB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94206"/>
    <w:multiLevelType w:val="hybridMultilevel"/>
    <w:tmpl w:val="3348DA3A"/>
    <w:lvl w:ilvl="0" w:tplc="8054B3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04F84"/>
    <w:multiLevelType w:val="hybridMultilevel"/>
    <w:tmpl w:val="E634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F736C"/>
    <w:multiLevelType w:val="hybridMultilevel"/>
    <w:tmpl w:val="097C3B5E"/>
    <w:lvl w:ilvl="0" w:tplc="A98E1E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A2D40"/>
    <w:multiLevelType w:val="hybridMultilevel"/>
    <w:tmpl w:val="922E95BC"/>
    <w:lvl w:ilvl="0" w:tplc="9176D366">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FE834CF"/>
    <w:multiLevelType w:val="hybridMultilevel"/>
    <w:tmpl w:val="FB1C21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AE5529"/>
    <w:multiLevelType w:val="hybridMultilevel"/>
    <w:tmpl w:val="A530CFF6"/>
    <w:lvl w:ilvl="0" w:tplc="C312026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4235A8"/>
    <w:multiLevelType w:val="hybridMultilevel"/>
    <w:tmpl w:val="2A0C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276146"/>
    <w:multiLevelType w:val="hybridMultilevel"/>
    <w:tmpl w:val="DD8270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AD01C18"/>
    <w:multiLevelType w:val="hybridMultilevel"/>
    <w:tmpl w:val="E106633A"/>
    <w:lvl w:ilvl="0" w:tplc="B28640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26E6C"/>
    <w:multiLevelType w:val="hybridMultilevel"/>
    <w:tmpl w:val="14D4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22294B"/>
    <w:multiLevelType w:val="hybridMultilevel"/>
    <w:tmpl w:val="5D2E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279A5"/>
    <w:multiLevelType w:val="hybridMultilevel"/>
    <w:tmpl w:val="EAD4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A3E25"/>
    <w:multiLevelType w:val="hybridMultilevel"/>
    <w:tmpl w:val="3F0410AE"/>
    <w:lvl w:ilvl="0" w:tplc="9AB0BF16">
      <w:start w:val="1"/>
      <w:numFmt w:val="hebrew1"/>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54F41D3"/>
    <w:multiLevelType w:val="hybridMultilevel"/>
    <w:tmpl w:val="9F28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5E7057"/>
    <w:multiLevelType w:val="hybridMultilevel"/>
    <w:tmpl w:val="8138E878"/>
    <w:lvl w:ilvl="0" w:tplc="AC6E8D2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032DC9"/>
    <w:multiLevelType w:val="hybridMultilevel"/>
    <w:tmpl w:val="C23E4BB4"/>
    <w:lvl w:ilvl="0" w:tplc="E4263B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3E0179"/>
    <w:multiLevelType w:val="hybridMultilevel"/>
    <w:tmpl w:val="31FC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699"/>
    <w:multiLevelType w:val="hybridMultilevel"/>
    <w:tmpl w:val="C3EA5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624D2"/>
    <w:multiLevelType w:val="hybridMultilevel"/>
    <w:tmpl w:val="4758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02159"/>
    <w:multiLevelType w:val="hybridMultilevel"/>
    <w:tmpl w:val="B494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A81AD4"/>
    <w:multiLevelType w:val="hybridMultilevel"/>
    <w:tmpl w:val="0FBE32B8"/>
    <w:lvl w:ilvl="0" w:tplc="5D08749C">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E1D88"/>
    <w:multiLevelType w:val="hybridMultilevel"/>
    <w:tmpl w:val="4726F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FF07F23"/>
    <w:multiLevelType w:val="hybridMultilevel"/>
    <w:tmpl w:val="9FB2137E"/>
    <w:lvl w:ilvl="0" w:tplc="ED1A904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26"/>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2"/>
  </w:num>
  <w:num w:numId="8">
    <w:abstractNumId w:val="24"/>
  </w:num>
  <w:num w:numId="9">
    <w:abstractNumId w:val="14"/>
  </w:num>
  <w:num w:numId="10">
    <w:abstractNumId w:val="2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8"/>
  </w:num>
  <w:num w:numId="14">
    <w:abstractNumId w:val="13"/>
  </w:num>
  <w:num w:numId="15">
    <w:abstractNumId w:val="42"/>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8"/>
  </w:num>
  <w:num w:numId="21">
    <w:abstractNumId w:val="0"/>
  </w:num>
  <w:num w:numId="22">
    <w:abstractNumId w:val="25"/>
  </w:num>
  <w:num w:numId="23">
    <w:abstractNumId w:val="9"/>
  </w:num>
  <w:num w:numId="24">
    <w:abstractNumId w:val="10"/>
  </w:num>
  <w:num w:numId="25">
    <w:abstractNumId w:val="2"/>
  </w:num>
  <w:num w:numId="26">
    <w:abstractNumId w:val="6"/>
  </w:num>
  <w:num w:numId="27">
    <w:abstractNumId w:val="4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7"/>
  </w:num>
  <w:num w:numId="31">
    <w:abstractNumId w:val="30"/>
  </w:num>
  <w:num w:numId="32">
    <w:abstractNumId w:val="31"/>
  </w:num>
  <w:num w:numId="33">
    <w:abstractNumId w:val="8"/>
  </w:num>
  <w:num w:numId="34">
    <w:abstractNumId w:val="12"/>
  </w:num>
  <w:num w:numId="35">
    <w:abstractNumId w:val="35"/>
  </w:num>
  <w:num w:numId="36">
    <w:abstractNumId w:val="36"/>
  </w:num>
  <w:num w:numId="37">
    <w:abstractNumId w:val="1"/>
  </w:num>
  <w:num w:numId="38">
    <w:abstractNumId w:val="4"/>
  </w:num>
  <w:num w:numId="39">
    <w:abstractNumId w:val="40"/>
  </w:num>
  <w:num w:numId="40">
    <w:abstractNumId w:val="17"/>
  </w:num>
  <w:num w:numId="41">
    <w:abstractNumId w:val="20"/>
  </w:num>
  <w:num w:numId="42">
    <w:abstractNumId w:val="15"/>
  </w:num>
  <w:num w:numId="43">
    <w:abstractNumId w:val="22"/>
  </w:num>
  <w:num w:numId="44">
    <w:abstractNumId w:val="23"/>
  </w:num>
  <w:num w:numId="4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4160"/>
    <w:rsid w:val="00014F3F"/>
    <w:rsid w:val="000150DE"/>
    <w:rsid w:val="000159D0"/>
    <w:rsid w:val="00015B14"/>
    <w:rsid w:val="0001659D"/>
    <w:rsid w:val="00016A17"/>
    <w:rsid w:val="00017CE5"/>
    <w:rsid w:val="00017D45"/>
    <w:rsid w:val="0002023D"/>
    <w:rsid w:val="00021349"/>
    <w:rsid w:val="00021B0A"/>
    <w:rsid w:val="00024508"/>
    <w:rsid w:val="0002509D"/>
    <w:rsid w:val="00025115"/>
    <w:rsid w:val="0002641E"/>
    <w:rsid w:val="0002646F"/>
    <w:rsid w:val="000268DE"/>
    <w:rsid w:val="00026DEE"/>
    <w:rsid w:val="000276FE"/>
    <w:rsid w:val="00030804"/>
    <w:rsid w:val="00030F00"/>
    <w:rsid w:val="00033174"/>
    <w:rsid w:val="0003328F"/>
    <w:rsid w:val="00033621"/>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F88"/>
    <w:rsid w:val="002622D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11A9"/>
    <w:rsid w:val="00502EDD"/>
    <w:rsid w:val="00503CFA"/>
    <w:rsid w:val="005040F7"/>
    <w:rsid w:val="00504AEE"/>
    <w:rsid w:val="00506109"/>
    <w:rsid w:val="0050642E"/>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D49"/>
    <w:rsid w:val="00582FBC"/>
    <w:rsid w:val="005830D5"/>
    <w:rsid w:val="005847F5"/>
    <w:rsid w:val="00586D53"/>
    <w:rsid w:val="0059031B"/>
    <w:rsid w:val="005906D1"/>
    <w:rsid w:val="00590E38"/>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A9D"/>
    <w:rsid w:val="005F5435"/>
    <w:rsid w:val="005F6A2E"/>
    <w:rsid w:val="005F70A5"/>
    <w:rsid w:val="006004A1"/>
    <w:rsid w:val="006004B9"/>
    <w:rsid w:val="00601333"/>
    <w:rsid w:val="00601DCF"/>
    <w:rsid w:val="006028A1"/>
    <w:rsid w:val="00602966"/>
    <w:rsid w:val="006040B7"/>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1F9B"/>
    <w:rsid w:val="00662148"/>
    <w:rsid w:val="0066349C"/>
    <w:rsid w:val="0066354E"/>
    <w:rsid w:val="006639A4"/>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4021"/>
    <w:rsid w:val="00694668"/>
    <w:rsid w:val="0069601B"/>
    <w:rsid w:val="00696DE4"/>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EF5"/>
    <w:rsid w:val="006B5B03"/>
    <w:rsid w:val="006C178F"/>
    <w:rsid w:val="006C24E2"/>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210AA"/>
    <w:rsid w:val="007219CA"/>
    <w:rsid w:val="00721C31"/>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4288"/>
    <w:rsid w:val="00734D09"/>
    <w:rsid w:val="0073583F"/>
    <w:rsid w:val="00735D8A"/>
    <w:rsid w:val="00736211"/>
    <w:rsid w:val="0073655A"/>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B96"/>
    <w:rsid w:val="00792F56"/>
    <w:rsid w:val="00793D77"/>
    <w:rsid w:val="00793E68"/>
    <w:rsid w:val="00794995"/>
    <w:rsid w:val="007951AA"/>
    <w:rsid w:val="007952D5"/>
    <w:rsid w:val="007954EA"/>
    <w:rsid w:val="007969FE"/>
    <w:rsid w:val="0079789F"/>
    <w:rsid w:val="007A00CD"/>
    <w:rsid w:val="007A0270"/>
    <w:rsid w:val="007A02CD"/>
    <w:rsid w:val="007A2EFF"/>
    <w:rsid w:val="007A3B32"/>
    <w:rsid w:val="007A406C"/>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BE9"/>
    <w:rsid w:val="007D0923"/>
    <w:rsid w:val="007D0CDD"/>
    <w:rsid w:val="007D0F2A"/>
    <w:rsid w:val="007D0F5F"/>
    <w:rsid w:val="007D3AE6"/>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6EC"/>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5C1F"/>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137E"/>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52D7"/>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83E"/>
    <w:rsid w:val="00CE7813"/>
    <w:rsid w:val="00CE7C7C"/>
    <w:rsid w:val="00CE7C8E"/>
    <w:rsid w:val="00CF24C5"/>
    <w:rsid w:val="00CF24E5"/>
    <w:rsid w:val="00CF32E5"/>
    <w:rsid w:val="00CF3383"/>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6373"/>
    <w:rsid w:val="00D56CDD"/>
    <w:rsid w:val="00D56E9B"/>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4398"/>
    <w:rsid w:val="00DA70FB"/>
    <w:rsid w:val="00DA7DFB"/>
    <w:rsid w:val="00DB089E"/>
    <w:rsid w:val="00DB25AD"/>
    <w:rsid w:val="00DB2F97"/>
    <w:rsid w:val="00DB482A"/>
    <w:rsid w:val="00DB5904"/>
    <w:rsid w:val="00DB6572"/>
    <w:rsid w:val="00DB68B4"/>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2511"/>
    <w:rsid w:val="00E92B1A"/>
    <w:rsid w:val="00E936FF"/>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87F4C84-A92F-46A9-B11A-F7D34017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10"/>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semiHidden/>
    <w:rsid w:val="00D0044C"/>
    <w:rPr>
      <w:sz w:val="16"/>
      <w:szCs w:val="16"/>
    </w:rPr>
  </w:style>
  <w:style w:type="paragraph" w:styleId="afc">
    <w:name w:val="annotation text"/>
    <w:basedOn w:val="a"/>
    <w:link w:val="afd"/>
    <w:semiHidden/>
    <w:rsid w:val="00D0044C"/>
    <w:rPr>
      <w:szCs w:val="20"/>
    </w:rPr>
  </w:style>
  <w:style w:type="character" w:customStyle="1" w:styleId="afd">
    <w:name w:val="טקסט הערה תו"/>
    <w:link w:val="afc"/>
    <w:semiHidden/>
    <w:locked/>
    <w:rsid w:val="00B97B7D"/>
    <w:rPr>
      <w:rFonts w:cs="Narkisim"/>
      <w:lang w:val="en-US" w:eastAsia="en-US" w:bidi="he-IL"/>
    </w:rPr>
  </w:style>
  <w:style w:type="paragraph" w:customStyle="1" w:styleId="13">
    <w:name w:val="נושא הערה1"/>
    <w:basedOn w:val="afc"/>
    <w:next w:val="afc"/>
    <w:semiHidden/>
    <w:rsid w:val="00D0044C"/>
    <w:rPr>
      <w:b/>
      <w:bCs/>
    </w:rPr>
  </w:style>
  <w:style w:type="paragraph" w:customStyle="1" w:styleId="14">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5"/>
    <w:uiPriority w:val="99"/>
    <w:qFormat/>
    <w:rsid w:val="00AB028B"/>
    <w:pPr>
      <w:tabs>
        <w:tab w:val="right" w:pos="4621"/>
      </w:tabs>
      <w:ind w:left="567"/>
    </w:pPr>
    <w:rPr>
      <w:rFonts w:eastAsia="Calibri"/>
    </w:rPr>
  </w:style>
  <w:style w:type="character" w:customStyle="1" w:styleId="15">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10">
    <w:name w:val="ציטוט1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1">
    <w:name w:val="סגנון רגיל פרשה מודגש + (עברית ושפות אחרות) ‏11 נק' קו תחתון"/>
    <w:basedOn w:val="a"/>
    <w:link w:val="112"/>
    <w:rsid w:val="001816AF"/>
    <w:rPr>
      <w:rFonts w:ascii="Arial" w:hAnsi="Arial" w:cs="Arial"/>
      <w:b/>
      <w:bCs/>
      <w:sz w:val="18"/>
      <w:szCs w:val="20"/>
      <w:u w:val="single"/>
    </w:rPr>
  </w:style>
  <w:style w:type="character" w:customStyle="1" w:styleId="112">
    <w:name w:val="סגנון רגיל פרשה מודגש + (עברית ושפות אחרות) ‏11 נק' קו תחתון תו"/>
    <w:basedOn w:val="a0"/>
    <w:link w:val="111"/>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bm.etzion.org.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etzion.org.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af-shabbat.com/2012/05/17/%D7%9E%D7%94%D7%99-%D7%A4%D7%99%D7%9C%D7%95%D7%A1%D7%95%D7%A4%D7%99%D7%94-%D7%99%D7%94%D7%95%D7%93%D7%99%D7%AA-%D7%90%D7%9C%D7%99%D7%A2%D7%96%D7%A8-%D7%91%D7%A8%D7%A7%D7%95%D7%91%D7%99%D7%A5/" TargetMode="External"/><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hyperlink" Target="https://drive.google.com/file/d/0BzJWPVl0RLsvbWpYYXhjRWNIeEU/edit?usp=sharing" TargetMode="External"/><Relationship Id="rId4" Type="http://schemas.openxmlformats.org/officeDocument/2006/relationships/settings" Target="settings.xml"/><Relationship Id="rId9" Type="http://schemas.openxmlformats.org/officeDocument/2006/relationships/hyperlink" Target="http://ebooks.openu.ac.il/olive/ODE/c10412/?href=C10412/2008/01/01" TargetMode="External"/><Relationship Id="rId14" Type="http://schemas.openxmlformats.org/officeDocument/2006/relationships/hyperlink" Target="http://www.vbm-torah.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7381-8639-4932-A6B6-D1C8878B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1319</Words>
  <Characters>7523</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פרשת לך לך</vt:lpstr>
    </vt:vector>
  </TitlesOfParts>
  <Company/>
  <LinksUpToDate>false</LinksUpToDate>
  <CharactersWithSpaces>8825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ברקוביץ דבורה</cp:lastModifiedBy>
  <cp:revision>2</cp:revision>
  <cp:lastPrinted>2010-11-25T11:44:00Z</cp:lastPrinted>
  <dcterms:created xsi:type="dcterms:W3CDTF">2014-05-18T14:10:00Z</dcterms:created>
  <dcterms:modified xsi:type="dcterms:W3CDTF">2014-10-30T10:36:00Z</dcterms:modified>
</cp:coreProperties>
</file>