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2B" w:rsidRPr="00AB7812" w:rsidRDefault="00E8332B" w:rsidP="00AB7812">
      <w:pPr>
        <w:pStyle w:val="CC"/>
        <w:keepLines w:val="0"/>
        <w:spacing w:after="0"/>
        <w:ind w:left="0" w:firstLine="0"/>
        <w:jc w:val="center"/>
        <w:rPr>
          <w:rFonts w:ascii="Arial" w:hAnsi="Arial" w:cs="Arial"/>
          <w:sz w:val="24"/>
          <w:szCs w:val="24"/>
          <w:lang w:val="de-DE"/>
        </w:rPr>
      </w:pPr>
      <w:smartTag w:uri="urn:schemas-microsoft-com:office:smarttags" w:element="PersonName">
        <w:smartTagPr>
          <w:attr w:name="ProductID" w:val="YESHIVAT HAR ETZION"/>
        </w:smartTagPr>
        <w:r w:rsidRPr="00AB7812">
          <w:rPr>
            <w:rFonts w:ascii="Arial" w:hAnsi="Arial" w:cs="Arial"/>
            <w:sz w:val="24"/>
            <w:szCs w:val="24"/>
            <w:lang w:val="de-DE"/>
          </w:rPr>
          <w:t>YESHIVAT HAR ETZION</w:t>
        </w:r>
      </w:smartTag>
    </w:p>
    <w:p w:rsidR="00E8332B" w:rsidRPr="00AB7812" w:rsidRDefault="00E8332B" w:rsidP="00AB7812">
      <w:pPr>
        <w:pStyle w:val="CC"/>
        <w:keepLines w:val="0"/>
        <w:spacing w:after="0"/>
        <w:ind w:left="0" w:firstLine="0"/>
        <w:jc w:val="center"/>
        <w:rPr>
          <w:rFonts w:ascii="Arial" w:hAnsi="Arial" w:cs="Arial"/>
          <w:sz w:val="24"/>
          <w:szCs w:val="24"/>
          <w:lang w:val="de-DE"/>
        </w:rPr>
      </w:pPr>
      <w:r w:rsidRPr="00AB7812">
        <w:rPr>
          <w:rFonts w:ascii="Arial" w:hAnsi="Arial" w:cs="Arial"/>
          <w:sz w:val="24"/>
          <w:szCs w:val="24"/>
          <w:lang w:val="de-DE"/>
        </w:rPr>
        <w:t>ISRAEL KOSCHITZKY VIRTUAL BEIT MIDRASH (VBM)</w:t>
      </w:r>
    </w:p>
    <w:p w:rsidR="00E8332B" w:rsidRDefault="00E8332B" w:rsidP="00AB7812">
      <w:pPr>
        <w:pStyle w:val="CC"/>
        <w:keepLines w:val="0"/>
        <w:spacing w:after="0"/>
        <w:ind w:left="0" w:firstLine="0"/>
        <w:jc w:val="center"/>
        <w:rPr>
          <w:rFonts w:ascii="Arial" w:hAnsi="Arial" w:cs="Arial"/>
          <w:sz w:val="24"/>
          <w:szCs w:val="24"/>
          <w:lang w:val="en-GB"/>
        </w:rPr>
      </w:pPr>
      <w:r w:rsidRPr="00AB7812">
        <w:rPr>
          <w:rFonts w:ascii="Arial" w:hAnsi="Arial" w:cs="Arial"/>
          <w:sz w:val="24"/>
          <w:szCs w:val="24"/>
          <w:lang w:val="en-GB"/>
        </w:rPr>
        <w:t>*********************************************************</w:t>
      </w:r>
    </w:p>
    <w:p w:rsidR="00E8332B" w:rsidRDefault="00E8332B" w:rsidP="00AB7812">
      <w:pPr>
        <w:pStyle w:val="CC"/>
        <w:keepLines w:val="0"/>
        <w:spacing w:after="0"/>
        <w:ind w:left="0" w:firstLine="0"/>
        <w:jc w:val="center"/>
        <w:rPr>
          <w:rFonts w:ascii="Arial" w:hAnsi="Arial" w:cs="Arial"/>
          <w:sz w:val="24"/>
          <w:szCs w:val="24"/>
          <w:lang w:val="en-GB"/>
        </w:rPr>
      </w:pPr>
    </w:p>
    <w:p w:rsidR="00E8332B" w:rsidRPr="00AB7812" w:rsidRDefault="00E8332B" w:rsidP="00AB7812">
      <w:pPr>
        <w:jc w:val="center"/>
        <w:rPr>
          <w:rFonts w:ascii="Arial" w:hAnsi="Arial" w:cs="Arial"/>
          <w:b/>
          <w:bCs/>
          <w:lang w:bidi="he-IL"/>
        </w:rPr>
      </w:pPr>
      <w:r w:rsidRPr="00AB7812">
        <w:rPr>
          <w:rFonts w:ascii="Arial" w:hAnsi="Arial" w:cs="Arial"/>
          <w:b/>
          <w:bCs/>
          <w:lang w:bidi="he-IL"/>
        </w:rPr>
        <w:t>Commentaries on the Mishna</w:t>
      </w:r>
    </w:p>
    <w:p w:rsidR="00E8332B" w:rsidRDefault="00E8332B" w:rsidP="00AB7812">
      <w:pPr>
        <w:jc w:val="center"/>
        <w:rPr>
          <w:rFonts w:ascii="Arial" w:hAnsi="Arial" w:cs="Arial"/>
          <w:b/>
          <w:bCs/>
          <w:lang w:bidi="he-IL"/>
        </w:rPr>
      </w:pPr>
      <w:r w:rsidRPr="00AB7812">
        <w:rPr>
          <w:rFonts w:ascii="Arial" w:hAnsi="Arial" w:cs="Arial"/>
          <w:b/>
          <w:bCs/>
          <w:lang w:bidi="he-IL"/>
        </w:rPr>
        <w:t xml:space="preserve">By </w:t>
      </w:r>
      <w:smartTag w:uri="urn:schemas-microsoft-com:office:smarttags" w:element="PersonName">
        <w:smartTagPr>
          <w:attr w:name="ProductID" w:val="Rav Yosef Marcus"/>
        </w:smartTagPr>
        <w:r w:rsidRPr="00AB7812">
          <w:rPr>
            <w:rFonts w:ascii="Arial" w:hAnsi="Arial" w:cs="Arial"/>
            <w:b/>
            <w:bCs/>
            <w:lang w:bidi="he-IL"/>
          </w:rPr>
          <w:t>Rav Yosef Marcus</w:t>
        </w:r>
      </w:smartTag>
    </w:p>
    <w:p w:rsidR="00E8332B" w:rsidRDefault="00E8332B" w:rsidP="00AB7812">
      <w:pPr>
        <w:jc w:val="center"/>
        <w:rPr>
          <w:rFonts w:ascii="Arial" w:hAnsi="Arial" w:cs="Arial"/>
          <w:b/>
          <w:bCs/>
          <w:lang w:bidi="he-IL"/>
        </w:rPr>
      </w:pPr>
    </w:p>
    <w:p w:rsidR="00E8332B" w:rsidRDefault="00E8332B" w:rsidP="00AB7812">
      <w:pPr>
        <w:pStyle w:val="Heading1"/>
        <w:spacing w:before="0"/>
        <w:jc w:val="center"/>
        <w:rPr>
          <w:rFonts w:ascii="Arial" w:hAnsi="Arial" w:cs="Arial"/>
          <w:color w:val="000000"/>
          <w:sz w:val="24"/>
          <w:szCs w:val="24"/>
          <w:lang w:bidi="he-IL"/>
        </w:rPr>
      </w:pPr>
      <w:r w:rsidRPr="00AB7812">
        <w:rPr>
          <w:rFonts w:ascii="Arial" w:hAnsi="Arial" w:cs="Arial"/>
          <w:i/>
          <w:iCs/>
          <w:color w:val="000000"/>
          <w:sz w:val="24"/>
          <w:szCs w:val="24"/>
          <w:lang w:bidi="he-IL"/>
        </w:rPr>
        <w:t xml:space="preserve">Shiur </w:t>
      </w:r>
      <w:r w:rsidRPr="00AB7812">
        <w:rPr>
          <w:rFonts w:ascii="Arial" w:hAnsi="Arial" w:cs="Arial"/>
          <w:color w:val="000000"/>
          <w:sz w:val="24"/>
          <w:szCs w:val="24"/>
          <w:lang w:bidi="he-IL"/>
        </w:rPr>
        <w:t xml:space="preserve">1: </w:t>
      </w:r>
      <w:proofErr w:type="spellStart"/>
      <w:r>
        <w:rPr>
          <w:rFonts w:ascii="Arial" w:hAnsi="Arial" w:cs="Arial"/>
          <w:color w:val="000000"/>
          <w:sz w:val="24"/>
          <w:szCs w:val="24"/>
          <w:lang w:bidi="he-IL"/>
        </w:rPr>
        <w:t>Tanna</w:t>
      </w:r>
      <w:r w:rsidRPr="00AB7812">
        <w:rPr>
          <w:rFonts w:ascii="Arial" w:hAnsi="Arial" w:cs="Arial"/>
          <w:color w:val="000000"/>
          <w:sz w:val="24"/>
          <w:szCs w:val="24"/>
          <w:lang w:bidi="he-IL"/>
        </w:rPr>
        <w:t>itic</w:t>
      </w:r>
      <w:proofErr w:type="spellEnd"/>
      <w:r w:rsidRPr="00AB7812">
        <w:rPr>
          <w:rFonts w:ascii="Arial" w:hAnsi="Arial" w:cs="Arial"/>
          <w:color w:val="000000"/>
          <w:sz w:val="24"/>
          <w:szCs w:val="24"/>
          <w:lang w:bidi="he-IL"/>
        </w:rPr>
        <w:t xml:space="preserve"> Commentaries on the Mishna</w:t>
      </w:r>
    </w:p>
    <w:p w:rsidR="00E8332B" w:rsidRDefault="00E8332B" w:rsidP="00AB7812">
      <w:pPr>
        <w:pStyle w:val="Heading1"/>
        <w:spacing w:before="0"/>
        <w:jc w:val="center"/>
        <w:rPr>
          <w:rFonts w:ascii="Arial" w:hAnsi="Arial" w:cs="Arial"/>
          <w:color w:val="000000"/>
          <w:sz w:val="24"/>
          <w:szCs w:val="24"/>
          <w:lang w:bidi="he-IL"/>
        </w:rPr>
      </w:pPr>
    </w:p>
    <w:p w:rsidR="00E8332B" w:rsidRDefault="00E8332B" w:rsidP="00AB7812">
      <w:pPr>
        <w:jc w:val="both"/>
        <w:rPr>
          <w:rFonts w:ascii="Arial" w:hAnsi="Arial" w:cs="Arial"/>
          <w:b/>
          <w:bCs/>
          <w:lang w:bidi="he-IL"/>
        </w:rPr>
      </w:pPr>
    </w:p>
    <w:p w:rsidR="00E8332B" w:rsidRPr="00AB7812" w:rsidRDefault="00E8332B" w:rsidP="00AB7812">
      <w:pPr>
        <w:jc w:val="both"/>
        <w:rPr>
          <w:rFonts w:ascii="Arial" w:hAnsi="Arial" w:cs="Arial"/>
          <w:b/>
          <w:bCs/>
          <w:lang w:bidi="he-IL"/>
        </w:rPr>
      </w:pPr>
      <w:r w:rsidRPr="00AB7812">
        <w:rPr>
          <w:rFonts w:ascii="Arial" w:hAnsi="Arial" w:cs="Arial"/>
          <w:b/>
          <w:bCs/>
          <w:lang w:bidi="he-IL"/>
        </w:rPr>
        <w:t>Introduction</w:t>
      </w:r>
    </w:p>
    <w:p w:rsidR="00E8332B" w:rsidRDefault="00E8332B" w:rsidP="00AB7812">
      <w:pPr>
        <w:jc w:val="both"/>
        <w:rPr>
          <w:rFonts w:ascii="Arial" w:hAnsi="Arial" w:cs="Arial"/>
          <w:lang w:bidi="he-IL"/>
        </w:rPr>
      </w:pPr>
    </w:p>
    <w:p w:rsidR="00E8332B" w:rsidRDefault="00E8332B" w:rsidP="00AC07A7">
      <w:pPr>
        <w:ind w:firstLine="720"/>
        <w:jc w:val="both"/>
        <w:rPr>
          <w:rFonts w:ascii="Arial" w:hAnsi="Arial" w:cs="Arial"/>
          <w:lang w:bidi="he-IL"/>
        </w:rPr>
      </w:pPr>
      <w:r w:rsidRPr="00AB7812">
        <w:rPr>
          <w:rFonts w:ascii="Arial" w:hAnsi="Arial" w:cs="Arial"/>
          <w:lang w:bidi="he-IL"/>
        </w:rPr>
        <w:t xml:space="preserve">In the following series of </w:t>
      </w:r>
      <w:proofErr w:type="spellStart"/>
      <w:r w:rsidRPr="00AB7812">
        <w:rPr>
          <w:rFonts w:ascii="Arial" w:hAnsi="Arial" w:cs="Arial"/>
          <w:i/>
          <w:iCs/>
          <w:lang w:bidi="he-IL"/>
        </w:rPr>
        <w:t>shiurim</w:t>
      </w:r>
      <w:proofErr w:type="spellEnd"/>
      <w:r w:rsidRPr="00AB7812">
        <w:rPr>
          <w:rFonts w:ascii="Arial" w:hAnsi="Arial" w:cs="Arial"/>
          <w:lang w:bidi="he-IL"/>
        </w:rPr>
        <w:t>,</w:t>
      </w:r>
      <w:r w:rsidRPr="00AB7812">
        <w:rPr>
          <w:rFonts w:ascii="Arial" w:hAnsi="Arial" w:cs="Arial"/>
          <w:i/>
          <w:iCs/>
          <w:lang w:bidi="he-IL"/>
        </w:rPr>
        <w:t xml:space="preserve"> </w:t>
      </w:r>
      <w:r w:rsidRPr="00AB7812">
        <w:rPr>
          <w:rFonts w:ascii="Arial" w:hAnsi="Arial" w:cs="Arial"/>
          <w:lang w:bidi="he-IL"/>
        </w:rPr>
        <w:t xml:space="preserve">we will analyze the wide range of commentaries on the Mishna from the </w:t>
      </w:r>
      <w:proofErr w:type="gramStart"/>
      <w:r>
        <w:rPr>
          <w:rFonts w:ascii="Arial" w:hAnsi="Arial" w:cs="Arial"/>
          <w:lang w:bidi="he-IL"/>
        </w:rPr>
        <w:t>M</w:t>
      </w:r>
      <w:r w:rsidRPr="00AB7812">
        <w:rPr>
          <w:rFonts w:ascii="Arial" w:hAnsi="Arial" w:cs="Arial"/>
          <w:lang w:bidi="he-IL"/>
        </w:rPr>
        <w:t>iddle</w:t>
      </w:r>
      <w:proofErr w:type="gramEnd"/>
      <w:r w:rsidRPr="00AB7812">
        <w:rPr>
          <w:rFonts w:ascii="Arial" w:hAnsi="Arial" w:cs="Arial"/>
          <w:lang w:bidi="he-IL"/>
        </w:rPr>
        <w:t xml:space="preserve"> </w:t>
      </w:r>
      <w:r>
        <w:rPr>
          <w:rFonts w:ascii="Arial" w:hAnsi="Arial" w:cs="Arial"/>
          <w:lang w:bidi="he-IL"/>
        </w:rPr>
        <w:t>A</w:t>
      </w:r>
      <w:r w:rsidRPr="00AB7812">
        <w:rPr>
          <w:rFonts w:ascii="Arial" w:hAnsi="Arial" w:cs="Arial"/>
          <w:lang w:bidi="he-IL"/>
        </w:rPr>
        <w:t xml:space="preserve">ges through modern times. It is noteworthy that in our generation, the popularity of Mishna study has increased significantly with the publication of the comprehensive commentary of R. </w:t>
      </w:r>
      <w:proofErr w:type="spellStart"/>
      <w:r w:rsidRPr="00AB7812">
        <w:rPr>
          <w:rFonts w:ascii="Arial" w:hAnsi="Arial" w:cs="Arial"/>
          <w:lang w:bidi="he-IL"/>
        </w:rPr>
        <w:t>Pinchas</w:t>
      </w:r>
      <w:proofErr w:type="spellEnd"/>
      <w:r w:rsidRPr="00AB7812">
        <w:rPr>
          <w:rFonts w:ascii="Arial" w:hAnsi="Arial" w:cs="Arial"/>
          <w:lang w:bidi="he-IL"/>
        </w:rPr>
        <w:t xml:space="preserve"> </w:t>
      </w:r>
      <w:proofErr w:type="spellStart"/>
      <w:r w:rsidRPr="00AB7812">
        <w:rPr>
          <w:rFonts w:ascii="Arial" w:hAnsi="Arial" w:cs="Arial"/>
          <w:lang w:bidi="he-IL"/>
        </w:rPr>
        <w:t>Kehati</w:t>
      </w:r>
      <w:proofErr w:type="spellEnd"/>
      <w:r w:rsidRPr="00AB7812">
        <w:rPr>
          <w:rFonts w:ascii="Arial" w:hAnsi="Arial" w:cs="Arial"/>
          <w:lang w:bidi="he-IL"/>
        </w:rPr>
        <w:t xml:space="preserve"> and its clear explanations in easy modern Hebrew. However, the use of the </w:t>
      </w:r>
      <w:proofErr w:type="spellStart"/>
      <w:r w:rsidRPr="00AB7812">
        <w:rPr>
          <w:rFonts w:ascii="Arial" w:hAnsi="Arial" w:cs="Arial"/>
          <w:lang w:bidi="he-IL"/>
        </w:rPr>
        <w:t>Kehati</w:t>
      </w:r>
      <w:proofErr w:type="spellEnd"/>
      <w:r w:rsidRPr="00AB7812">
        <w:rPr>
          <w:rFonts w:ascii="Arial" w:hAnsi="Arial" w:cs="Arial"/>
          <w:lang w:bidi="he-IL"/>
        </w:rPr>
        <w:t xml:space="preserve"> commentary ha</w:t>
      </w:r>
      <w:r>
        <w:rPr>
          <w:rFonts w:ascii="Arial" w:hAnsi="Arial" w:cs="Arial"/>
          <w:lang w:bidi="he-IL"/>
        </w:rPr>
        <w:t>s</w:t>
      </w:r>
      <w:r w:rsidRPr="00AB7812">
        <w:rPr>
          <w:rFonts w:ascii="Arial" w:hAnsi="Arial" w:cs="Arial"/>
          <w:lang w:bidi="he-IL"/>
        </w:rPr>
        <w:t xml:space="preserve"> also diminished the direct study of the earlier Mishnaic commentaries, as many now study his commentary exclusively, rather than the classical commentaries upon which it is based. </w:t>
      </w:r>
    </w:p>
    <w:p w:rsidR="00E8332B" w:rsidRDefault="00E8332B" w:rsidP="00AB7812">
      <w:pPr>
        <w:jc w:val="both"/>
        <w:rPr>
          <w:rFonts w:ascii="Arial" w:hAnsi="Arial" w:cs="Arial"/>
          <w:lang w:bidi="he-IL"/>
        </w:rPr>
      </w:pPr>
    </w:p>
    <w:p w:rsidR="00E8332B" w:rsidRDefault="00E8332B" w:rsidP="0034433C">
      <w:pPr>
        <w:jc w:val="both"/>
        <w:rPr>
          <w:rFonts w:ascii="Arial" w:hAnsi="Arial" w:cs="Arial"/>
          <w:lang w:bidi="he-IL"/>
        </w:rPr>
      </w:pPr>
      <w:r>
        <w:rPr>
          <w:rFonts w:ascii="Arial" w:hAnsi="Arial" w:cs="Arial"/>
          <w:lang w:bidi="he-IL"/>
        </w:rPr>
        <w:tab/>
      </w:r>
      <w:r w:rsidRPr="00AB7812">
        <w:rPr>
          <w:rFonts w:ascii="Arial" w:hAnsi="Arial" w:cs="Arial"/>
          <w:lang w:bidi="he-IL"/>
        </w:rPr>
        <w:t xml:space="preserve">Although the existence of numerous commentaries on a primary text is not unusual within Torah literature, it is somewhat hard to understand the need for so many commentaries on the Mishna. If the primary purpose of the Babylonian and Jerusalem </w:t>
      </w:r>
      <w:proofErr w:type="spellStart"/>
      <w:r w:rsidRPr="00AB7812">
        <w:rPr>
          <w:rFonts w:ascii="Arial" w:hAnsi="Arial" w:cs="Arial"/>
          <w:lang w:bidi="he-IL"/>
        </w:rPr>
        <w:t>Talmuds</w:t>
      </w:r>
      <w:proofErr w:type="spellEnd"/>
      <w:r w:rsidRPr="00AB7812">
        <w:rPr>
          <w:rFonts w:ascii="Arial" w:hAnsi="Arial" w:cs="Arial"/>
          <w:lang w:bidi="he-IL"/>
        </w:rPr>
        <w:t xml:space="preserve"> is to explain the Mishna, what need is there for commentaries that transform the Mishna into a text capable of being studied independently</w:t>
      </w:r>
      <w:r>
        <w:rPr>
          <w:rFonts w:ascii="Arial" w:hAnsi="Arial" w:cs="Arial"/>
          <w:lang w:bidi="he-IL"/>
        </w:rPr>
        <w:t>,</w:t>
      </w:r>
      <w:r w:rsidRPr="00AB7812">
        <w:rPr>
          <w:rFonts w:ascii="Arial" w:hAnsi="Arial" w:cs="Arial"/>
          <w:lang w:bidi="he-IL"/>
        </w:rPr>
        <w:t xml:space="preserve"> without the </w:t>
      </w:r>
      <w:proofErr w:type="spellStart"/>
      <w:r w:rsidRPr="00AB7812">
        <w:rPr>
          <w:rFonts w:ascii="Arial" w:hAnsi="Arial" w:cs="Arial"/>
          <w:lang w:bidi="he-IL"/>
        </w:rPr>
        <w:t>Gemara</w:t>
      </w:r>
      <w:proofErr w:type="spellEnd"/>
      <w:r w:rsidRPr="00AB7812">
        <w:rPr>
          <w:rFonts w:ascii="Arial" w:hAnsi="Arial" w:cs="Arial"/>
          <w:lang w:bidi="he-IL"/>
        </w:rPr>
        <w:t xml:space="preserve">? We will return to this question frequently throughout the series of </w:t>
      </w:r>
      <w:proofErr w:type="spellStart"/>
      <w:r w:rsidRPr="00AB7812">
        <w:rPr>
          <w:rFonts w:ascii="Arial" w:hAnsi="Arial" w:cs="Arial"/>
          <w:i/>
          <w:iCs/>
          <w:lang w:bidi="he-IL"/>
        </w:rPr>
        <w:t>shiurim</w:t>
      </w:r>
      <w:proofErr w:type="spellEnd"/>
      <w:r w:rsidRPr="00AB7812">
        <w:rPr>
          <w:rFonts w:ascii="Arial" w:hAnsi="Arial" w:cs="Arial"/>
          <w:lang w:bidi="he-IL"/>
        </w:rPr>
        <w:t xml:space="preserve">. </w:t>
      </w:r>
    </w:p>
    <w:p w:rsidR="00E8332B" w:rsidRDefault="00E8332B" w:rsidP="00AB7812">
      <w:pPr>
        <w:jc w:val="both"/>
        <w:rPr>
          <w:rFonts w:ascii="Arial" w:hAnsi="Arial" w:cs="Arial"/>
          <w:lang w:bidi="he-IL"/>
        </w:rPr>
      </w:pPr>
    </w:p>
    <w:p w:rsidR="00E8332B" w:rsidRDefault="00E8332B" w:rsidP="0034433C">
      <w:pPr>
        <w:jc w:val="both"/>
        <w:rPr>
          <w:rFonts w:ascii="Arial" w:hAnsi="Arial" w:cs="Arial"/>
          <w:lang w:bidi="he-IL"/>
        </w:rPr>
      </w:pPr>
      <w:r>
        <w:rPr>
          <w:rFonts w:ascii="Arial" w:hAnsi="Arial" w:cs="Arial"/>
          <w:lang w:bidi="he-IL"/>
        </w:rPr>
        <w:tab/>
      </w:r>
      <w:r w:rsidRPr="00AB7812">
        <w:rPr>
          <w:rFonts w:ascii="Arial" w:hAnsi="Arial" w:cs="Arial"/>
          <w:lang w:bidi="he-IL"/>
        </w:rPr>
        <w:t xml:space="preserve">We will deal primarily with commentaries that address the Mishna in a systematic manner, explaining all of the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in order.</w:t>
      </w:r>
      <w:r w:rsidRPr="00AB7812">
        <w:rPr>
          <w:rStyle w:val="FootnoteReference"/>
          <w:rFonts w:ascii="Arial" w:hAnsi="Arial" w:cs="Arial"/>
          <w:lang w:bidi="he-IL"/>
        </w:rPr>
        <w:footnoteReference w:id="1"/>
      </w:r>
      <w:r w:rsidRPr="00AB7812">
        <w:rPr>
          <w:rFonts w:ascii="Arial" w:hAnsi="Arial" w:cs="Arial"/>
          <w:lang w:bidi="he-IL"/>
        </w:rPr>
        <w:t xml:space="preserve"> Using examples from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 xml:space="preserve">throughout </w:t>
      </w:r>
      <w:r w:rsidRPr="00AB7812">
        <w:rPr>
          <w:rFonts w:ascii="Arial" w:hAnsi="Arial" w:cs="Arial"/>
          <w:i/>
          <w:iCs/>
          <w:lang w:bidi="he-IL"/>
        </w:rPr>
        <w:t xml:space="preserve">Shas </w:t>
      </w:r>
      <w:r w:rsidRPr="00AB7812">
        <w:rPr>
          <w:rFonts w:ascii="Arial" w:hAnsi="Arial" w:cs="Arial"/>
          <w:lang w:bidi="he-IL"/>
        </w:rPr>
        <w:t>(the six orders of the Mishna), we will attempt to discern the goal and uniqueness of each one: What motivated the author to write his commentary, what did it add to th</w:t>
      </w:r>
      <w:r>
        <w:rPr>
          <w:rFonts w:ascii="Arial" w:hAnsi="Arial" w:cs="Arial"/>
          <w:lang w:bidi="he-IL"/>
        </w:rPr>
        <w:t>e</w:t>
      </w:r>
      <w:r w:rsidRPr="00AB7812">
        <w:rPr>
          <w:rFonts w:ascii="Arial" w:hAnsi="Arial" w:cs="Arial"/>
          <w:lang w:bidi="he-IL"/>
        </w:rPr>
        <w:t xml:space="preserve"> commentaries that preceded </w:t>
      </w:r>
      <w:proofErr w:type="gramStart"/>
      <w:r w:rsidRPr="00AB7812">
        <w:rPr>
          <w:rFonts w:ascii="Arial" w:hAnsi="Arial" w:cs="Arial"/>
          <w:lang w:bidi="he-IL"/>
        </w:rPr>
        <w:t>it,</w:t>
      </w:r>
      <w:proofErr w:type="gramEnd"/>
      <w:r w:rsidRPr="00AB7812">
        <w:rPr>
          <w:rFonts w:ascii="Arial" w:hAnsi="Arial" w:cs="Arial"/>
          <w:lang w:bidi="he-IL"/>
        </w:rPr>
        <w:t xml:space="preserve"> and what can be derived from the commentary about the persona behind it?</w:t>
      </w:r>
      <w:r>
        <w:rPr>
          <w:rFonts w:ascii="Arial" w:hAnsi="Arial" w:cs="Arial"/>
          <w:lang w:bidi="he-IL"/>
        </w:rPr>
        <w:t xml:space="preserve">  </w:t>
      </w:r>
    </w:p>
    <w:p w:rsidR="00E8332B" w:rsidRDefault="00E8332B" w:rsidP="00AB7812">
      <w:pPr>
        <w:jc w:val="both"/>
        <w:rPr>
          <w:rFonts w:ascii="Arial" w:hAnsi="Arial" w:cs="Arial"/>
          <w:lang w:bidi="he-IL"/>
        </w:rPr>
      </w:pPr>
    </w:p>
    <w:p w:rsidR="00E8332B" w:rsidRDefault="00E8332B" w:rsidP="0034433C">
      <w:pPr>
        <w:jc w:val="both"/>
        <w:rPr>
          <w:rFonts w:ascii="Arial" w:hAnsi="Arial" w:cs="Arial"/>
          <w:lang w:bidi="he-IL"/>
        </w:rPr>
      </w:pPr>
      <w:r>
        <w:rPr>
          <w:rFonts w:ascii="Arial" w:hAnsi="Arial" w:cs="Arial"/>
          <w:lang w:bidi="he-IL"/>
        </w:rPr>
        <w:tab/>
      </w:r>
      <w:r w:rsidRPr="00AB7812">
        <w:rPr>
          <w:rFonts w:ascii="Arial" w:hAnsi="Arial" w:cs="Arial"/>
          <w:lang w:bidi="he-IL"/>
        </w:rPr>
        <w:t>Before discussing the classic commentaries</w:t>
      </w:r>
      <w:r>
        <w:rPr>
          <w:rFonts w:ascii="Arial" w:hAnsi="Arial" w:cs="Arial"/>
          <w:lang w:bidi="he-IL"/>
        </w:rPr>
        <w:t xml:space="preserve"> to the Mishna</w:t>
      </w:r>
      <w:r w:rsidRPr="00AB7812">
        <w:rPr>
          <w:rFonts w:ascii="Arial" w:hAnsi="Arial" w:cs="Arial"/>
          <w:lang w:bidi="he-IL"/>
        </w:rPr>
        <w:t>, it should be noted that there are actually much earlier commentaries to the Mishna as well, namely</w:t>
      </w:r>
      <w:r>
        <w:rPr>
          <w:rFonts w:ascii="Arial" w:hAnsi="Arial" w:cs="Arial"/>
          <w:lang w:bidi="he-IL"/>
        </w:rPr>
        <w:t>,</w:t>
      </w:r>
      <w:r w:rsidRPr="00AB7812">
        <w:rPr>
          <w:rFonts w:ascii="Arial" w:hAnsi="Arial" w:cs="Arial"/>
          <w:lang w:bidi="he-IL"/>
        </w:rPr>
        <w:t xml:space="preserve"> those of the </w:t>
      </w:r>
      <w:proofErr w:type="spellStart"/>
      <w:r>
        <w:rPr>
          <w:rFonts w:ascii="Arial" w:hAnsi="Arial" w:cs="Arial"/>
          <w:i/>
          <w:iCs/>
          <w:lang w:bidi="he-IL"/>
        </w:rPr>
        <w:t>tanna</w:t>
      </w:r>
      <w:r w:rsidRPr="00AB7812">
        <w:rPr>
          <w:rFonts w:ascii="Arial" w:hAnsi="Arial" w:cs="Arial"/>
          <w:i/>
          <w:iCs/>
          <w:lang w:bidi="he-IL"/>
        </w:rPr>
        <w:t>’im</w:t>
      </w:r>
      <w:proofErr w:type="spellEnd"/>
      <w:r w:rsidRPr="00AB7812">
        <w:rPr>
          <w:rFonts w:ascii="Arial" w:hAnsi="Arial" w:cs="Arial"/>
          <w:i/>
          <w:iCs/>
          <w:lang w:bidi="he-IL"/>
        </w:rPr>
        <w:t xml:space="preserve"> </w:t>
      </w:r>
      <w:r w:rsidRPr="00AB7812">
        <w:rPr>
          <w:rFonts w:ascii="Arial" w:hAnsi="Arial" w:cs="Arial"/>
          <w:lang w:bidi="he-IL"/>
        </w:rPr>
        <w:t xml:space="preserve">and </w:t>
      </w:r>
      <w:proofErr w:type="spellStart"/>
      <w:r w:rsidRPr="00AB7812">
        <w:rPr>
          <w:rFonts w:ascii="Arial" w:hAnsi="Arial" w:cs="Arial"/>
          <w:i/>
          <w:iCs/>
          <w:lang w:bidi="he-IL"/>
        </w:rPr>
        <w:t>amorai’m</w:t>
      </w:r>
      <w:proofErr w:type="spellEnd"/>
      <w:r w:rsidRPr="00AB7812">
        <w:rPr>
          <w:rFonts w:ascii="Arial" w:hAnsi="Arial" w:cs="Arial"/>
          <w:i/>
          <w:iCs/>
          <w:lang w:bidi="he-IL"/>
        </w:rPr>
        <w:t xml:space="preserve"> </w:t>
      </w:r>
      <w:proofErr w:type="gramStart"/>
      <w:r w:rsidRPr="00AB7812">
        <w:rPr>
          <w:rFonts w:ascii="Arial" w:hAnsi="Arial" w:cs="Arial"/>
          <w:lang w:bidi="he-IL"/>
        </w:rPr>
        <w:t>themselves</w:t>
      </w:r>
      <w:proofErr w:type="gramEnd"/>
      <w:r w:rsidRPr="00AB7812">
        <w:rPr>
          <w:rFonts w:ascii="Arial" w:hAnsi="Arial" w:cs="Arial"/>
          <w:lang w:bidi="he-IL"/>
        </w:rPr>
        <w:t xml:space="preserve">. These “commentaries” are just as significant as the classical ones, and the first two </w:t>
      </w:r>
      <w:proofErr w:type="spellStart"/>
      <w:r w:rsidRPr="00AB7812">
        <w:rPr>
          <w:rFonts w:ascii="Arial" w:hAnsi="Arial" w:cs="Arial"/>
          <w:i/>
          <w:iCs/>
          <w:lang w:bidi="he-IL"/>
        </w:rPr>
        <w:t>shiurim</w:t>
      </w:r>
      <w:proofErr w:type="spellEnd"/>
      <w:r w:rsidRPr="00AB7812">
        <w:rPr>
          <w:rFonts w:ascii="Arial" w:hAnsi="Arial" w:cs="Arial"/>
          <w:i/>
          <w:iCs/>
          <w:lang w:bidi="he-IL"/>
        </w:rPr>
        <w:t xml:space="preserve"> </w:t>
      </w:r>
      <w:r w:rsidRPr="00AB7812">
        <w:rPr>
          <w:rFonts w:ascii="Arial" w:hAnsi="Arial" w:cs="Arial"/>
          <w:lang w:bidi="he-IL"/>
        </w:rPr>
        <w:t xml:space="preserve">are dedicated to understanding them. </w:t>
      </w:r>
    </w:p>
    <w:p w:rsidR="00E8332B" w:rsidRDefault="00E8332B" w:rsidP="00AB7812">
      <w:pPr>
        <w:jc w:val="both"/>
        <w:rPr>
          <w:rFonts w:ascii="Arial" w:hAnsi="Arial" w:cs="Arial"/>
          <w:lang w:bidi="he-IL"/>
        </w:rPr>
      </w:pPr>
    </w:p>
    <w:p w:rsidR="00E8332B" w:rsidRPr="00AB7812" w:rsidRDefault="00E8332B" w:rsidP="00AB7812">
      <w:pPr>
        <w:jc w:val="both"/>
        <w:rPr>
          <w:rFonts w:ascii="Arial" w:hAnsi="Arial" w:cs="Arial"/>
          <w:b/>
          <w:bCs/>
          <w:i/>
          <w:iCs/>
          <w:lang w:bidi="he-IL"/>
        </w:rPr>
      </w:pPr>
      <w:r w:rsidRPr="00AB7812">
        <w:rPr>
          <w:rFonts w:ascii="Arial" w:hAnsi="Arial" w:cs="Arial"/>
          <w:b/>
          <w:bCs/>
          <w:lang w:bidi="he-IL"/>
        </w:rPr>
        <w:t>The Intra-Mishnaic commentaries</w:t>
      </w:r>
      <w:r>
        <w:rPr>
          <w:rFonts w:ascii="Arial" w:hAnsi="Arial" w:cs="Arial"/>
          <w:b/>
          <w:bCs/>
          <w:lang w:bidi="he-IL"/>
        </w:rPr>
        <w:t xml:space="preserve">  </w:t>
      </w:r>
    </w:p>
    <w:p w:rsidR="00E8332B" w:rsidRDefault="00E8332B" w:rsidP="00AB7812">
      <w:pPr>
        <w:jc w:val="both"/>
        <w:rPr>
          <w:rFonts w:ascii="Arial" w:hAnsi="Arial" w:cs="Arial"/>
          <w:lang w:bidi="he-IL"/>
        </w:rPr>
      </w:pPr>
    </w:p>
    <w:p w:rsidR="00E8332B" w:rsidRDefault="00E8332B" w:rsidP="00AB7812">
      <w:pPr>
        <w:ind w:firstLine="720"/>
        <w:jc w:val="both"/>
        <w:rPr>
          <w:rFonts w:ascii="Arial" w:hAnsi="Arial" w:cs="Arial"/>
          <w:lang w:bidi="he-IL"/>
        </w:rPr>
      </w:pPr>
      <w:r w:rsidRPr="00AB7812">
        <w:rPr>
          <w:rFonts w:ascii="Arial" w:hAnsi="Arial" w:cs="Arial"/>
          <w:lang w:bidi="he-IL"/>
        </w:rPr>
        <w:t xml:space="preserve">Our version of the Mishna is referred to as “The Mishna of </w:t>
      </w:r>
      <w:proofErr w:type="spellStart"/>
      <w:r w:rsidRPr="00AB7812">
        <w:rPr>
          <w:rFonts w:ascii="Arial" w:hAnsi="Arial" w:cs="Arial"/>
          <w:lang w:bidi="he-IL"/>
        </w:rPr>
        <w:t>Rebbe</w:t>
      </w:r>
      <w:proofErr w:type="spellEnd"/>
      <w:r w:rsidRPr="00AB7812">
        <w:rPr>
          <w:rFonts w:ascii="Arial" w:hAnsi="Arial" w:cs="Arial"/>
          <w:lang w:bidi="he-IL"/>
        </w:rPr>
        <w:t xml:space="preserve">,” due to an assumption that </w:t>
      </w:r>
      <w:proofErr w:type="spellStart"/>
      <w:r w:rsidRPr="00AB7812">
        <w:rPr>
          <w:rFonts w:ascii="Arial" w:hAnsi="Arial" w:cs="Arial"/>
          <w:lang w:bidi="he-IL"/>
        </w:rPr>
        <w:t>Rebbe</w:t>
      </w:r>
      <w:proofErr w:type="spellEnd"/>
      <w:r w:rsidRPr="00AB7812">
        <w:rPr>
          <w:rFonts w:ascii="Arial" w:hAnsi="Arial" w:cs="Arial"/>
          <w:lang w:bidi="he-IL"/>
        </w:rPr>
        <w:t xml:space="preserve">, Rabbi Yehuda </w:t>
      </w:r>
      <w:proofErr w:type="spellStart"/>
      <w:r w:rsidRPr="00AB7812">
        <w:rPr>
          <w:rFonts w:ascii="Arial" w:hAnsi="Arial" w:cs="Arial"/>
          <w:lang w:bidi="he-IL"/>
        </w:rPr>
        <w:t>HaNasi</w:t>
      </w:r>
      <w:proofErr w:type="spellEnd"/>
      <w:r w:rsidR="00AC07A7">
        <w:rPr>
          <w:rFonts w:ascii="Arial" w:hAnsi="Arial" w:cs="Arial"/>
          <w:lang w:bidi="he-IL"/>
        </w:rPr>
        <w:t xml:space="preserve"> (c. 135-220 CE)</w:t>
      </w:r>
      <w:r w:rsidRPr="00AB7812">
        <w:rPr>
          <w:rFonts w:ascii="Arial" w:hAnsi="Arial" w:cs="Arial"/>
          <w:lang w:bidi="he-IL"/>
        </w:rPr>
        <w:t xml:space="preserve">, was the editor and compiler of the Mishna. Nevertheless,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 xml:space="preserve">clearly existed before his time, as is evident from the following comment of </w:t>
      </w:r>
      <w:proofErr w:type="spellStart"/>
      <w:r w:rsidRPr="00AB7812">
        <w:rPr>
          <w:rFonts w:ascii="Arial" w:hAnsi="Arial" w:cs="Arial"/>
          <w:i/>
          <w:iCs/>
          <w:lang w:bidi="he-IL"/>
        </w:rPr>
        <w:t>Tosafot</w:t>
      </w:r>
      <w:proofErr w:type="spellEnd"/>
      <w:r w:rsidRPr="00AB7812">
        <w:rPr>
          <w:rFonts w:ascii="Arial" w:hAnsi="Arial" w:cs="Arial"/>
          <w:i/>
          <w:iCs/>
          <w:lang w:bidi="he-IL"/>
        </w:rPr>
        <w:t xml:space="preserve"> </w:t>
      </w:r>
      <w:r w:rsidRPr="00AB7812">
        <w:rPr>
          <w:rFonts w:ascii="Arial" w:hAnsi="Arial" w:cs="Arial"/>
          <w:lang w:bidi="he-IL"/>
        </w:rPr>
        <w:t>(</w:t>
      </w:r>
      <w:proofErr w:type="spellStart"/>
      <w:r w:rsidRPr="00AB7812">
        <w:rPr>
          <w:rFonts w:ascii="Arial" w:hAnsi="Arial" w:cs="Arial"/>
          <w:i/>
          <w:iCs/>
          <w:lang w:bidi="he-IL"/>
        </w:rPr>
        <w:t>Bava</w:t>
      </w:r>
      <w:proofErr w:type="spellEnd"/>
      <w:r w:rsidRPr="00AB7812">
        <w:rPr>
          <w:rFonts w:ascii="Arial" w:hAnsi="Arial" w:cs="Arial"/>
          <w:i/>
          <w:iCs/>
          <w:lang w:bidi="he-IL"/>
        </w:rPr>
        <w:t xml:space="preserve"> </w:t>
      </w:r>
      <w:proofErr w:type="spellStart"/>
      <w:r w:rsidRPr="00AB7812">
        <w:rPr>
          <w:rFonts w:ascii="Arial" w:hAnsi="Arial" w:cs="Arial"/>
          <w:i/>
          <w:iCs/>
          <w:lang w:bidi="he-IL"/>
        </w:rPr>
        <w:t>Kamma</w:t>
      </w:r>
      <w:proofErr w:type="spellEnd"/>
      <w:r w:rsidRPr="00AB7812">
        <w:rPr>
          <w:rFonts w:ascii="Arial" w:hAnsi="Arial" w:cs="Arial"/>
          <w:i/>
          <w:iCs/>
          <w:lang w:bidi="he-IL"/>
        </w:rPr>
        <w:t xml:space="preserve"> </w:t>
      </w:r>
      <w:r w:rsidRPr="00AB7812">
        <w:rPr>
          <w:rFonts w:ascii="Arial" w:hAnsi="Arial" w:cs="Arial"/>
          <w:lang w:bidi="he-IL"/>
        </w:rPr>
        <w:t xml:space="preserve">94b): “…since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 xml:space="preserve">existed before the time of </w:t>
      </w:r>
      <w:proofErr w:type="spellStart"/>
      <w:r w:rsidRPr="00AB7812">
        <w:rPr>
          <w:rFonts w:ascii="Arial" w:hAnsi="Arial" w:cs="Arial"/>
          <w:lang w:bidi="he-IL"/>
        </w:rPr>
        <w:t>Rebbe</w:t>
      </w:r>
      <w:proofErr w:type="spellEnd"/>
      <w:r w:rsidRPr="00AB7812">
        <w:rPr>
          <w:rFonts w:ascii="Arial" w:hAnsi="Arial" w:cs="Arial"/>
          <w:lang w:bidi="he-IL"/>
        </w:rPr>
        <w:t xml:space="preserve">, but </w:t>
      </w:r>
      <w:proofErr w:type="spellStart"/>
      <w:r w:rsidRPr="00AB7812">
        <w:rPr>
          <w:rFonts w:ascii="Arial" w:hAnsi="Arial" w:cs="Arial"/>
          <w:lang w:bidi="he-IL"/>
        </w:rPr>
        <w:t>Rebbe</w:t>
      </w:r>
      <w:proofErr w:type="spellEnd"/>
      <w:r w:rsidRPr="00AB7812">
        <w:rPr>
          <w:rFonts w:ascii="Arial" w:hAnsi="Arial" w:cs="Arial"/>
          <w:lang w:bidi="he-IL"/>
        </w:rPr>
        <w:t xml:space="preserve"> organized them.” The </w:t>
      </w:r>
      <w:proofErr w:type="spellStart"/>
      <w:r w:rsidRPr="00AB7812">
        <w:rPr>
          <w:rFonts w:ascii="Arial" w:hAnsi="Arial" w:cs="Arial"/>
          <w:i/>
          <w:iCs/>
          <w:lang w:bidi="he-IL"/>
        </w:rPr>
        <w:t>Rishonim</w:t>
      </w:r>
      <w:proofErr w:type="spellEnd"/>
      <w:r w:rsidRPr="00AB7812">
        <w:rPr>
          <w:rFonts w:ascii="Arial" w:hAnsi="Arial" w:cs="Arial"/>
          <w:i/>
          <w:iCs/>
          <w:lang w:bidi="he-IL"/>
        </w:rPr>
        <w:t xml:space="preserve"> </w:t>
      </w:r>
      <w:r w:rsidRPr="00AB7812">
        <w:rPr>
          <w:rFonts w:ascii="Arial" w:hAnsi="Arial" w:cs="Arial"/>
          <w:lang w:bidi="he-IL"/>
        </w:rPr>
        <w:t xml:space="preserve">as well as modern scholars dispute what form these early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 xml:space="preserve">took, and whether they were intentionally organized as such, or were simply random statements recorded by the </w:t>
      </w:r>
      <w:proofErr w:type="spellStart"/>
      <w:r w:rsidRPr="00AB7812">
        <w:rPr>
          <w:rFonts w:ascii="Arial" w:hAnsi="Arial" w:cs="Arial"/>
          <w:i/>
          <w:iCs/>
          <w:lang w:bidi="he-IL"/>
        </w:rPr>
        <w:t>tanna’im</w:t>
      </w:r>
      <w:proofErr w:type="spellEnd"/>
      <w:r w:rsidRPr="00AB7812">
        <w:rPr>
          <w:rFonts w:ascii="Arial" w:hAnsi="Arial" w:cs="Arial"/>
          <w:i/>
          <w:iCs/>
          <w:lang w:bidi="he-IL"/>
        </w:rPr>
        <w:t xml:space="preserve"> </w:t>
      </w:r>
      <w:r w:rsidRPr="00AB7812">
        <w:rPr>
          <w:rFonts w:ascii="Arial" w:hAnsi="Arial" w:cs="Arial"/>
          <w:lang w:bidi="he-IL"/>
        </w:rPr>
        <w:t xml:space="preserve">for their own purposes. Although this issue is not our concern at this point, the dispute does indicate that, as mentioned, the Mishna of </w:t>
      </w:r>
      <w:proofErr w:type="spellStart"/>
      <w:r w:rsidRPr="00AB7812">
        <w:rPr>
          <w:rFonts w:ascii="Arial" w:hAnsi="Arial" w:cs="Arial"/>
          <w:lang w:bidi="he-IL"/>
        </w:rPr>
        <w:t>Rebbe</w:t>
      </w:r>
      <w:proofErr w:type="spellEnd"/>
      <w:r w:rsidRPr="00AB7812">
        <w:rPr>
          <w:rFonts w:ascii="Arial" w:hAnsi="Arial" w:cs="Arial"/>
          <w:lang w:bidi="he-IL"/>
        </w:rPr>
        <w:t xml:space="preserve"> in its present form also incorporates earlier </w:t>
      </w:r>
      <w:proofErr w:type="spellStart"/>
      <w:r w:rsidRPr="00AB7812">
        <w:rPr>
          <w:rFonts w:ascii="Arial" w:hAnsi="Arial" w:cs="Arial"/>
          <w:i/>
          <w:iCs/>
          <w:lang w:bidi="he-IL"/>
        </w:rPr>
        <w:t>mishnayot</w:t>
      </w:r>
      <w:proofErr w:type="spellEnd"/>
      <w:r w:rsidRPr="00AB7812">
        <w:rPr>
          <w:rFonts w:ascii="Arial" w:hAnsi="Arial" w:cs="Arial"/>
          <w:lang w:bidi="he-IL"/>
        </w:rPr>
        <w:t xml:space="preserve"> within it. </w:t>
      </w:r>
    </w:p>
    <w:p w:rsidR="00E8332B" w:rsidRDefault="00E8332B" w:rsidP="00AB7812">
      <w:pPr>
        <w:jc w:val="both"/>
        <w:rPr>
          <w:rFonts w:ascii="Arial" w:hAnsi="Arial" w:cs="Arial"/>
          <w:lang w:bidi="he-IL"/>
        </w:rPr>
      </w:pPr>
    </w:p>
    <w:p w:rsidR="00E8332B" w:rsidRDefault="00E8332B" w:rsidP="00AB7812">
      <w:pPr>
        <w:jc w:val="both"/>
        <w:rPr>
          <w:rFonts w:ascii="Arial" w:hAnsi="Arial" w:cs="Arial"/>
          <w:lang w:bidi="he-IL"/>
        </w:rPr>
      </w:pPr>
      <w:r>
        <w:rPr>
          <w:rFonts w:ascii="Arial" w:hAnsi="Arial" w:cs="Arial"/>
          <w:lang w:bidi="he-IL"/>
        </w:rPr>
        <w:tab/>
      </w:r>
      <w:r w:rsidRPr="00AB7812">
        <w:rPr>
          <w:rFonts w:ascii="Arial" w:hAnsi="Arial" w:cs="Arial"/>
          <w:lang w:bidi="he-IL"/>
        </w:rPr>
        <w:t xml:space="preserve">These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 xml:space="preserve">can be identified in a number of ways, one of them being where a Mishna explains a more ancient Mishna. Rav </w:t>
      </w:r>
      <w:proofErr w:type="spellStart"/>
      <w:r w:rsidRPr="00AB7812">
        <w:rPr>
          <w:rFonts w:ascii="Arial" w:hAnsi="Arial" w:cs="Arial"/>
          <w:lang w:bidi="he-IL"/>
        </w:rPr>
        <w:t>Sherira</w:t>
      </w:r>
      <w:proofErr w:type="spellEnd"/>
      <w:r w:rsidRPr="00AB7812">
        <w:rPr>
          <w:rFonts w:ascii="Arial" w:hAnsi="Arial" w:cs="Arial"/>
          <w:lang w:bidi="he-IL"/>
        </w:rPr>
        <w:t xml:space="preserve"> </w:t>
      </w:r>
      <w:proofErr w:type="spellStart"/>
      <w:r w:rsidRPr="00AB7812">
        <w:rPr>
          <w:rFonts w:ascii="Arial" w:hAnsi="Arial" w:cs="Arial"/>
          <w:lang w:bidi="he-IL"/>
        </w:rPr>
        <w:t>Gaon</w:t>
      </w:r>
      <w:proofErr w:type="spellEnd"/>
      <w:r w:rsidRPr="00AB7812">
        <w:rPr>
          <w:rStyle w:val="FootnoteReference"/>
          <w:rFonts w:ascii="Arial" w:hAnsi="Arial" w:cs="Arial"/>
          <w:lang w:bidi="he-IL"/>
        </w:rPr>
        <w:footnoteReference w:id="2"/>
      </w:r>
      <w:r w:rsidRPr="00AB7812">
        <w:rPr>
          <w:rFonts w:ascii="Arial" w:hAnsi="Arial" w:cs="Arial"/>
          <w:lang w:bidi="he-IL"/>
        </w:rPr>
        <w:t xml:space="preserve"> notes this phenomenon and confirms that </w:t>
      </w:r>
      <w:proofErr w:type="spellStart"/>
      <w:r w:rsidRPr="00AB7812">
        <w:rPr>
          <w:rFonts w:ascii="Arial" w:hAnsi="Arial" w:cs="Arial"/>
          <w:lang w:bidi="he-IL"/>
        </w:rPr>
        <w:t>Rebbe</w:t>
      </w:r>
      <w:proofErr w:type="spellEnd"/>
      <w:r w:rsidRPr="00AB7812">
        <w:rPr>
          <w:rFonts w:ascii="Arial" w:hAnsi="Arial" w:cs="Arial"/>
          <w:lang w:bidi="he-IL"/>
        </w:rPr>
        <w:t xml:space="preserve"> did in fact explain </w:t>
      </w:r>
      <w:proofErr w:type="spellStart"/>
      <w:r w:rsidRPr="00AB7812">
        <w:rPr>
          <w:rFonts w:ascii="Arial" w:hAnsi="Arial" w:cs="Arial"/>
          <w:i/>
          <w:iCs/>
          <w:lang w:bidi="he-IL"/>
        </w:rPr>
        <w:t>mishnayot</w:t>
      </w:r>
      <w:proofErr w:type="spellEnd"/>
      <w:r w:rsidRPr="00AB7812">
        <w:rPr>
          <w:rFonts w:ascii="Arial" w:hAnsi="Arial" w:cs="Arial"/>
          <w:i/>
          <w:iCs/>
          <w:lang w:bidi="he-IL"/>
        </w:rPr>
        <w:t xml:space="preserve"> </w:t>
      </w:r>
      <w:r w:rsidRPr="00AB7812">
        <w:rPr>
          <w:rFonts w:ascii="Arial" w:hAnsi="Arial" w:cs="Arial"/>
          <w:lang w:bidi="he-IL"/>
        </w:rPr>
        <w:t>that preceded his own. One of his examples is the Mishna (</w:t>
      </w:r>
      <w:r w:rsidRPr="00AB7812">
        <w:rPr>
          <w:rFonts w:ascii="Arial" w:hAnsi="Arial" w:cs="Arial"/>
          <w:i/>
          <w:iCs/>
          <w:lang w:bidi="he-IL"/>
        </w:rPr>
        <w:t xml:space="preserve">Shabbat </w:t>
      </w:r>
      <w:r w:rsidRPr="00AB7812">
        <w:rPr>
          <w:rFonts w:ascii="Arial" w:hAnsi="Arial" w:cs="Arial"/>
          <w:lang w:bidi="he-IL"/>
        </w:rPr>
        <w:t>chapter 6) that discusses at length the various types of jewelry that are permitted and forbidden for women to wear on Shabbat with regard to the concern of carrying an object from one domain to another (</w:t>
      </w:r>
      <w:proofErr w:type="spellStart"/>
      <w:r w:rsidRPr="00AB7812">
        <w:rPr>
          <w:rFonts w:ascii="Arial" w:hAnsi="Arial" w:cs="Arial"/>
          <w:i/>
          <w:iCs/>
          <w:lang w:bidi="he-IL"/>
        </w:rPr>
        <w:t>hotza’a</w:t>
      </w:r>
      <w:proofErr w:type="spellEnd"/>
      <w:r w:rsidRPr="00AB7812">
        <w:rPr>
          <w:rFonts w:ascii="Arial" w:hAnsi="Arial" w:cs="Arial"/>
          <w:lang w:bidi="he-IL"/>
        </w:rPr>
        <w:t xml:space="preserve">). The Mishna brings an extensive list of permitted items, including the following items in Mishna 6: </w:t>
      </w:r>
    </w:p>
    <w:p w:rsidR="00E8332B" w:rsidRDefault="00E8332B" w:rsidP="00AB7812">
      <w:pPr>
        <w:jc w:val="both"/>
        <w:rPr>
          <w:rFonts w:ascii="Arial" w:hAnsi="Arial" w:cs="Arial"/>
          <w:lang w:bidi="he-IL"/>
        </w:rPr>
      </w:pPr>
    </w:p>
    <w:p w:rsidR="00E8332B" w:rsidRDefault="00E8332B" w:rsidP="00AB7812">
      <w:pPr>
        <w:ind w:left="720"/>
        <w:jc w:val="both"/>
        <w:rPr>
          <w:rFonts w:ascii="Arial" w:hAnsi="Arial" w:cs="Arial"/>
          <w:iCs/>
          <w:lang w:bidi="he-IL"/>
        </w:rPr>
      </w:pPr>
      <w:r w:rsidRPr="00AB7812">
        <w:rPr>
          <w:rFonts w:ascii="Arial" w:hAnsi="Arial" w:cs="Arial"/>
          <w:lang w:bidi="he-IL"/>
        </w:rPr>
        <w:t>One may go out [on Shabbat] with a coin upon a wound. Young girls may go out with threads, and even with splinters that are [passed through holes] in their ears. Arab women may go out wrapped [in head cloths], and Median women [with a cloak] fastened; and any person [may also do this]; however, the Sages spoke with regard to the prevalent custom. (</w:t>
      </w:r>
      <w:r w:rsidRPr="00AB7812">
        <w:rPr>
          <w:rFonts w:ascii="Arial" w:hAnsi="Arial" w:cs="Arial"/>
          <w:i/>
          <w:lang w:bidi="he-IL"/>
        </w:rPr>
        <w:t xml:space="preserve">Shabbat </w:t>
      </w:r>
      <w:r w:rsidRPr="00AB7812">
        <w:rPr>
          <w:rFonts w:ascii="Arial" w:hAnsi="Arial" w:cs="Arial"/>
          <w:iCs/>
          <w:lang w:bidi="he-IL"/>
        </w:rPr>
        <w:t>6:6)</w:t>
      </w:r>
    </w:p>
    <w:p w:rsidR="00E8332B" w:rsidRDefault="00E8332B" w:rsidP="00AB7812">
      <w:pPr>
        <w:ind w:left="720"/>
        <w:jc w:val="both"/>
        <w:rPr>
          <w:rFonts w:ascii="Arial" w:hAnsi="Arial" w:cs="Arial"/>
          <w:iCs/>
          <w:lang w:bidi="he-IL"/>
        </w:rPr>
      </w:pPr>
    </w:p>
    <w:p w:rsidR="00E8332B" w:rsidRDefault="00E8332B" w:rsidP="00AB7812">
      <w:pPr>
        <w:jc w:val="both"/>
        <w:rPr>
          <w:rFonts w:ascii="Arial" w:hAnsi="Arial" w:cs="Arial"/>
          <w:lang w:bidi="he-IL"/>
        </w:rPr>
      </w:pPr>
      <w:r>
        <w:rPr>
          <w:rFonts w:ascii="Arial" w:hAnsi="Arial" w:cs="Arial"/>
          <w:iCs/>
          <w:lang w:bidi="he-IL"/>
        </w:rPr>
        <w:tab/>
      </w:r>
      <w:r w:rsidRPr="00AB7812">
        <w:rPr>
          <w:rFonts w:ascii="Arial" w:hAnsi="Arial" w:cs="Arial"/>
          <w:lang w:bidi="he-IL"/>
        </w:rPr>
        <w:t xml:space="preserve">Rav </w:t>
      </w:r>
      <w:proofErr w:type="spellStart"/>
      <w:r w:rsidRPr="00AB7812">
        <w:rPr>
          <w:rFonts w:ascii="Arial" w:hAnsi="Arial" w:cs="Arial"/>
          <w:lang w:bidi="he-IL"/>
        </w:rPr>
        <w:t>Sherira</w:t>
      </w:r>
      <w:proofErr w:type="spellEnd"/>
      <w:r w:rsidRPr="00AB7812">
        <w:rPr>
          <w:rFonts w:ascii="Arial" w:hAnsi="Arial" w:cs="Arial"/>
          <w:lang w:bidi="he-IL"/>
        </w:rPr>
        <w:t xml:space="preserve"> </w:t>
      </w:r>
      <w:proofErr w:type="spellStart"/>
      <w:r w:rsidRPr="00AB7812">
        <w:rPr>
          <w:rFonts w:ascii="Arial" w:hAnsi="Arial" w:cs="Arial"/>
          <w:lang w:bidi="he-IL"/>
        </w:rPr>
        <w:t>Gaon</w:t>
      </w:r>
      <w:proofErr w:type="spellEnd"/>
      <w:r w:rsidRPr="00AB7812">
        <w:rPr>
          <w:rFonts w:ascii="Arial" w:hAnsi="Arial" w:cs="Arial"/>
          <w:lang w:bidi="he-IL"/>
        </w:rPr>
        <w:t xml:space="preserve"> comments that the final sentence, “and any person [may also do this]</w:t>
      </w:r>
      <w:r w:rsidR="000A17DC">
        <w:rPr>
          <w:rFonts w:ascii="Arial" w:hAnsi="Arial" w:cs="Arial"/>
          <w:lang w:bidi="he-IL"/>
        </w:rPr>
        <w:t>,</w:t>
      </w:r>
      <w:r w:rsidRPr="00AB7812">
        <w:rPr>
          <w:rFonts w:ascii="Arial" w:hAnsi="Arial" w:cs="Arial"/>
          <w:lang w:bidi="he-IL"/>
        </w:rPr>
        <w:t xml:space="preserve">” which means that not only Arab women may go out wrapped, but any women, is the explanation of </w:t>
      </w:r>
      <w:proofErr w:type="spellStart"/>
      <w:r w:rsidRPr="00AB7812">
        <w:rPr>
          <w:rFonts w:ascii="Arial" w:hAnsi="Arial" w:cs="Arial"/>
          <w:lang w:bidi="he-IL"/>
        </w:rPr>
        <w:t>Rebbe</w:t>
      </w:r>
      <w:proofErr w:type="spellEnd"/>
      <w:r w:rsidRPr="00AB7812">
        <w:rPr>
          <w:rFonts w:ascii="Arial" w:hAnsi="Arial" w:cs="Arial"/>
          <w:lang w:bidi="he-IL"/>
        </w:rPr>
        <w:t>, who explains that the earlier Mishna was simply giving a common example.</w:t>
      </w:r>
      <w:r w:rsidRPr="00AB7812">
        <w:rPr>
          <w:rStyle w:val="FootnoteReference"/>
          <w:rFonts w:ascii="Arial" w:hAnsi="Arial" w:cs="Arial"/>
          <w:lang w:bidi="he-IL"/>
        </w:rPr>
        <w:footnoteReference w:id="3"/>
      </w:r>
      <w:r w:rsidRPr="00AB7812">
        <w:rPr>
          <w:rFonts w:ascii="Arial" w:hAnsi="Arial" w:cs="Arial"/>
          <w:lang w:bidi="he-IL"/>
        </w:rPr>
        <w:t xml:space="preserve"> </w:t>
      </w:r>
    </w:p>
    <w:p w:rsidR="00E8332B" w:rsidRDefault="00E8332B" w:rsidP="00AB7812">
      <w:pPr>
        <w:jc w:val="both"/>
        <w:rPr>
          <w:rFonts w:ascii="Arial" w:hAnsi="Arial" w:cs="Arial"/>
          <w:lang w:bidi="he-IL"/>
        </w:rPr>
      </w:pPr>
    </w:p>
    <w:p w:rsidR="00E8332B" w:rsidRDefault="00E8332B" w:rsidP="00A40859">
      <w:pPr>
        <w:jc w:val="both"/>
        <w:rPr>
          <w:rFonts w:ascii="Arial" w:hAnsi="Arial" w:cs="Arial"/>
          <w:lang w:bidi="he-IL"/>
        </w:rPr>
      </w:pPr>
      <w:r>
        <w:rPr>
          <w:rFonts w:ascii="Arial" w:hAnsi="Arial" w:cs="Arial"/>
          <w:lang w:bidi="he-IL"/>
        </w:rPr>
        <w:tab/>
      </w:r>
      <w:r w:rsidRPr="00AB7812">
        <w:rPr>
          <w:rFonts w:ascii="Arial" w:hAnsi="Arial" w:cs="Arial"/>
          <w:lang w:bidi="he-IL"/>
        </w:rPr>
        <w:t>The expression “</w:t>
      </w:r>
      <w:r w:rsidR="000A17DC">
        <w:rPr>
          <w:rFonts w:ascii="Arial" w:hAnsi="Arial" w:cs="Arial"/>
          <w:i/>
          <w:iCs/>
          <w:lang w:bidi="he-IL"/>
        </w:rPr>
        <w:t xml:space="preserve">lama </w:t>
      </w:r>
      <w:proofErr w:type="spellStart"/>
      <w:r w:rsidR="000A17DC">
        <w:rPr>
          <w:rFonts w:ascii="Arial" w:hAnsi="Arial" w:cs="Arial"/>
          <w:i/>
          <w:iCs/>
          <w:lang w:bidi="he-IL"/>
        </w:rPr>
        <w:t>ameru</w:t>
      </w:r>
      <w:proofErr w:type="spellEnd"/>
      <w:r w:rsidR="000A17DC">
        <w:rPr>
          <w:rFonts w:ascii="Arial" w:hAnsi="Arial" w:cs="Arial"/>
          <w:lang w:bidi="he-IL"/>
        </w:rPr>
        <w:t xml:space="preserve">, </w:t>
      </w:r>
      <w:r w:rsidRPr="00AB7812">
        <w:rPr>
          <w:rFonts w:ascii="Arial" w:hAnsi="Arial" w:cs="Arial"/>
          <w:lang w:bidi="he-IL"/>
        </w:rPr>
        <w:t xml:space="preserve">why did they say,” which appears in a number of instances in the Mishna, is an additional example of an intra-Mishnaic commentary. One instance of this example can be found in chapter 9 of tractate </w:t>
      </w:r>
      <w:proofErr w:type="spellStart"/>
      <w:r w:rsidRPr="00AB7812">
        <w:rPr>
          <w:rFonts w:ascii="Arial" w:hAnsi="Arial" w:cs="Arial"/>
          <w:i/>
          <w:iCs/>
          <w:lang w:bidi="he-IL"/>
        </w:rPr>
        <w:t>Shevi’it</w:t>
      </w:r>
      <w:proofErr w:type="spellEnd"/>
      <w:r w:rsidRPr="00AB7812">
        <w:rPr>
          <w:rFonts w:ascii="Arial" w:hAnsi="Arial" w:cs="Arial"/>
          <w:i/>
          <w:iCs/>
          <w:lang w:bidi="he-IL"/>
        </w:rPr>
        <w:t xml:space="preserve">, </w:t>
      </w:r>
      <w:r w:rsidRPr="00AB7812">
        <w:rPr>
          <w:rFonts w:ascii="Arial" w:hAnsi="Arial" w:cs="Arial"/>
          <w:lang w:bidi="he-IL"/>
        </w:rPr>
        <w:t xml:space="preserve">where the Mishna begins by discussing one of the obligations that take effect during the </w:t>
      </w:r>
      <w:proofErr w:type="spellStart"/>
      <w:r w:rsidRPr="00AB7812">
        <w:rPr>
          <w:rFonts w:ascii="Arial" w:hAnsi="Arial" w:cs="Arial"/>
          <w:lang w:bidi="he-IL"/>
        </w:rPr>
        <w:t>Shemitta</w:t>
      </w:r>
      <w:proofErr w:type="spellEnd"/>
      <w:r w:rsidRPr="00AB7812">
        <w:rPr>
          <w:rFonts w:ascii="Arial" w:hAnsi="Arial" w:cs="Arial"/>
          <w:lang w:bidi="he-IL"/>
        </w:rPr>
        <w:t xml:space="preserve"> year, the removal of </w:t>
      </w:r>
      <w:r w:rsidR="000A17DC" w:rsidRPr="00AB7812">
        <w:rPr>
          <w:rFonts w:ascii="Arial" w:hAnsi="Arial" w:cs="Arial"/>
          <w:lang w:bidi="he-IL"/>
        </w:rPr>
        <w:t>seventh</w:t>
      </w:r>
      <w:r w:rsidR="000A17DC">
        <w:rPr>
          <w:rFonts w:ascii="Arial" w:hAnsi="Arial" w:cs="Arial"/>
          <w:lang w:bidi="he-IL"/>
        </w:rPr>
        <w:t>-</w:t>
      </w:r>
      <w:r w:rsidRPr="00AB7812">
        <w:rPr>
          <w:rFonts w:ascii="Arial" w:hAnsi="Arial" w:cs="Arial"/>
          <w:lang w:bidi="he-IL"/>
        </w:rPr>
        <w:t>year fruits (</w:t>
      </w:r>
      <w:proofErr w:type="spellStart"/>
      <w:r w:rsidRPr="00AB7812">
        <w:rPr>
          <w:rFonts w:ascii="Arial" w:hAnsi="Arial" w:cs="Arial"/>
          <w:i/>
          <w:iCs/>
          <w:lang w:bidi="he-IL"/>
        </w:rPr>
        <w:t>bi’ur</w:t>
      </w:r>
      <w:proofErr w:type="spellEnd"/>
      <w:r w:rsidRPr="00AB7812">
        <w:rPr>
          <w:rFonts w:ascii="Arial" w:hAnsi="Arial" w:cs="Arial"/>
          <w:lang w:bidi="he-IL"/>
        </w:rPr>
        <w:t>). The Sages derived from the Torah (</w:t>
      </w:r>
      <w:r w:rsidRPr="00AB7812">
        <w:rPr>
          <w:rFonts w:ascii="Arial" w:hAnsi="Arial" w:cs="Arial"/>
          <w:i/>
          <w:iCs/>
          <w:lang w:bidi="he-IL"/>
        </w:rPr>
        <w:t>Vayikra</w:t>
      </w:r>
      <w:r w:rsidRPr="00AB7812">
        <w:rPr>
          <w:rFonts w:ascii="Arial" w:hAnsi="Arial" w:cs="Arial"/>
          <w:lang w:bidi="he-IL"/>
        </w:rPr>
        <w:t xml:space="preserve"> 25:12) that although it is permitted to </w:t>
      </w:r>
      <w:r w:rsidRPr="00AB7812">
        <w:rPr>
          <w:rFonts w:ascii="Arial" w:hAnsi="Arial" w:cs="Arial"/>
          <w:lang w:bidi="he-IL"/>
        </w:rPr>
        <w:lastRenderedPageBreak/>
        <w:t>benefit from ownerless (</w:t>
      </w:r>
      <w:proofErr w:type="spellStart"/>
      <w:r w:rsidRPr="00AB7812">
        <w:rPr>
          <w:rFonts w:ascii="Arial" w:hAnsi="Arial" w:cs="Arial"/>
          <w:i/>
          <w:iCs/>
          <w:lang w:bidi="he-IL"/>
        </w:rPr>
        <w:t>hefker</w:t>
      </w:r>
      <w:proofErr w:type="spellEnd"/>
      <w:r w:rsidRPr="00AB7812">
        <w:rPr>
          <w:rFonts w:ascii="Arial" w:hAnsi="Arial" w:cs="Arial"/>
          <w:lang w:bidi="he-IL"/>
        </w:rPr>
        <w:t xml:space="preserve">) </w:t>
      </w:r>
      <w:proofErr w:type="spellStart"/>
      <w:r w:rsidRPr="00AB7812">
        <w:rPr>
          <w:rFonts w:ascii="Arial" w:hAnsi="Arial" w:cs="Arial"/>
          <w:lang w:bidi="he-IL"/>
        </w:rPr>
        <w:t>Shemitta</w:t>
      </w:r>
      <w:proofErr w:type="spellEnd"/>
      <w:r w:rsidRPr="00AB7812">
        <w:rPr>
          <w:rFonts w:ascii="Arial" w:hAnsi="Arial" w:cs="Arial"/>
          <w:lang w:bidi="he-IL"/>
        </w:rPr>
        <w:t xml:space="preserve"> produce, it is forbidden to store </w:t>
      </w:r>
      <w:r w:rsidR="000A17DC">
        <w:rPr>
          <w:rFonts w:ascii="Arial" w:hAnsi="Arial" w:cs="Arial"/>
          <w:lang w:bidi="he-IL"/>
        </w:rPr>
        <w:t>it</w:t>
      </w:r>
      <w:r w:rsidR="000A17DC" w:rsidRPr="00AB7812">
        <w:rPr>
          <w:rFonts w:ascii="Arial" w:hAnsi="Arial" w:cs="Arial"/>
          <w:lang w:bidi="he-IL"/>
        </w:rPr>
        <w:t xml:space="preserve"> </w:t>
      </w:r>
      <w:r w:rsidRPr="00AB7812">
        <w:rPr>
          <w:rFonts w:ascii="Arial" w:hAnsi="Arial" w:cs="Arial"/>
          <w:lang w:bidi="he-IL"/>
        </w:rPr>
        <w:t xml:space="preserve">for lengthy periods. The moment that a certain type of produce is no longer available to be harvested in the field, one must remove that type of produce from one’s house as well. The Mishna rules that the land of Israel is divided into </w:t>
      </w:r>
      <w:r w:rsidR="000A17DC">
        <w:rPr>
          <w:rFonts w:ascii="Arial" w:hAnsi="Arial" w:cs="Arial"/>
          <w:lang w:bidi="he-IL"/>
        </w:rPr>
        <w:t>three</w:t>
      </w:r>
      <w:r w:rsidR="000A17DC" w:rsidRPr="00AB7812">
        <w:rPr>
          <w:rFonts w:ascii="Arial" w:hAnsi="Arial" w:cs="Arial"/>
          <w:lang w:bidi="he-IL"/>
        </w:rPr>
        <w:t xml:space="preserve"> </w:t>
      </w:r>
      <w:r w:rsidRPr="00AB7812">
        <w:rPr>
          <w:rFonts w:ascii="Arial" w:hAnsi="Arial" w:cs="Arial"/>
          <w:lang w:bidi="he-IL"/>
        </w:rPr>
        <w:t xml:space="preserve">categories in this regard: “There are three regions with regard to </w:t>
      </w:r>
      <w:proofErr w:type="spellStart"/>
      <w:r w:rsidRPr="00AB7812">
        <w:rPr>
          <w:rFonts w:ascii="Arial" w:hAnsi="Arial" w:cs="Arial"/>
          <w:i/>
          <w:iCs/>
          <w:lang w:bidi="he-IL"/>
        </w:rPr>
        <w:t>bi’ur</w:t>
      </w:r>
      <w:proofErr w:type="spellEnd"/>
      <w:r w:rsidRPr="00AB7812">
        <w:rPr>
          <w:rFonts w:ascii="Arial" w:hAnsi="Arial" w:cs="Arial"/>
          <w:lang w:bidi="he-IL"/>
        </w:rPr>
        <w:t xml:space="preserve">: Yehuda, the other side of the Jordan, and the </w:t>
      </w:r>
      <w:proofErr w:type="spellStart"/>
      <w:r w:rsidRPr="00AB7812">
        <w:rPr>
          <w:rFonts w:ascii="Arial" w:hAnsi="Arial" w:cs="Arial"/>
          <w:lang w:bidi="he-IL"/>
        </w:rPr>
        <w:t>Galil</w:t>
      </w:r>
      <w:proofErr w:type="spellEnd"/>
      <w:r w:rsidRPr="00AB7812">
        <w:rPr>
          <w:rFonts w:ascii="Arial" w:hAnsi="Arial" w:cs="Arial"/>
          <w:lang w:bidi="he-IL"/>
        </w:rPr>
        <w:t xml:space="preserve">.” The Mishna then delineates additional distinctions within each of these regions. In Mishna 3, the following statement is made: </w:t>
      </w:r>
    </w:p>
    <w:p w:rsidR="00E8332B" w:rsidRDefault="00E8332B" w:rsidP="00AB7812">
      <w:pPr>
        <w:jc w:val="both"/>
        <w:rPr>
          <w:rFonts w:ascii="Arial" w:hAnsi="Arial" w:cs="Arial"/>
          <w:lang w:bidi="he-IL"/>
        </w:rPr>
      </w:pPr>
    </w:p>
    <w:p w:rsidR="00E8332B" w:rsidRDefault="00E8332B" w:rsidP="00AB7812">
      <w:pPr>
        <w:ind w:left="360"/>
        <w:jc w:val="both"/>
        <w:rPr>
          <w:rFonts w:ascii="Arial" w:hAnsi="Arial" w:cs="Arial"/>
          <w:lang w:bidi="he-IL"/>
        </w:rPr>
      </w:pPr>
      <w:r w:rsidRPr="00AB7812">
        <w:rPr>
          <w:rFonts w:ascii="Arial" w:hAnsi="Arial" w:cs="Arial"/>
          <w:lang w:bidi="he-IL"/>
        </w:rPr>
        <w:t xml:space="preserve">And why did they say that there are three regions? It was so that they would [be permitted to] eat from each one until the [produce of the] last of them was consumed. </w:t>
      </w:r>
    </w:p>
    <w:p w:rsidR="00E8332B" w:rsidRDefault="00E8332B" w:rsidP="00AB7812">
      <w:pPr>
        <w:ind w:left="360"/>
        <w:jc w:val="both"/>
        <w:rPr>
          <w:rFonts w:ascii="Arial" w:hAnsi="Arial" w:cs="Arial"/>
          <w:lang w:bidi="he-IL"/>
        </w:rPr>
      </w:pPr>
    </w:p>
    <w:p w:rsidR="00E8332B" w:rsidRDefault="00E8332B" w:rsidP="00AB7812">
      <w:pPr>
        <w:ind w:firstLine="360"/>
        <w:jc w:val="both"/>
        <w:rPr>
          <w:rFonts w:ascii="Arial" w:hAnsi="Arial" w:cs="Arial"/>
          <w:lang w:bidi="he-IL"/>
        </w:rPr>
      </w:pPr>
      <w:r>
        <w:rPr>
          <w:rFonts w:ascii="Arial" w:hAnsi="Arial" w:cs="Arial"/>
          <w:lang w:bidi="he-IL"/>
        </w:rPr>
        <w:tab/>
      </w:r>
      <w:r w:rsidRPr="00AB7812">
        <w:rPr>
          <w:rFonts w:ascii="Arial" w:hAnsi="Arial" w:cs="Arial"/>
          <w:lang w:bidi="he-IL"/>
        </w:rPr>
        <w:t xml:space="preserve">The Mishna thus explains the necessity for the division of the land into three regions that was taught previously. Consequently, the expression “why did they say” indicates a reference to an earlier source, which the Mishna feels the need to explain. The explanation of this ruling is that the division into regions was designed to permit eating a certain type of produce until the last of it is consumed in that region, despite the fact that in other regions that fruit had already been entirely consumed. </w:t>
      </w:r>
    </w:p>
    <w:p w:rsidR="00E8332B" w:rsidRDefault="00E8332B" w:rsidP="00AB7812">
      <w:pPr>
        <w:ind w:firstLine="360"/>
        <w:jc w:val="both"/>
        <w:rPr>
          <w:rFonts w:ascii="Arial" w:hAnsi="Arial" w:cs="Arial"/>
          <w:lang w:bidi="he-IL"/>
        </w:rPr>
      </w:pPr>
    </w:p>
    <w:p w:rsidR="00E8332B" w:rsidRPr="00AB7812" w:rsidRDefault="00E8332B" w:rsidP="00AB7812">
      <w:pPr>
        <w:jc w:val="both"/>
        <w:rPr>
          <w:rFonts w:ascii="Arial" w:hAnsi="Arial" w:cs="Arial"/>
          <w:b/>
          <w:bCs/>
          <w:lang w:bidi="he-IL"/>
        </w:rPr>
      </w:pPr>
      <w:r w:rsidRPr="00AB7812">
        <w:rPr>
          <w:rFonts w:ascii="Arial" w:hAnsi="Arial" w:cs="Arial"/>
          <w:b/>
          <w:bCs/>
          <w:lang w:bidi="he-IL"/>
        </w:rPr>
        <w:t xml:space="preserve">Explanations of the Mishna in the </w:t>
      </w:r>
      <w:proofErr w:type="spellStart"/>
      <w:r w:rsidRPr="00AB7812">
        <w:rPr>
          <w:rFonts w:ascii="Arial" w:hAnsi="Arial" w:cs="Arial"/>
          <w:b/>
          <w:bCs/>
          <w:lang w:bidi="he-IL"/>
        </w:rPr>
        <w:t>Tosefta</w:t>
      </w:r>
      <w:proofErr w:type="spellEnd"/>
    </w:p>
    <w:p w:rsidR="00E8332B" w:rsidRDefault="00E8332B" w:rsidP="00AB7812">
      <w:pPr>
        <w:jc w:val="both"/>
        <w:rPr>
          <w:rFonts w:ascii="Arial" w:hAnsi="Arial" w:cs="Arial"/>
          <w:lang w:bidi="he-IL"/>
        </w:rPr>
      </w:pPr>
    </w:p>
    <w:p w:rsidR="00E8332B" w:rsidRDefault="00E8332B" w:rsidP="00A76C73">
      <w:pPr>
        <w:ind w:firstLine="720"/>
        <w:jc w:val="both"/>
        <w:rPr>
          <w:rFonts w:ascii="Arial" w:hAnsi="Arial" w:cs="Arial"/>
          <w:lang w:bidi="he-IL"/>
        </w:rPr>
      </w:pPr>
      <w:r w:rsidRPr="00AB7812">
        <w:rPr>
          <w:rFonts w:ascii="Arial" w:hAnsi="Arial" w:cs="Arial"/>
          <w:lang w:bidi="he-IL"/>
        </w:rPr>
        <w:t xml:space="preserve">In addition to the Mishna, the statements of </w:t>
      </w:r>
      <w:proofErr w:type="spellStart"/>
      <w:r>
        <w:rPr>
          <w:rFonts w:ascii="Arial" w:hAnsi="Arial" w:cs="Arial"/>
          <w:i/>
          <w:iCs/>
          <w:lang w:bidi="he-IL"/>
        </w:rPr>
        <w:t>tanna</w:t>
      </w:r>
      <w:r w:rsidRPr="00AB7812">
        <w:rPr>
          <w:rFonts w:ascii="Arial" w:hAnsi="Arial" w:cs="Arial"/>
          <w:i/>
          <w:iCs/>
          <w:lang w:bidi="he-IL"/>
        </w:rPr>
        <w:t>’im</w:t>
      </w:r>
      <w:proofErr w:type="spellEnd"/>
      <w:r w:rsidRPr="00AB7812">
        <w:rPr>
          <w:rFonts w:ascii="Arial" w:hAnsi="Arial" w:cs="Arial"/>
          <w:i/>
          <w:iCs/>
          <w:lang w:bidi="he-IL"/>
        </w:rPr>
        <w:t xml:space="preserve"> </w:t>
      </w:r>
      <w:r w:rsidRPr="00AB7812">
        <w:rPr>
          <w:rFonts w:ascii="Arial" w:hAnsi="Arial" w:cs="Arial"/>
          <w:lang w:bidi="he-IL"/>
        </w:rPr>
        <w:t xml:space="preserve">are found in a number of other sources as well. These sources include the </w:t>
      </w:r>
      <w:r w:rsidRPr="00AB7812">
        <w:rPr>
          <w:rFonts w:ascii="Arial" w:hAnsi="Arial" w:cs="Arial"/>
          <w:i/>
          <w:iCs/>
          <w:lang w:bidi="he-IL"/>
        </w:rPr>
        <w:t xml:space="preserve">Midrash </w:t>
      </w:r>
      <w:r>
        <w:rPr>
          <w:rFonts w:ascii="Arial" w:hAnsi="Arial" w:cs="Arial"/>
          <w:i/>
          <w:iCs/>
          <w:lang w:bidi="he-IL"/>
        </w:rPr>
        <w:t>Halakh</w:t>
      </w:r>
      <w:r w:rsidRPr="00AB7812">
        <w:rPr>
          <w:rFonts w:ascii="Arial" w:hAnsi="Arial" w:cs="Arial"/>
          <w:i/>
          <w:iCs/>
          <w:lang w:bidi="he-IL"/>
        </w:rPr>
        <w:t xml:space="preserve">a, </w:t>
      </w:r>
      <w:proofErr w:type="spellStart"/>
      <w:r w:rsidRPr="00102D4A">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 xml:space="preserve">and external </w:t>
      </w:r>
      <w:proofErr w:type="spellStart"/>
      <w:r w:rsidRPr="00AB7812">
        <w:rPr>
          <w:rFonts w:ascii="Arial" w:hAnsi="Arial" w:cs="Arial"/>
          <w:i/>
          <w:iCs/>
          <w:lang w:bidi="he-IL"/>
        </w:rPr>
        <w:t>baraitot</w:t>
      </w:r>
      <w:proofErr w:type="spellEnd"/>
      <w:r w:rsidRPr="00AB7812">
        <w:rPr>
          <w:rFonts w:ascii="Arial" w:hAnsi="Arial" w:cs="Arial"/>
          <w:i/>
          <w:iCs/>
          <w:lang w:bidi="he-IL"/>
        </w:rPr>
        <w:t xml:space="preserve"> </w:t>
      </w:r>
      <w:r w:rsidRPr="00AB7812">
        <w:rPr>
          <w:rFonts w:ascii="Arial" w:hAnsi="Arial" w:cs="Arial"/>
          <w:lang w:bidi="he-IL"/>
        </w:rPr>
        <w:t xml:space="preserve">that are cited in the Talmud. The </w:t>
      </w:r>
      <w:proofErr w:type="spellStart"/>
      <w:r w:rsidRPr="00102D4A">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 xml:space="preserve">is a collection of </w:t>
      </w:r>
      <w:proofErr w:type="spellStart"/>
      <w:r w:rsidRPr="00AB7812">
        <w:rPr>
          <w:rFonts w:ascii="Arial" w:hAnsi="Arial" w:cs="Arial"/>
          <w:lang w:bidi="he-IL"/>
        </w:rPr>
        <w:t>tannaitic</w:t>
      </w:r>
      <w:proofErr w:type="spellEnd"/>
      <w:r w:rsidRPr="00AB7812">
        <w:rPr>
          <w:rFonts w:ascii="Arial" w:hAnsi="Arial" w:cs="Arial"/>
          <w:lang w:bidi="he-IL"/>
        </w:rPr>
        <w:t xml:space="preserve"> comments that generally parallel the structure of topics that appear in the Mishna. Rav </w:t>
      </w:r>
      <w:proofErr w:type="spellStart"/>
      <w:r w:rsidRPr="00AB7812">
        <w:rPr>
          <w:rFonts w:ascii="Arial" w:hAnsi="Arial" w:cs="Arial"/>
          <w:lang w:bidi="he-IL"/>
        </w:rPr>
        <w:t>Sherira</w:t>
      </w:r>
      <w:proofErr w:type="spellEnd"/>
      <w:r w:rsidRPr="00AB7812">
        <w:rPr>
          <w:rFonts w:ascii="Arial" w:hAnsi="Arial" w:cs="Arial"/>
          <w:lang w:bidi="he-IL"/>
        </w:rPr>
        <w:t xml:space="preserve"> </w:t>
      </w:r>
      <w:proofErr w:type="spellStart"/>
      <w:r w:rsidRPr="00AB7812">
        <w:rPr>
          <w:rFonts w:ascii="Arial" w:hAnsi="Arial" w:cs="Arial"/>
          <w:lang w:bidi="he-IL"/>
        </w:rPr>
        <w:t>Gaon</w:t>
      </w:r>
      <w:proofErr w:type="spellEnd"/>
      <w:r w:rsidRPr="00AB7812">
        <w:rPr>
          <w:rFonts w:ascii="Arial" w:hAnsi="Arial" w:cs="Arial"/>
          <w:lang w:bidi="he-IL"/>
        </w:rPr>
        <w:t xml:space="preserve"> comments that he was asked about its necessity:  </w:t>
      </w:r>
    </w:p>
    <w:p w:rsidR="00E8332B" w:rsidRDefault="00E8332B" w:rsidP="00AB7812">
      <w:pPr>
        <w:jc w:val="both"/>
        <w:rPr>
          <w:rFonts w:ascii="Arial" w:hAnsi="Arial" w:cs="Arial"/>
          <w:lang w:bidi="he-IL"/>
        </w:rPr>
      </w:pPr>
    </w:p>
    <w:p w:rsidR="00E8332B" w:rsidRDefault="00E8332B" w:rsidP="00AB7812">
      <w:pPr>
        <w:ind w:left="720"/>
        <w:jc w:val="both"/>
        <w:rPr>
          <w:rFonts w:ascii="Arial" w:hAnsi="Arial" w:cs="Arial"/>
          <w:lang w:bidi="he-IL"/>
        </w:rPr>
      </w:pPr>
      <w:r w:rsidRPr="00AB7812">
        <w:rPr>
          <w:rFonts w:ascii="Arial" w:hAnsi="Arial" w:cs="Arial"/>
          <w:lang w:bidi="he-IL"/>
        </w:rPr>
        <w:t xml:space="preserve">And with regard to the </w:t>
      </w:r>
      <w:proofErr w:type="spellStart"/>
      <w:r w:rsidR="005916C1" w:rsidRPr="005916C1">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about which we have heard that R.</w:t>
      </w:r>
      <w:r w:rsidR="00A40859">
        <w:rPr>
          <w:rFonts w:ascii="Arial" w:hAnsi="Arial" w:cs="Arial"/>
          <w:lang w:bidi="he-IL"/>
        </w:rPr>
        <w:t xml:space="preserve"> </w:t>
      </w:r>
      <w:proofErr w:type="spellStart"/>
      <w:r w:rsidRPr="00AB7812">
        <w:rPr>
          <w:rFonts w:ascii="Arial" w:hAnsi="Arial" w:cs="Arial"/>
          <w:lang w:bidi="he-IL"/>
        </w:rPr>
        <w:t>Chiyya</w:t>
      </w:r>
      <w:proofErr w:type="spellEnd"/>
      <w:r w:rsidRPr="00AB7812">
        <w:rPr>
          <w:rFonts w:ascii="Arial" w:hAnsi="Arial" w:cs="Arial"/>
          <w:lang w:bidi="he-IL"/>
        </w:rPr>
        <w:t xml:space="preserve"> wrote it, was it written after the Mishna, or at the same time? What prompted </w:t>
      </w:r>
      <w:proofErr w:type="spellStart"/>
      <w:r w:rsidRPr="00AB7812">
        <w:rPr>
          <w:rFonts w:ascii="Arial" w:hAnsi="Arial" w:cs="Arial"/>
          <w:lang w:bidi="he-IL"/>
        </w:rPr>
        <w:t>R.Chiyya</w:t>
      </w:r>
      <w:proofErr w:type="spellEnd"/>
      <w:r w:rsidRPr="00AB7812">
        <w:rPr>
          <w:rFonts w:ascii="Arial" w:hAnsi="Arial" w:cs="Arial"/>
          <w:lang w:bidi="he-IL"/>
        </w:rPr>
        <w:t xml:space="preserve"> to write it? If the </w:t>
      </w:r>
      <w:proofErr w:type="spellStart"/>
      <w:r w:rsidR="005916C1" w:rsidRPr="005916C1">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 xml:space="preserve">contains material that explains the Mishna, then why did </w:t>
      </w:r>
      <w:proofErr w:type="spellStart"/>
      <w:r w:rsidRPr="00AB7812">
        <w:rPr>
          <w:rFonts w:ascii="Arial" w:hAnsi="Arial" w:cs="Arial"/>
          <w:lang w:bidi="he-IL"/>
        </w:rPr>
        <w:t>Rebbe</w:t>
      </w:r>
      <w:proofErr w:type="spellEnd"/>
      <w:r w:rsidRPr="00AB7812">
        <w:rPr>
          <w:rFonts w:ascii="Arial" w:hAnsi="Arial" w:cs="Arial"/>
          <w:lang w:bidi="he-IL"/>
        </w:rPr>
        <w:t xml:space="preserve"> not write it himself in the Mishna? (Letter of Rav </w:t>
      </w:r>
      <w:proofErr w:type="spellStart"/>
      <w:r w:rsidRPr="00AB7812">
        <w:rPr>
          <w:rFonts w:ascii="Arial" w:hAnsi="Arial" w:cs="Arial"/>
          <w:lang w:bidi="he-IL"/>
        </w:rPr>
        <w:t>Sherira</w:t>
      </w:r>
      <w:proofErr w:type="spellEnd"/>
      <w:r w:rsidRPr="00AB7812">
        <w:rPr>
          <w:rFonts w:ascii="Arial" w:hAnsi="Arial" w:cs="Arial"/>
          <w:lang w:bidi="he-IL"/>
        </w:rPr>
        <w:t xml:space="preserve"> </w:t>
      </w:r>
      <w:proofErr w:type="spellStart"/>
      <w:r w:rsidRPr="00AB7812">
        <w:rPr>
          <w:rFonts w:ascii="Arial" w:hAnsi="Arial" w:cs="Arial"/>
          <w:lang w:bidi="he-IL"/>
        </w:rPr>
        <w:t>Gaon</w:t>
      </w:r>
      <w:proofErr w:type="spellEnd"/>
      <w:r w:rsidRPr="00AB7812">
        <w:rPr>
          <w:rFonts w:ascii="Arial" w:hAnsi="Arial" w:cs="Arial"/>
          <w:lang w:bidi="he-IL"/>
        </w:rPr>
        <w:t xml:space="preserve">, </w:t>
      </w:r>
      <w:proofErr w:type="spellStart"/>
      <w:r w:rsidRPr="00AB7812">
        <w:rPr>
          <w:rFonts w:ascii="Arial" w:hAnsi="Arial" w:cs="Arial"/>
          <w:i/>
          <w:iCs/>
          <w:lang w:bidi="he-IL"/>
        </w:rPr>
        <w:t>Nusach</w:t>
      </w:r>
      <w:proofErr w:type="spellEnd"/>
      <w:r w:rsidRPr="00AB7812">
        <w:rPr>
          <w:rFonts w:ascii="Arial" w:hAnsi="Arial" w:cs="Arial"/>
          <w:i/>
          <w:iCs/>
          <w:lang w:bidi="he-IL"/>
        </w:rPr>
        <w:t xml:space="preserve"> </w:t>
      </w:r>
      <w:proofErr w:type="spellStart"/>
      <w:r w:rsidRPr="00AB7812">
        <w:rPr>
          <w:rFonts w:ascii="Arial" w:hAnsi="Arial" w:cs="Arial"/>
          <w:i/>
          <w:iCs/>
          <w:lang w:bidi="he-IL"/>
        </w:rPr>
        <w:t>Tzarfati</w:t>
      </w:r>
      <w:proofErr w:type="spellEnd"/>
      <w:r w:rsidRPr="00AB7812">
        <w:rPr>
          <w:rFonts w:ascii="Arial" w:hAnsi="Arial" w:cs="Arial"/>
          <w:lang w:bidi="he-IL"/>
        </w:rPr>
        <w:t>, p.6)</w:t>
      </w:r>
    </w:p>
    <w:p w:rsidR="00E8332B" w:rsidRDefault="00E8332B" w:rsidP="00AB7812">
      <w:pPr>
        <w:ind w:left="720"/>
        <w:jc w:val="both"/>
        <w:rPr>
          <w:rFonts w:ascii="Arial" w:hAnsi="Arial" w:cs="Arial"/>
          <w:lang w:bidi="he-IL"/>
        </w:rPr>
      </w:pPr>
    </w:p>
    <w:p w:rsidR="00E8332B" w:rsidRDefault="00E8332B" w:rsidP="00AB7812">
      <w:pPr>
        <w:jc w:val="both"/>
        <w:rPr>
          <w:rFonts w:ascii="Arial" w:hAnsi="Arial" w:cs="Arial"/>
          <w:iCs/>
          <w:lang w:bidi="he-IL"/>
        </w:rPr>
      </w:pPr>
      <w:r>
        <w:rPr>
          <w:rFonts w:ascii="Arial" w:hAnsi="Arial" w:cs="Arial"/>
          <w:lang w:bidi="he-IL"/>
        </w:rPr>
        <w:tab/>
      </w:r>
      <w:r w:rsidRPr="00AB7812">
        <w:rPr>
          <w:rFonts w:ascii="Arial" w:hAnsi="Arial" w:cs="Arial"/>
          <w:lang w:bidi="he-IL"/>
        </w:rPr>
        <w:t xml:space="preserve">Rav </w:t>
      </w:r>
      <w:proofErr w:type="spellStart"/>
      <w:r w:rsidRPr="00AB7812">
        <w:rPr>
          <w:rFonts w:ascii="Arial" w:hAnsi="Arial" w:cs="Arial"/>
          <w:lang w:bidi="he-IL"/>
        </w:rPr>
        <w:t>Sherira</w:t>
      </w:r>
      <w:proofErr w:type="spellEnd"/>
      <w:r w:rsidRPr="00AB7812">
        <w:rPr>
          <w:rFonts w:ascii="Arial" w:hAnsi="Arial" w:cs="Arial"/>
          <w:lang w:bidi="he-IL"/>
        </w:rPr>
        <w:t xml:space="preserve"> </w:t>
      </w:r>
      <w:proofErr w:type="spellStart"/>
      <w:r w:rsidRPr="00AB7812">
        <w:rPr>
          <w:rFonts w:ascii="Arial" w:hAnsi="Arial" w:cs="Arial"/>
          <w:lang w:bidi="he-IL"/>
        </w:rPr>
        <w:t>Gaon</w:t>
      </w:r>
      <w:proofErr w:type="spellEnd"/>
      <w:r w:rsidRPr="00AB7812">
        <w:rPr>
          <w:rFonts w:ascii="Arial" w:hAnsi="Arial" w:cs="Arial"/>
          <w:lang w:bidi="he-IL"/>
        </w:rPr>
        <w:t xml:space="preserve"> responds to the question as follows: “And the sayings in the </w:t>
      </w:r>
      <w:proofErr w:type="spellStart"/>
      <w:r w:rsidR="005916C1" w:rsidRPr="005916C1">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were clearly after the Mishna, and they were taught about it” (</w:t>
      </w:r>
      <w:r w:rsidRPr="00AB7812">
        <w:rPr>
          <w:rFonts w:ascii="Arial" w:hAnsi="Arial" w:cs="Arial"/>
          <w:i/>
          <w:iCs/>
          <w:lang w:bidi="he-IL"/>
        </w:rPr>
        <w:t xml:space="preserve">ibid, </w:t>
      </w:r>
      <w:r w:rsidRPr="00AB7812">
        <w:rPr>
          <w:rFonts w:ascii="Arial" w:hAnsi="Arial" w:cs="Arial"/>
          <w:lang w:bidi="he-IL"/>
        </w:rPr>
        <w:t xml:space="preserve">p.34). Evidently, Rav </w:t>
      </w:r>
      <w:proofErr w:type="spellStart"/>
      <w:r w:rsidRPr="00AB7812">
        <w:rPr>
          <w:rFonts w:ascii="Arial" w:hAnsi="Arial" w:cs="Arial"/>
          <w:lang w:bidi="he-IL"/>
        </w:rPr>
        <w:t>Sherira</w:t>
      </w:r>
      <w:proofErr w:type="spellEnd"/>
      <w:r w:rsidRPr="00AB7812">
        <w:rPr>
          <w:rFonts w:ascii="Arial" w:hAnsi="Arial" w:cs="Arial"/>
          <w:lang w:bidi="he-IL"/>
        </w:rPr>
        <w:t xml:space="preserve"> believes that the </w:t>
      </w:r>
      <w:proofErr w:type="spellStart"/>
      <w:r w:rsidR="005916C1" w:rsidRPr="005916C1">
        <w:rPr>
          <w:rFonts w:ascii="Arial" w:hAnsi="Arial" w:cs="Arial"/>
          <w:lang w:bidi="he-IL"/>
        </w:rPr>
        <w:t>Tosefta</w:t>
      </w:r>
      <w:proofErr w:type="spellEnd"/>
      <w:r w:rsidRPr="00AB7812">
        <w:rPr>
          <w:rFonts w:ascii="Arial" w:hAnsi="Arial" w:cs="Arial"/>
          <w:i/>
          <w:iCs/>
          <w:lang w:bidi="he-IL"/>
        </w:rPr>
        <w:t xml:space="preserve"> </w:t>
      </w:r>
      <w:r w:rsidRPr="00AB7812">
        <w:rPr>
          <w:rFonts w:ascii="Arial" w:hAnsi="Arial" w:cs="Arial"/>
          <w:lang w:bidi="he-IL"/>
        </w:rPr>
        <w:t>always comments on and interprets the Mishna. The Rambam also writes similarly (</w:t>
      </w:r>
      <w:r w:rsidRPr="00AB7812">
        <w:rPr>
          <w:rFonts w:ascii="Arial" w:hAnsi="Arial" w:cs="Arial"/>
          <w:iCs/>
          <w:lang w:bidi="he-IL"/>
        </w:rPr>
        <w:t xml:space="preserve">Introduction to the </w:t>
      </w:r>
      <w:proofErr w:type="spellStart"/>
      <w:r w:rsidRPr="00AB7812">
        <w:rPr>
          <w:rFonts w:ascii="Arial" w:hAnsi="Arial" w:cs="Arial"/>
          <w:i/>
          <w:lang w:bidi="he-IL"/>
        </w:rPr>
        <w:t>Mishneh</w:t>
      </w:r>
      <w:proofErr w:type="spellEnd"/>
      <w:r w:rsidRPr="00AB7812">
        <w:rPr>
          <w:rFonts w:ascii="Arial" w:hAnsi="Arial" w:cs="Arial"/>
          <w:i/>
          <w:lang w:bidi="he-IL"/>
        </w:rPr>
        <w:t xml:space="preserve"> Torah</w:t>
      </w:r>
      <w:r w:rsidRPr="00AB7812">
        <w:rPr>
          <w:rFonts w:ascii="Arial" w:hAnsi="Arial" w:cs="Arial"/>
          <w:iCs/>
          <w:lang w:bidi="he-IL"/>
        </w:rPr>
        <w:t xml:space="preserve">): “And </w:t>
      </w:r>
      <w:proofErr w:type="spellStart"/>
      <w:r w:rsidRPr="00AB7812">
        <w:rPr>
          <w:rFonts w:ascii="Arial" w:hAnsi="Arial" w:cs="Arial"/>
          <w:iCs/>
          <w:lang w:bidi="he-IL"/>
        </w:rPr>
        <w:t>R.Chiyya</w:t>
      </w:r>
      <w:proofErr w:type="spellEnd"/>
      <w:r w:rsidRPr="00AB7812">
        <w:rPr>
          <w:rFonts w:ascii="Arial" w:hAnsi="Arial" w:cs="Arial"/>
          <w:iCs/>
          <w:lang w:bidi="he-IL"/>
        </w:rPr>
        <w:t xml:space="preserve"> authored the </w:t>
      </w:r>
      <w:proofErr w:type="spellStart"/>
      <w:r w:rsidRPr="00AB7812">
        <w:rPr>
          <w:rFonts w:ascii="Arial" w:hAnsi="Arial" w:cs="Arial"/>
          <w:iCs/>
          <w:lang w:bidi="he-IL"/>
        </w:rPr>
        <w:t>Tosefta</w:t>
      </w:r>
      <w:proofErr w:type="spellEnd"/>
      <w:r w:rsidRPr="00AB7812">
        <w:rPr>
          <w:rFonts w:ascii="Arial" w:hAnsi="Arial" w:cs="Arial"/>
          <w:iCs/>
          <w:lang w:bidi="he-IL"/>
        </w:rPr>
        <w:t xml:space="preserve"> in order to explain the ideas in the Mishna.” </w:t>
      </w:r>
    </w:p>
    <w:p w:rsidR="00E8332B" w:rsidRDefault="00E8332B" w:rsidP="00AB7812">
      <w:pPr>
        <w:jc w:val="both"/>
        <w:rPr>
          <w:rFonts w:ascii="Arial" w:hAnsi="Arial" w:cs="Arial"/>
          <w:iCs/>
          <w:lang w:bidi="he-IL"/>
        </w:rPr>
      </w:pPr>
    </w:p>
    <w:p w:rsidR="00E8332B" w:rsidRDefault="00E8332B" w:rsidP="00AB7812">
      <w:pPr>
        <w:jc w:val="both"/>
        <w:rPr>
          <w:rFonts w:ascii="Arial" w:hAnsi="Arial" w:cs="Arial"/>
          <w:iCs/>
          <w:lang w:bidi="he-IL"/>
        </w:rPr>
      </w:pPr>
      <w:r>
        <w:rPr>
          <w:rFonts w:ascii="Arial" w:hAnsi="Arial" w:cs="Arial"/>
          <w:iCs/>
          <w:lang w:bidi="he-IL"/>
        </w:rPr>
        <w:tab/>
      </w:r>
      <w:r w:rsidRPr="00AB7812">
        <w:rPr>
          <w:rFonts w:ascii="Arial" w:hAnsi="Arial" w:cs="Arial"/>
          <w:iCs/>
          <w:lang w:bidi="he-IL"/>
        </w:rPr>
        <w:t>Based on this assumption, it has been suggested that the term “</w:t>
      </w:r>
      <w:proofErr w:type="spellStart"/>
      <w:r w:rsidRPr="00AB7812">
        <w:rPr>
          <w:rFonts w:ascii="Arial" w:hAnsi="Arial" w:cs="Arial"/>
          <w:i/>
          <w:lang w:bidi="he-IL"/>
        </w:rPr>
        <w:t>Tosefta</w:t>
      </w:r>
      <w:proofErr w:type="spellEnd"/>
      <w:r w:rsidRPr="00AB7812">
        <w:rPr>
          <w:rFonts w:ascii="Arial" w:hAnsi="Arial" w:cs="Arial"/>
          <w:iCs/>
          <w:lang w:bidi="he-IL"/>
        </w:rPr>
        <w:t xml:space="preserve">” stems from the word </w:t>
      </w:r>
      <w:proofErr w:type="spellStart"/>
      <w:r w:rsidRPr="00AB7812">
        <w:rPr>
          <w:rFonts w:ascii="Arial" w:hAnsi="Arial" w:cs="Arial"/>
          <w:i/>
          <w:lang w:bidi="he-IL"/>
        </w:rPr>
        <w:t>tosefet</w:t>
      </w:r>
      <w:proofErr w:type="spellEnd"/>
      <w:r w:rsidRPr="00AB7812">
        <w:rPr>
          <w:rFonts w:ascii="Arial" w:hAnsi="Arial" w:cs="Arial"/>
          <w:i/>
          <w:lang w:bidi="he-IL"/>
        </w:rPr>
        <w:t xml:space="preserve"> </w:t>
      </w:r>
      <w:r w:rsidRPr="00AB7812">
        <w:rPr>
          <w:rFonts w:ascii="Arial" w:hAnsi="Arial" w:cs="Arial"/>
          <w:iCs/>
          <w:lang w:bidi="he-IL"/>
        </w:rPr>
        <w:t xml:space="preserve">(addition), meaning that it is considered an addition </w:t>
      </w:r>
      <w:r w:rsidRPr="00AB7812">
        <w:rPr>
          <w:rFonts w:ascii="Arial" w:hAnsi="Arial" w:cs="Arial"/>
          <w:iCs/>
          <w:lang w:bidi="he-IL"/>
        </w:rPr>
        <w:lastRenderedPageBreak/>
        <w:t>to the Mishna.</w:t>
      </w:r>
      <w:r w:rsidRPr="00AB7812">
        <w:rPr>
          <w:rStyle w:val="FootnoteReference"/>
          <w:rFonts w:ascii="Arial" w:hAnsi="Arial" w:cs="Arial"/>
          <w:iCs/>
          <w:lang w:bidi="he-IL"/>
        </w:rPr>
        <w:footnoteReference w:id="4"/>
      </w:r>
      <w:r w:rsidRPr="00AB7812">
        <w:rPr>
          <w:rFonts w:ascii="Arial" w:hAnsi="Arial" w:cs="Arial"/>
          <w:iCs/>
          <w:lang w:bidi="he-IL"/>
        </w:rPr>
        <w:t xml:space="preserve"> As we will see below, examples can certainly be found where the </w:t>
      </w:r>
      <w:proofErr w:type="spellStart"/>
      <w:r w:rsidRPr="00AB7812">
        <w:rPr>
          <w:rFonts w:ascii="Arial" w:hAnsi="Arial" w:cs="Arial"/>
          <w:i/>
          <w:lang w:bidi="he-IL"/>
        </w:rPr>
        <w:t>Tosefta</w:t>
      </w:r>
      <w:proofErr w:type="spellEnd"/>
      <w:r w:rsidRPr="00AB7812">
        <w:rPr>
          <w:rFonts w:ascii="Arial" w:hAnsi="Arial" w:cs="Arial"/>
          <w:iCs/>
          <w:lang w:bidi="he-IL"/>
        </w:rPr>
        <w:t xml:space="preserve"> does indeed explain the Mishna. However, many have noted</w:t>
      </w:r>
      <w:r w:rsidRPr="00AB7812">
        <w:rPr>
          <w:rStyle w:val="FootnoteReference"/>
          <w:rFonts w:ascii="Arial" w:hAnsi="Arial" w:cs="Arial"/>
          <w:iCs/>
          <w:lang w:bidi="he-IL"/>
        </w:rPr>
        <w:footnoteReference w:id="5"/>
      </w:r>
      <w:r w:rsidRPr="00AB7812">
        <w:rPr>
          <w:rFonts w:ascii="Arial" w:hAnsi="Arial" w:cs="Arial"/>
          <w:iCs/>
          <w:lang w:bidi="he-IL"/>
        </w:rPr>
        <w:t xml:space="preserve"> that it is difficult to accept this explanation as a sweeping generalization, and in many instances, it is possible to explain the relationship between the two differently. It should also be stressed that the </w:t>
      </w:r>
      <w:proofErr w:type="spellStart"/>
      <w:r w:rsidRPr="00AB7812">
        <w:rPr>
          <w:rFonts w:ascii="Arial" w:hAnsi="Arial" w:cs="Arial"/>
          <w:i/>
          <w:lang w:bidi="he-IL"/>
        </w:rPr>
        <w:t>Tosefta</w:t>
      </w:r>
      <w:proofErr w:type="spellEnd"/>
      <w:r w:rsidRPr="00AB7812">
        <w:rPr>
          <w:rFonts w:ascii="Arial" w:hAnsi="Arial" w:cs="Arial"/>
          <w:i/>
          <w:lang w:bidi="he-IL"/>
        </w:rPr>
        <w:t xml:space="preserve"> </w:t>
      </w:r>
      <w:r w:rsidRPr="00AB7812">
        <w:rPr>
          <w:rFonts w:ascii="Arial" w:hAnsi="Arial" w:cs="Arial"/>
          <w:iCs/>
          <w:lang w:bidi="he-IL"/>
        </w:rPr>
        <w:t xml:space="preserve">often cites a </w:t>
      </w:r>
      <w:r>
        <w:rPr>
          <w:rFonts w:ascii="Arial" w:hAnsi="Arial" w:cs="Arial"/>
          <w:iCs/>
          <w:lang w:bidi="he-IL"/>
        </w:rPr>
        <w:t>halakh</w:t>
      </w:r>
      <w:r w:rsidRPr="00AB7812">
        <w:rPr>
          <w:rFonts w:ascii="Arial" w:hAnsi="Arial" w:cs="Arial"/>
          <w:iCs/>
          <w:lang w:bidi="he-IL"/>
        </w:rPr>
        <w:t xml:space="preserve">a that appears in the Mishna as well, but with more detail. In these instances, it is unnecessary to view the </w:t>
      </w:r>
      <w:proofErr w:type="spellStart"/>
      <w:r w:rsidRPr="00AB7812">
        <w:rPr>
          <w:rFonts w:ascii="Arial" w:hAnsi="Arial" w:cs="Arial"/>
          <w:iCs/>
          <w:lang w:bidi="he-IL"/>
        </w:rPr>
        <w:t>Tosefta</w:t>
      </w:r>
      <w:proofErr w:type="spellEnd"/>
      <w:r w:rsidRPr="00AB7812">
        <w:rPr>
          <w:rFonts w:ascii="Arial" w:hAnsi="Arial" w:cs="Arial"/>
          <w:iCs/>
          <w:lang w:bidi="he-IL"/>
        </w:rPr>
        <w:t xml:space="preserve"> as explaining the Mishna. Rather, it may be more fully explaining a known </w:t>
      </w:r>
      <w:r>
        <w:rPr>
          <w:rFonts w:ascii="Arial" w:hAnsi="Arial" w:cs="Arial"/>
          <w:iCs/>
          <w:lang w:bidi="he-IL"/>
        </w:rPr>
        <w:t>halakh</w:t>
      </w:r>
      <w:r w:rsidRPr="00AB7812">
        <w:rPr>
          <w:rFonts w:ascii="Arial" w:hAnsi="Arial" w:cs="Arial"/>
          <w:iCs/>
          <w:lang w:bidi="he-IL"/>
        </w:rPr>
        <w:t xml:space="preserve">a that was taught in both sources. Nevertheless, as mentioned, there clearly are many instances where the </w:t>
      </w:r>
      <w:proofErr w:type="spellStart"/>
      <w:r w:rsidRPr="00AB7812">
        <w:rPr>
          <w:rFonts w:ascii="Arial" w:hAnsi="Arial" w:cs="Arial"/>
          <w:iCs/>
          <w:lang w:bidi="he-IL"/>
        </w:rPr>
        <w:t>Tosefta</w:t>
      </w:r>
      <w:proofErr w:type="spellEnd"/>
      <w:r w:rsidRPr="00AB7812">
        <w:rPr>
          <w:rFonts w:ascii="Arial" w:hAnsi="Arial" w:cs="Arial"/>
          <w:iCs/>
          <w:lang w:bidi="he-IL"/>
        </w:rPr>
        <w:t xml:space="preserve"> does explain the Mishna as it appears in our texts. Here are a number of examples: </w:t>
      </w:r>
    </w:p>
    <w:p w:rsidR="00E8332B" w:rsidRDefault="00E8332B" w:rsidP="00AB7812">
      <w:pPr>
        <w:jc w:val="both"/>
        <w:rPr>
          <w:rFonts w:ascii="Arial" w:hAnsi="Arial" w:cs="Arial"/>
          <w:iCs/>
          <w:lang w:bidi="he-IL"/>
        </w:rPr>
      </w:pPr>
    </w:p>
    <w:p w:rsidR="00E8332B" w:rsidRDefault="00E8332B" w:rsidP="00AB7812">
      <w:pPr>
        <w:pStyle w:val="ListParagraph"/>
        <w:numPr>
          <w:ilvl w:val="0"/>
          <w:numId w:val="3"/>
        </w:numPr>
        <w:jc w:val="both"/>
        <w:rPr>
          <w:rFonts w:ascii="Arial" w:hAnsi="Arial" w:cs="Arial"/>
          <w:szCs w:val="24"/>
          <w:lang w:bidi="he-IL"/>
        </w:rPr>
      </w:pPr>
      <w:r w:rsidRPr="00AB7812">
        <w:rPr>
          <w:rFonts w:ascii="Arial" w:hAnsi="Arial" w:cs="Arial"/>
          <w:iCs/>
          <w:szCs w:val="24"/>
          <w:lang w:bidi="he-IL"/>
        </w:rPr>
        <w:t xml:space="preserve">The Mishna discusses the separation of the High Priest from his house before Yom Kippur: </w:t>
      </w:r>
    </w:p>
    <w:p w:rsidR="00E8332B" w:rsidRDefault="00E8332B" w:rsidP="00721A25">
      <w:pPr>
        <w:pStyle w:val="ListParagraph"/>
        <w:ind w:left="360"/>
        <w:jc w:val="both"/>
        <w:rPr>
          <w:rFonts w:ascii="Arial" w:hAnsi="Arial" w:cs="Arial"/>
          <w:szCs w:val="24"/>
          <w:lang w:bidi="he-IL"/>
        </w:rPr>
      </w:pPr>
    </w:p>
    <w:p w:rsidR="00E8332B" w:rsidRDefault="00E8332B" w:rsidP="00AB7812">
      <w:pPr>
        <w:pStyle w:val="ListParagraph"/>
        <w:ind w:left="1440"/>
        <w:jc w:val="both"/>
        <w:rPr>
          <w:rFonts w:ascii="Arial" w:hAnsi="Arial" w:cs="Arial"/>
          <w:szCs w:val="24"/>
          <w:lang w:bidi="he-IL"/>
        </w:rPr>
      </w:pPr>
      <w:r w:rsidRPr="00AB7812">
        <w:rPr>
          <w:rFonts w:ascii="Arial" w:hAnsi="Arial" w:cs="Arial"/>
          <w:iCs/>
          <w:szCs w:val="24"/>
          <w:lang w:bidi="he-IL"/>
        </w:rPr>
        <w:t xml:space="preserve">Seven days before Yom Kippur the High Priest is separated from his house and brought to the </w:t>
      </w:r>
      <w:proofErr w:type="spellStart"/>
      <w:r w:rsidRPr="00AB7812">
        <w:rPr>
          <w:rFonts w:ascii="Arial" w:hAnsi="Arial" w:cs="Arial"/>
          <w:iCs/>
          <w:szCs w:val="24"/>
          <w:lang w:bidi="he-IL"/>
        </w:rPr>
        <w:t>Parhedrin</w:t>
      </w:r>
      <w:proofErr w:type="spellEnd"/>
      <w:r w:rsidRPr="00AB7812">
        <w:rPr>
          <w:rFonts w:ascii="Arial" w:hAnsi="Arial" w:cs="Arial"/>
          <w:iCs/>
          <w:szCs w:val="24"/>
          <w:lang w:bidi="he-IL"/>
        </w:rPr>
        <w:t xml:space="preserve"> chamber, and another priest is set aside in his stead in case he becomes disqualified. Rabbi Yehuda says: Another wife is also set aside for him, in case his wife dies, as it is stated:  “And he call atone for himself and for his household (</w:t>
      </w:r>
      <w:r w:rsidRPr="00AB7812">
        <w:rPr>
          <w:rFonts w:ascii="Arial" w:hAnsi="Arial" w:cs="Arial"/>
          <w:i/>
          <w:szCs w:val="24"/>
          <w:lang w:bidi="he-IL"/>
        </w:rPr>
        <w:t xml:space="preserve">Vayikra </w:t>
      </w:r>
      <w:r w:rsidRPr="00AB7812">
        <w:rPr>
          <w:rFonts w:ascii="Arial" w:hAnsi="Arial" w:cs="Arial"/>
          <w:iCs/>
          <w:szCs w:val="24"/>
          <w:lang w:bidi="he-IL"/>
        </w:rPr>
        <w:t>16:6). “His household” refers to his wife. They said to him: If so, then there is no end to the matter.</w:t>
      </w:r>
      <w:r>
        <w:rPr>
          <w:rFonts w:ascii="Arial" w:hAnsi="Arial" w:cs="Arial"/>
          <w:iCs/>
          <w:szCs w:val="24"/>
          <w:lang w:bidi="he-IL"/>
        </w:rPr>
        <w:t xml:space="preserve">  </w:t>
      </w:r>
      <w:r w:rsidRPr="00AB7812">
        <w:rPr>
          <w:rFonts w:ascii="Arial" w:hAnsi="Arial" w:cs="Arial"/>
          <w:iCs/>
          <w:szCs w:val="24"/>
          <w:lang w:bidi="he-IL"/>
        </w:rPr>
        <w:t xml:space="preserve">(Mishna </w:t>
      </w:r>
      <w:proofErr w:type="spellStart"/>
      <w:r w:rsidRPr="00AB7812">
        <w:rPr>
          <w:rFonts w:ascii="Arial" w:hAnsi="Arial" w:cs="Arial"/>
          <w:i/>
          <w:szCs w:val="24"/>
          <w:lang w:bidi="he-IL"/>
        </w:rPr>
        <w:t>Yoma</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1:1) </w:t>
      </w:r>
    </w:p>
    <w:p w:rsidR="00E8332B" w:rsidRDefault="00E8332B" w:rsidP="00AB7812">
      <w:pPr>
        <w:pStyle w:val="ListParagraph"/>
        <w:ind w:left="1440"/>
        <w:jc w:val="both"/>
        <w:rPr>
          <w:rFonts w:ascii="Arial" w:hAnsi="Arial" w:cs="Arial"/>
          <w:szCs w:val="24"/>
          <w:lang w:bidi="he-IL"/>
        </w:rPr>
      </w:pPr>
    </w:p>
    <w:p w:rsidR="00E8332B" w:rsidRDefault="00E8332B" w:rsidP="00A40859">
      <w:pPr>
        <w:pStyle w:val="ListParagraph"/>
        <w:jc w:val="both"/>
        <w:rPr>
          <w:rFonts w:ascii="Arial" w:hAnsi="Arial" w:cs="Arial"/>
          <w:iCs/>
          <w:szCs w:val="24"/>
          <w:lang w:bidi="he-IL"/>
        </w:rPr>
      </w:pPr>
      <w:r w:rsidRPr="00AB7812">
        <w:rPr>
          <w:rFonts w:ascii="Arial" w:hAnsi="Arial" w:cs="Arial"/>
          <w:iCs/>
          <w:szCs w:val="24"/>
          <w:lang w:bidi="he-IL"/>
        </w:rPr>
        <w:t xml:space="preserve">According to the Mishna, the High Priest would be separated from his house seven days before Yom Kippur and placed in the </w:t>
      </w:r>
      <w:proofErr w:type="spellStart"/>
      <w:r w:rsidRPr="00AB7812">
        <w:rPr>
          <w:rFonts w:ascii="Arial" w:hAnsi="Arial" w:cs="Arial"/>
          <w:iCs/>
          <w:szCs w:val="24"/>
          <w:lang w:bidi="he-IL"/>
        </w:rPr>
        <w:t>Parhedrin</w:t>
      </w:r>
      <w:proofErr w:type="spellEnd"/>
      <w:r w:rsidRPr="00AB7812">
        <w:rPr>
          <w:rFonts w:ascii="Arial" w:hAnsi="Arial" w:cs="Arial"/>
          <w:iCs/>
          <w:szCs w:val="24"/>
          <w:lang w:bidi="he-IL"/>
        </w:rPr>
        <w:t xml:space="preserve"> chamber. There is no explicit source for this </w:t>
      </w:r>
      <w:r>
        <w:rPr>
          <w:rFonts w:ascii="Arial" w:hAnsi="Arial" w:cs="Arial"/>
          <w:iCs/>
          <w:szCs w:val="24"/>
          <w:lang w:bidi="he-IL"/>
        </w:rPr>
        <w:t>halakh</w:t>
      </w:r>
      <w:r w:rsidRPr="00AB7812">
        <w:rPr>
          <w:rFonts w:ascii="Arial" w:hAnsi="Arial" w:cs="Arial"/>
          <w:iCs/>
          <w:szCs w:val="24"/>
          <w:lang w:bidi="he-IL"/>
        </w:rPr>
        <w:t xml:space="preserve">a in the Torah, and the Mishna also does not bring a clear explanation for this practice. This </w:t>
      </w:r>
      <w:r>
        <w:rPr>
          <w:rFonts w:ascii="Arial" w:hAnsi="Arial" w:cs="Arial"/>
          <w:iCs/>
          <w:szCs w:val="24"/>
          <w:lang w:bidi="he-IL"/>
        </w:rPr>
        <w:t>halakh</w:t>
      </w:r>
      <w:r w:rsidRPr="00AB7812">
        <w:rPr>
          <w:rFonts w:ascii="Arial" w:hAnsi="Arial" w:cs="Arial"/>
          <w:iCs/>
          <w:szCs w:val="24"/>
          <w:lang w:bidi="he-IL"/>
        </w:rPr>
        <w:t xml:space="preserve">a is cited together with that of Rabbi Yehuda, who rules that the High Priest is also given another wife, and this </w:t>
      </w:r>
      <w:r>
        <w:rPr>
          <w:rFonts w:ascii="Arial" w:hAnsi="Arial" w:cs="Arial"/>
          <w:iCs/>
          <w:szCs w:val="24"/>
          <w:lang w:bidi="he-IL"/>
        </w:rPr>
        <w:t>halakh</w:t>
      </w:r>
      <w:r w:rsidRPr="00AB7812">
        <w:rPr>
          <w:rFonts w:ascii="Arial" w:hAnsi="Arial" w:cs="Arial"/>
          <w:iCs/>
          <w:szCs w:val="24"/>
          <w:lang w:bidi="he-IL"/>
        </w:rPr>
        <w:t xml:space="preserve">a is clearly explained as </w:t>
      </w:r>
      <w:r w:rsidR="00A40859">
        <w:rPr>
          <w:rFonts w:ascii="Arial" w:hAnsi="Arial" w:cs="Arial"/>
          <w:iCs/>
          <w:szCs w:val="24"/>
          <w:lang w:bidi="he-IL"/>
        </w:rPr>
        <w:t>intending</w:t>
      </w:r>
      <w:r w:rsidRPr="00AB7812">
        <w:rPr>
          <w:rFonts w:ascii="Arial" w:hAnsi="Arial" w:cs="Arial"/>
          <w:iCs/>
          <w:szCs w:val="24"/>
          <w:lang w:bidi="he-IL"/>
        </w:rPr>
        <w:t xml:space="preserve"> to prevent a potential situation where he is invalidated from performing the Temple service on Yom Kippur. It is therefore possible to extrapolate that the </w:t>
      </w:r>
      <w:r>
        <w:rPr>
          <w:rFonts w:ascii="Arial" w:hAnsi="Arial" w:cs="Arial"/>
          <w:iCs/>
          <w:szCs w:val="24"/>
          <w:lang w:bidi="he-IL"/>
        </w:rPr>
        <w:t>halakh</w:t>
      </w:r>
      <w:r w:rsidRPr="00AB7812">
        <w:rPr>
          <w:rFonts w:ascii="Arial" w:hAnsi="Arial" w:cs="Arial"/>
          <w:iCs/>
          <w:szCs w:val="24"/>
          <w:lang w:bidi="he-IL"/>
        </w:rPr>
        <w:t>a of separation has a similar purpose.</w:t>
      </w:r>
      <w:r w:rsidRPr="00AB7812">
        <w:rPr>
          <w:rStyle w:val="FootnoteReference"/>
          <w:rFonts w:ascii="Arial" w:hAnsi="Arial" w:cs="Arial"/>
          <w:iCs/>
          <w:szCs w:val="24"/>
          <w:lang w:bidi="he-IL"/>
        </w:rPr>
        <w:footnoteReference w:id="6"/>
      </w:r>
      <w:r w:rsidRPr="00AB7812">
        <w:rPr>
          <w:rFonts w:ascii="Arial" w:hAnsi="Arial" w:cs="Arial"/>
          <w:iCs/>
          <w:szCs w:val="24"/>
          <w:lang w:bidi="he-IL"/>
        </w:rPr>
        <w:t xml:space="preserve"> In fact, the </w:t>
      </w:r>
      <w:proofErr w:type="spellStart"/>
      <w:r w:rsidRPr="00AB7812">
        <w:rPr>
          <w:rFonts w:ascii="Arial" w:hAnsi="Arial" w:cs="Arial"/>
          <w:iCs/>
          <w:szCs w:val="24"/>
          <w:lang w:bidi="he-IL"/>
        </w:rPr>
        <w:t>Tosefta</w:t>
      </w:r>
      <w:proofErr w:type="spellEnd"/>
      <w:r w:rsidRPr="00AB7812">
        <w:rPr>
          <w:rFonts w:ascii="Arial" w:hAnsi="Arial" w:cs="Arial"/>
          <w:iCs/>
          <w:szCs w:val="24"/>
          <w:lang w:bidi="he-IL"/>
        </w:rPr>
        <w:t xml:space="preserve"> at the beginning of tractate </w:t>
      </w:r>
      <w:proofErr w:type="spellStart"/>
      <w:r w:rsidRPr="00AB7812">
        <w:rPr>
          <w:rFonts w:ascii="Arial" w:hAnsi="Arial" w:cs="Arial"/>
          <w:i/>
          <w:szCs w:val="24"/>
          <w:lang w:bidi="he-IL"/>
        </w:rPr>
        <w:t>Yoma</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actually provides this explanation for the </w:t>
      </w:r>
      <w:r>
        <w:rPr>
          <w:rFonts w:ascii="Arial" w:hAnsi="Arial" w:cs="Arial"/>
          <w:iCs/>
          <w:szCs w:val="24"/>
          <w:lang w:bidi="he-IL"/>
        </w:rPr>
        <w:t>halakh</w:t>
      </w:r>
      <w:r w:rsidRPr="00AB7812">
        <w:rPr>
          <w:rFonts w:ascii="Arial" w:hAnsi="Arial" w:cs="Arial"/>
          <w:iCs/>
          <w:szCs w:val="24"/>
          <w:lang w:bidi="he-IL"/>
        </w:rPr>
        <w:t xml:space="preserve">a in question:  </w:t>
      </w:r>
    </w:p>
    <w:p w:rsidR="00E8332B" w:rsidRDefault="00E8332B" w:rsidP="00AB7812">
      <w:pPr>
        <w:pStyle w:val="ListParagraph"/>
        <w:jc w:val="both"/>
        <w:rPr>
          <w:rFonts w:ascii="Arial" w:hAnsi="Arial" w:cs="Arial"/>
          <w:iCs/>
          <w:szCs w:val="24"/>
          <w:lang w:bidi="he-IL"/>
        </w:rPr>
      </w:pPr>
    </w:p>
    <w:p w:rsidR="00E8332B" w:rsidRDefault="00E8332B" w:rsidP="00BC5E5F">
      <w:pPr>
        <w:pStyle w:val="ListParagraph"/>
        <w:ind w:left="1440"/>
        <w:jc w:val="both"/>
        <w:rPr>
          <w:rFonts w:ascii="Arial" w:hAnsi="Arial" w:cs="Arial"/>
          <w:iCs/>
          <w:szCs w:val="24"/>
          <w:lang w:bidi="he-IL"/>
        </w:rPr>
      </w:pPr>
      <w:r w:rsidRPr="00AB7812">
        <w:rPr>
          <w:rFonts w:ascii="Arial" w:hAnsi="Arial" w:cs="Arial"/>
          <w:iCs/>
          <w:szCs w:val="24"/>
          <w:lang w:bidi="he-IL"/>
        </w:rPr>
        <w:t xml:space="preserve">Why is the High Priest separated from his house and brought to the </w:t>
      </w:r>
      <w:proofErr w:type="spellStart"/>
      <w:r w:rsidRPr="00AB7812">
        <w:rPr>
          <w:rFonts w:ascii="Arial" w:hAnsi="Arial" w:cs="Arial"/>
          <w:iCs/>
          <w:szCs w:val="24"/>
          <w:lang w:bidi="he-IL"/>
        </w:rPr>
        <w:t>Parhedrin</w:t>
      </w:r>
      <w:proofErr w:type="spellEnd"/>
      <w:r w:rsidRPr="00AB7812">
        <w:rPr>
          <w:rFonts w:ascii="Arial" w:hAnsi="Arial" w:cs="Arial"/>
          <w:iCs/>
          <w:szCs w:val="24"/>
          <w:lang w:bidi="he-IL"/>
        </w:rPr>
        <w:t xml:space="preserve">? Rabbi Yehuda ben </w:t>
      </w:r>
      <w:proofErr w:type="spellStart"/>
      <w:r w:rsidRPr="00AB7812">
        <w:rPr>
          <w:rFonts w:ascii="Arial" w:hAnsi="Arial" w:cs="Arial"/>
          <w:iCs/>
          <w:szCs w:val="24"/>
          <w:lang w:bidi="he-IL"/>
        </w:rPr>
        <w:t>Petera</w:t>
      </w:r>
      <w:proofErr w:type="spellEnd"/>
      <w:r w:rsidRPr="00AB7812">
        <w:rPr>
          <w:rFonts w:ascii="Arial" w:hAnsi="Arial" w:cs="Arial"/>
          <w:iCs/>
          <w:szCs w:val="24"/>
          <w:lang w:bidi="he-IL"/>
        </w:rPr>
        <w:t xml:space="preserve"> explained: </w:t>
      </w:r>
      <w:r w:rsidR="005916C1">
        <w:rPr>
          <w:rFonts w:ascii="Arial" w:hAnsi="Arial" w:cs="Arial"/>
          <w:iCs/>
          <w:szCs w:val="24"/>
          <w:lang w:bidi="he-IL"/>
        </w:rPr>
        <w:t>Lest</w:t>
      </w:r>
      <w:r w:rsidRPr="00AB7812">
        <w:rPr>
          <w:rFonts w:ascii="Arial" w:hAnsi="Arial" w:cs="Arial"/>
          <w:iCs/>
          <w:szCs w:val="24"/>
          <w:lang w:bidi="he-IL"/>
        </w:rPr>
        <w:t xml:space="preserve"> his wife </w:t>
      </w:r>
      <w:r w:rsidR="005916C1">
        <w:rPr>
          <w:rFonts w:ascii="Arial" w:hAnsi="Arial" w:cs="Arial"/>
          <w:iCs/>
          <w:szCs w:val="24"/>
          <w:lang w:bidi="he-IL"/>
        </w:rPr>
        <w:t>become</w:t>
      </w:r>
      <w:r w:rsidRPr="00AB7812">
        <w:rPr>
          <w:rFonts w:ascii="Arial" w:hAnsi="Arial" w:cs="Arial"/>
          <w:iCs/>
          <w:szCs w:val="24"/>
          <w:lang w:bidi="he-IL"/>
        </w:rPr>
        <w:t xml:space="preserve"> a possible </w:t>
      </w:r>
      <w:proofErr w:type="spellStart"/>
      <w:proofErr w:type="gramStart"/>
      <w:r w:rsidRPr="00AB7812">
        <w:rPr>
          <w:rFonts w:ascii="Arial" w:hAnsi="Arial" w:cs="Arial"/>
          <w:i/>
          <w:szCs w:val="24"/>
          <w:lang w:bidi="he-IL"/>
        </w:rPr>
        <w:t>nidda</w:t>
      </w:r>
      <w:proofErr w:type="spellEnd"/>
      <w:r w:rsidRPr="00AB7812">
        <w:rPr>
          <w:rFonts w:ascii="Arial" w:hAnsi="Arial" w:cs="Arial"/>
          <w:iCs/>
          <w:szCs w:val="24"/>
          <w:lang w:bidi="he-IL"/>
        </w:rPr>
        <w:t>,</w:t>
      </w:r>
      <w:proofErr w:type="gramEnd"/>
      <w:r w:rsidRPr="00AB7812">
        <w:rPr>
          <w:rFonts w:ascii="Arial" w:hAnsi="Arial" w:cs="Arial"/>
          <w:iCs/>
          <w:szCs w:val="24"/>
          <w:lang w:bidi="he-IL"/>
        </w:rPr>
        <w:t xml:space="preserve"> and he will have relations with her, and thereby become impure for seven days.</w:t>
      </w:r>
    </w:p>
    <w:p w:rsidR="00E8332B" w:rsidRDefault="00E8332B" w:rsidP="00AB7812">
      <w:pPr>
        <w:pStyle w:val="ListParagraph"/>
        <w:ind w:left="1440"/>
        <w:jc w:val="both"/>
        <w:rPr>
          <w:rFonts w:ascii="Arial" w:hAnsi="Arial" w:cs="Arial"/>
          <w:iCs/>
          <w:szCs w:val="24"/>
          <w:lang w:bidi="he-IL"/>
        </w:rPr>
      </w:pPr>
    </w:p>
    <w:p w:rsidR="00E8332B" w:rsidRDefault="00E8332B" w:rsidP="00AB7812">
      <w:pPr>
        <w:pStyle w:val="ListParagraph"/>
        <w:jc w:val="both"/>
        <w:rPr>
          <w:rFonts w:ascii="Arial" w:hAnsi="Arial" w:cs="Arial"/>
          <w:iCs/>
          <w:szCs w:val="24"/>
          <w:lang w:bidi="he-IL"/>
        </w:rPr>
      </w:pPr>
      <w:r>
        <w:rPr>
          <w:rFonts w:ascii="Arial" w:hAnsi="Arial" w:cs="Arial"/>
          <w:iCs/>
          <w:szCs w:val="24"/>
          <w:lang w:bidi="he-IL"/>
        </w:rPr>
        <w:tab/>
      </w:r>
      <w:r w:rsidRPr="00AB7812">
        <w:rPr>
          <w:rFonts w:ascii="Arial" w:hAnsi="Arial" w:cs="Arial"/>
          <w:iCs/>
          <w:szCs w:val="24"/>
          <w:lang w:bidi="he-IL"/>
        </w:rPr>
        <w:t xml:space="preserve">Note that without being familiar with the </w:t>
      </w:r>
      <w:r>
        <w:rPr>
          <w:rFonts w:ascii="Arial" w:hAnsi="Arial" w:cs="Arial"/>
          <w:iCs/>
          <w:szCs w:val="24"/>
          <w:lang w:bidi="he-IL"/>
        </w:rPr>
        <w:t>halakh</w:t>
      </w:r>
      <w:r w:rsidRPr="00AB7812">
        <w:rPr>
          <w:rFonts w:ascii="Arial" w:hAnsi="Arial" w:cs="Arial"/>
          <w:iCs/>
          <w:szCs w:val="24"/>
          <w:lang w:bidi="he-IL"/>
        </w:rPr>
        <w:t xml:space="preserve">a in the Mishna, it would be impossible to understand the context of the question of “why is the High Priest separated, etc.” in the </w:t>
      </w:r>
      <w:proofErr w:type="spellStart"/>
      <w:r w:rsidRPr="00AB7812">
        <w:rPr>
          <w:rFonts w:ascii="Arial" w:hAnsi="Arial" w:cs="Arial"/>
          <w:iCs/>
          <w:szCs w:val="24"/>
          <w:lang w:bidi="he-IL"/>
        </w:rPr>
        <w:t>Tosefta</w:t>
      </w:r>
      <w:proofErr w:type="spellEnd"/>
      <w:r w:rsidRPr="00AB7812">
        <w:rPr>
          <w:rFonts w:ascii="Arial" w:hAnsi="Arial" w:cs="Arial"/>
          <w:iCs/>
          <w:szCs w:val="24"/>
          <w:lang w:bidi="he-IL"/>
        </w:rPr>
        <w:t xml:space="preserve">, since it does not mention that this </w:t>
      </w:r>
      <w:r>
        <w:rPr>
          <w:rFonts w:ascii="Arial" w:hAnsi="Arial" w:cs="Arial"/>
          <w:iCs/>
          <w:szCs w:val="24"/>
          <w:lang w:bidi="he-IL"/>
        </w:rPr>
        <w:t>halakh</w:t>
      </w:r>
      <w:r w:rsidRPr="00AB7812">
        <w:rPr>
          <w:rFonts w:ascii="Arial" w:hAnsi="Arial" w:cs="Arial"/>
          <w:iCs/>
          <w:szCs w:val="24"/>
          <w:lang w:bidi="he-IL"/>
        </w:rPr>
        <w:t xml:space="preserve">a is related to Yom Kippur. Consequently, it appears that the </w:t>
      </w:r>
      <w:proofErr w:type="spellStart"/>
      <w:r w:rsidRPr="00AB7812">
        <w:rPr>
          <w:rFonts w:ascii="Arial" w:hAnsi="Arial" w:cs="Arial"/>
          <w:iCs/>
          <w:szCs w:val="24"/>
          <w:lang w:bidi="he-IL"/>
        </w:rPr>
        <w:t>Tosefta</w:t>
      </w:r>
      <w:proofErr w:type="spellEnd"/>
      <w:r w:rsidRPr="00AB7812">
        <w:rPr>
          <w:rFonts w:ascii="Arial" w:hAnsi="Arial" w:cs="Arial"/>
          <w:iCs/>
          <w:szCs w:val="24"/>
          <w:lang w:bidi="he-IL"/>
        </w:rPr>
        <w:t xml:space="preserve"> here directly continues the theme of the Mishna and explains it. </w:t>
      </w:r>
    </w:p>
    <w:p w:rsidR="00E8332B" w:rsidRDefault="00E8332B" w:rsidP="00AB7812">
      <w:pPr>
        <w:pStyle w:val="ListParagraph"/>
        <w:jc w:val="both"/>
        <w:rPr>
          <w:rFonts w:ascii="Arial" w:hAnsi="Arial" w:cs="Arial"/>
          <w:iCs/>
          <w:szCs w:val="24"/>
          <w:lang w:bidi="he-IL"/>
        </w:rPr>
      </w:pPr>
    </w:p>
    <w:p w:rsidR="00E8332B" w:rsidRDefault="00E8332B" w:rsidP="00AB7812">
      <w:pPr>
        <w:pStyle w:val="ListParagraph"/>
        <w:numPr>
          <w:ilvl w:val="0"/>
          <w:numId w:val="3"/>
        </w:numPr>
        <w:jc w:val="both"/>
        <w:rPr>
          <w:rFonts w:ascii="Arial" w:hAnsi="Arial" w:cs="Arial"/>
          <w:szCs w:val="24"/>
          <w:lang w:bidi="he-IL"/>
        </w:rPr>
      </w:pPr>
      <w:r w:rsidRPr="00AB7812">
        <w:rPr>
          <w:rFonts w:ascii="Arial" w:hAnsi="Arial" w:cs="Arial"/>
          <w:iCs/>
          <w:szCs w:val="24"/>
          <w:lang w:bidi="he-IL"/>
        </w:rPr>
        <w:t xml:space="preserve">The Mishna at the end of the first chapter of tractate </w:t>
      </w:r>
      <w:proofErr w:type="spellStart"/>
      <w:r w:rsidRPr="00AB7812">
        <w:rPr>
          <w:rFonts w:ascii="Arial" w:hAnsi="Arial" w:cs="Arial"/>
          <w:i/>
          <w:szCs w:val="24"/>
          <w:lang w:bidi="he-IL"/>
        </w:rPr>
        <w:t>Kiddushin</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discusses various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that women are obligated to perform, and others from which they are exempt. Within this context, it first discusses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that relate to a father and son:  </w:t>
      </w:r>
    </w:p>
    <w:p w:rsidR="00E8332B" w:rsidRDefault="00E8332B" w:rsidP="00721A25">
      <w:pPr>
        <w:pStyle w:val="ListParagraph"/>
        <w:ind w:left="360"/>
        <w:jc w:val="both"/>
        <w:rPr>
          <w:rFonts w:ascii="Arial" w:hAnsi="Arial" w:cs="Arial"/>
          <w:szCs w:val="24"/>
          <w:lang w:bidi="he-IL"/>
        </w:rPr>
      </w:pPr>
    </w:p>
    <w:p w:rsidR="00E8332B" w:rsidRDefault="00E8332B" w:rsidP="00AB7812">
      <w:pPr>
        <w:pStyle w:val="ListParagraph"/>
        <w:ind w:left="1440"/>
        <w:jc w:val="both"/>
        <w:rPr>
          <w:rFonts w:ascii="Arial" w:hAnsi="Arial" w:cs="Arial"/>
          <w:iCs/>
          <w:szCs w:val="24"/>
          <w:lang w:bidi="he-IL"/>
        </w:rPr>
      </w:pPr>
      <w:r w:rsidRPr="00AB7812">
        <w:rPr>
          <w:rFonts w:ascii="Arial" w:hAnsi="Arial" w:cs="Arial"/>
          <w:iCs/>
          <w:szCs w:val="24"/>
          <w:lang w:bidi="he-IL"/>
        </w:rPr>
        <w:t xml:space="preserve">All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of a son upon a father, men are obligated, and women are exempt; and all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of father upon a son, both men and women are obligated. (</w:t>
      </w:r>
      <w:proofErr w:type="spellStart"/>
      <w:r w:rsidRPr="00AB7812">
        <w:rPr>
          <w:rFonts w:ascii="Arial" w:hAnsi="Arial" w:cs="Arial"/>
          <w:i/>
          <w:szCs w:val="24"/>
          <w:lang w:bidi="he-IL"/>
        </w:rPr>
        <w:t>Kiddushin</w:t>
      </w:r>
      <w:proofErr w:type="spellEnd"/>
      <w:r w:rsidR="00A262EC">
        <w:rPr>
          <w:rFonts w:ascii="Arial" w:hAnsi="Arial" w:cs="Arial"/>
          <w:i/>
          <w:szCs w:val="24"/>
          <w:lang w:bidi="he-IL"/>
        </w:rPr>
        <w:t xml:space="preserve"> </w:t>
      </w:r>
      <w:r w:rsidRPr="00AB7812">
        <w:rPr>
          <w:rFonts w:ascii="Arial" w:hAnsi="Arial" w:cs="Arial"/>
          <w:iCs/>
          <w:szCs w:val="24"/>
          <w:lang w:bidi="he-IL"/>
        </w:rPr>
        <w:t>29a)</w:t>
      </w:r>
    </w:p>
    <w:p w:rsidR="00E8332B" w:rsidRDefault="00E8332B" w:rsidP="00AB7812">
      <w:pPr>
        <w:pStyle w:val="ListParagraph"/>
        <w:ind w:left="1440"/>
        <w:jc w:val="both"/>
        <w:rPr>
          <w:rFonts w:ascii="Arial" w:hAnsi="Arial" w:cs="Arial"/>
          <w:iCs/>
          <w:szCs w:val="24"/>
          <w:lang w:bidi="he-IL"/>
        </w:rPr>
      </w:pPr>
    </w:p>
    <w:p w:rsidR="00E8332B" w:rsidRDefault="00E8332B" w:rsidP="00AB7812">
      <w:pPr>
        <w:ind w:left="360"/>
        <w:jc w:val="both"/>
        <w:rPr>
          <w:rFonts w:ascii="Arial" w:hAnsi="Arial" w:cs="Arial"/>
          <w:iCs/>
          <w:lang w:bidi="he-IL"/>
        </w:rPr>
      </w:pPr>
      <w:r>
        <w:rPr>
          <w:rFonts w:ascii="Arial" w:hAnsi="Arial" w:cs="Arial"/>
          <w:iCs/>
          <w:lang w:bidi="he-IL"/>
        </w:rPr>
        <w:tab/>
      </w:r>
      <w:r w:rsidRPr="00AB7812">
        <w:rPr>
          <w:rFonts w:ascii="Arial" w:hAnsi="Arial" w:cs="Arial"/>
          <w:iCs/>
          <w:lang w:bidi="he-IL"/>
        </w:rPr>
        <w:t xml:space="preserve">The Mishna does not elaborate further upon the definition of these two categories, but an explanation does appear in the </w:t>
      </w:r>
      <w:proofErr w:type="spellStart"/>
      <w:r w:rsidRPr="00AB7812">
        <w:rPr>
          <w:rFonts w:ascii="Arial" w:hAnsi="Arial" w:cs="Arial"/>
          <w:iCs/>
          <w:lang w:bidi="he-IL"/>
        </w:rPr>
        <w:t>Tosefta</w:t>
      </w:r>
      <w:proofErr w:type="spellEnd"/>
      <w:r w:rsidRPr="00AB7812">
        <w:rPr>
          <w:rFonts w:ascii="Arial" w:hAnsi="Arial" w:cs="Arial"/>
          <w:iCs/>
          <w:lang w:bidi="he-IL"/>
        </w:rPr>
        <w:t xml:space="preserve"> there: </w:t>
      </w:r>
    </w:p>
    <w:p w:rsidR="00E8332B" w:rsidRDefault="00E8332B" w:rsidP="00AB7812">
      <w:pPr>
        <w:ind w:left="360"/>
        <w:jc w:val="both"/>
        <w:rPr>
          <w:rFonts w:ascii="Arial" w:hAnsi="Arial" w:cs="Arial"/>
          <w:iCs/>
          <w:lang w:bidi="he-IL"/>
        </w:rPr>
      </w:pPr>
    </w:p>
    <w:p w:rsidR="00E8332B" w:rsidRDefault="00E8332B" w:rsidP="00721A25">
      <w:pPr>
        <w:ind w:left="1440"/>
        <w:jc w:val="both"/>
        <w:rPr>
          <w:rFonts w:ascii="Arial" w:hAnsi="Arial" w:cs="Arial"/>
          <w:iCs/>
          <w:lang w:bidi="he-IL"/>
        </w:rPr>
      </w:pPr>
      <w:r w:rsidRPr="00AB7812">
        <w:rPr>
          <w:rFonts w:ascii="Arial" w:hAnsi="Arial" w:cs="Arial"/>
          <w:iCs/>
          <w:lang w:bidi="he-IL"/>
        </w:rPr>
        <w:t xml:space="preserve">What are </w:t>
      </w:r>
      <w:proofErr w:type="spellStart"/>
      <w:r w:rsidRPr="00AB7812">
        <w:rPr>
          <w:rFonts w:ascii="Arial" w:hAnsi="Arial" w:cs="Arial"/>
          <w:i/>
          <w:lang w:bidi="he-IL"/>
        </w:rPr>
        <w:t>mitzvot</w:t>
      </w:r>
      <w:proofErr w:type="spellEnd"/>
      <w:r w:rsidRPr="00AB7812">
        <w:rPr>
          <w:rFonts w:ascii="Arial" w:hAnsi="Arial" w:cs="Arial"/>
          <w:i/>
          <w:lang w:bidi="he-IL"/>
        </w:rPr>
        <w:t xml:space="preserve"> </w:t>
      </w:r>
      <w:r w:rsidRPr="00AB7812">
        <w:rPr>
          <w:rFonts w:ascii="Arial" w:hAnsi="Arial" w:cs="Arial"/>
          <w:iCs/>
          <w:lang w:bidi="he-IL"/>
        </w:rPr>
        <w:t xml:space="preserve">of a son upon the father? They are giving food and drink, clothing, covering, bringing him in and out, and washing his face, hands, and feet. This is true both for men and women, but a man has the capability to do so, while a woman does not always, since she is in the domain of another. What are </w:t>
      </w:r>
      <w:proofErr w:type="spellStart"/>
      <w:r w:rsidRPr="00AB7812">
        <w:rPr>
          <w:rFonts w:ascii="Arial" w:hAnsi="Arial" w:cs="Arial"/>
          <w:i/>
          <w:lang w:bidi="he-IL"/>
        </w:rPr>
        <w:t>mitzvot</w:t>
      </w:r>
      <w:proofErr w:type="spellEnd"/>
      <w:r w:rsidRPr="00AB7812">
        <w:rPr>
          <w:rFonts w:ascii="Arial" w:hAnsi="Arial" w:cs="Arial"/>
          <w:i/>
          <w:lang w:bidi="he-IL"/>
        </w:rPr>
        <w:t xml:space="preserve"> </w:t>
      </w:r>
      <w:r w:rsidRPr="00AB7812">
        <w:rPr>
          <w:rFonts w:ascii="Arial" w:hAnsi="Arial" w:cs="Arial"/>
          <w:iCs/>
          <w:lang w:bidi="he-IL"/>
        </w:rPr>
        <w:t xml:space="preserve">of a father upon a son? They are to give him a </w:t>
      </w:r>
      <w:r w:rsidRPr="00AB7812">
        <w:rPr>
          <w:rFonts w:ascii="Arial" w:hAnsi="Arial" w:cs="Arial"/>
          <w:i/>
          <w:lang w:bidi="he-IL"/>
        </w:rPr>
        <w:t xml:space="preserve">brit </w:t>
      </w:r>
      <w:proofErr w:type="spellStart"/>
      <w:r w:rsidRPr="00AB7812">
        <w:rPr>
          <w:rFonts w:ascii="Arial" w:hAnsi="Arial" w:cs="Arial"/>
          <w:i/>
          <w:lang w:bidi="he-IL"/>
        </w:rPr>
        <w:t>mila</w:t>
      </w:r>
      <w:proofErr w:type="spellEnd"/>
      <w:r w:rsidRPr="00AB7812">
        <w:rPr>
          <w:rFonts w:ascii="Arial" w:hAnsi="Arial" w:cs="Arial"/>
          <w:iCs/>
          <w:lang w:bidi="he-IL"/>
        </w:rPr>
        <w:t>, to redeem him, to teach him Torah, to teach him a trade, and to marry him to a wife.</w:t>
      </w:r>
    </w:p>
    <w:p w:rsidR="00E8332B" w:rsidRDefault="00E8332B" w:rsidP="00AB7812">
      <w:pPr>
        <w:ind w:left="720"/>
        <w:jc w:val="both"/>
        <w:rPr>
          <w:rFonts w:ascii="Arial" w:hAnsi="Arial" w:cs="Arial"/>
          <w:iCs/>
          <w:lang w:bidi="he-IL"/>
        </w:rPr>
      </w:pPr>
    </w:p>
    <w:p w:rsidR="00E8332B" w:rsidRDefault="00E8332B" w:rsidP="00AB7812">
      <w:pPr>
        <w:ind w:left="720"/>
        <w:jc w:val="both"/>
        <w:rPr>
          <w:rFonts w:ascii="Arial" w:hAnsi="Arial" w:cs="Arial"/>
          <w:lang w:bidi="he-IL"/>
        </w:rPr>
      </w:pPr>
      <w:r>
        <w:rPr>
          <w:rFonts w:ascii="Arial" w:hAnsi="Arial" w:cs="Arial"/>
          <w:iCs/>
          <w:lang w:bidi="he-IL"/>
        </w:rPr>
        <w:tab/>
      </w:r>
      <w:r w:rsidRPr="00AB7812">
        <w:rPr>
          <w:rFonts w:ascii="Arial" w:hAnsi="Arial" w:cs="Arial"/>
          <w:iCs/>
          <w:lang w:bidi="he-IL"/>
        </w:rPr>
        <w:t xml:space="preserve">In this case as well, the </w:t>
      </w:r>
      <w:proofErr w:type="spellStart"/>
      <w:r w:rsidRPr="00AB7812">
        <w:rPr>
          <w:rFonts w:ascii="Arial" w:hAnsi="Arial" w:cs="Arial"/>
          <w:iCs/>
          <w:lang w:bidi="he-IL"/>
        </w:rPr>
        <w:t>Tosefta</w:t>
      </w:r>
      <w:proofErr w:type="spellEnd"/>
      <w:r w:rsidRPr="00AB7812">
        <w:rPr>
          <w:rFonts w:ascii="Arial" w:hAnsi="Arial" w:cs="Arial"/>
          <w:iCs/>
          <w:lang w:bidi="he-IL"/>
        </w:rPr>
        <w:t xml:space="preserve"> does not mention the actual principle, but simply discusses the examples, and thereby explains the Mishna.</w:t>
      </w:r>
      <w:r w:rsidRPr="00AB7812">
        <w:rPr>
          <w:rStyle w:val="FootnoteReference"/>
          <w:rFonts w:ascii="Arial" w:hAnsi="Arial" w:cs="Arial"/>
          <w:iCs/>
          <w:lang w:bidi="he-IL"/>
        </w:rPr>
        <w:footnoteReference w:id="7"/>
      </w:r>
      <w:r w:rsidRPr="00AB7812">
        <w:rPr>
          <w:rFonts w:ascii="Arial" w:hAnsi="Arial" w:cs="Arial"/>
          <w:iCs/>
          <w:lang w:bidi="he-IL"/>
        </w:rPr>
        <w:t xml:space="preserve"> </w:t>
      </w:r>
    </w:p>
    <w:p w:rsidR="00E8332B" w:rsidRDefault="00E8332B" w:rsidP="00AB7812">
      <w:pPr>
        <w:ind w:left="720"/>
        <w:jc w:val="both"/>
        <w:rPr>
          <w:rFonts w:ascii="Arial" w:hAnsi="Arial" w:cs="Arial"/>
          <w:lang w:bidi="he-IL"/>
        </w:rPr>
      </w:pPr>
    </w:p>
    <w:p w:rsidR="00E8332B" w:rsidRDefault="00E8332B" w:rsidP="00BC5E5F">
      <w:pPr>
        <w:pStyle w:val="ListParagraph"/>
        <w:numPr>
          <w:ilvl w:val="0"/>
          <w:numId w:val="3"/>
        </w:numPr>
        <w:jc w:val="both"/>
        <w:rPr>
          <w:rFonts w:ascii="Arial" w:hAnsi="Arial" w:cs="Arial"/>
          <w:iCs/>
          <w:szCs w:val="24"/>
          <w:lang w:bidi="he-IL"/>
        </w:rPr>
      </w:pPr>
      <w:r>
        <w:rPr>
          <w:rFonts w:ascii="Arial" w:hAnsi="Arial" w:cs="Arial"/>
          <w:lang w:bidi="he-IL"/>
        </w:rPr>
        <w:tab/>
      </w:r>
      <w:r w:rsidRPr="00AB7812">
        <w:rPr>
          <w:rFonts w:ascii="Arial" w:hAnsi="Arial" w:cs="Arial"/>
          <w:iCs/>
          <w:szCs w:val="24"/>
          <w:lang w:bidi="he-IL"/>
        </w:rPr>
        <w:t xml:space="preserve">In the continuation of the Mishna previously quoted from </w:t>
      </w:r>
      <w:proofErr w:type="spellStart"/>
      <w:r w:rsidRPr="00AB7812">
        <w:rPr>
          <w:rFonts w:ascii="Arial" w:hAnsi="Arial" w:cs="Arial"/>
          <w:i/>
          <w:szCs w:val="24"/>
          <w:lang w:bidi="he-IL"/>
        </w:rPr>
        <w:t>Kiddushin</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chapter 1, another principle appears with regard to the obligation of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upon men and women: “</w:t>
      </w:r>
      <w:r w:rsidR="00E51325">
        <w:rPr>
          <w:rFonts w:ascii="Arial" w:hAnsi="Arial" w:cs="Arial"/>
          <w:iCs/>
          <w:szCs w:val="24"/>
          <w:lang w:bidi="he-IL"/>
        </w:rPr>
        <w:t>[Regarding] a</w:t>
      </w:r>
      <w:r w:rsidR="00E51325" w:rsidRPr="00AB7812">
        <w:rPr>
          <w:rFonts w:ascii="Arial" w:hAnsi="Arial" w:cs="Arial"/>
          <w:iCs/>
          <w:szCs w:val="24"/>
          <w:lang w:bidi="he-IL"/>
        </w:rPr>
        <w:t xml:space="preserve">ll </w:t>
      </w:r>
      <w:r w:rsidRPr="00AB7812">
        <w:rPr>
          <w:rFonts w:ascii="Arial" w:hAnsi="Arial" w:cs="Arial"/>
          <w:iCs/>
          <w:szCs w:val="24"/>
          <w:lang w:bidi="he-IL"/>
        </w:rPr>
        <w:t xml:space="preserve">time-bound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men are obligated, and women are exempt; and </w:t>
      </w:r>
      <w:r w:rsidR="00E51325">
        <w:rPr>
          <w:rFonts w:ascii="Arial" w:hAnsi="Arial" w:cs="Arial"/>
          <w:iCs/>
          <w:szCs w:val="24"/>
          <w:lang w:bidi="he-IL"/>
        </w:rPr>
        <w:t xml:space="preserve">[regarding] </w:t>
      </w:r>
      <w:r w:rsidRPr="00AB7812">
        <w:rPr>
          <w:rFonts w:ascii="Arial" w:hAnsi="Arial" w:cs="Arial"/>
          <w:iCs/>
          <w:szCs w:val="24"/>
          <w:lang w:bidi="he-IL"/>
        </w:rPr>
        <w:t xml:space="preserve">all non-time-bound </w:t>
      </w:r>
      <w:proofErr w:type="spellStart"/>
      <w:r w:rsidRPr="00AB7812">
        <w:rPr>
          <w:rFonts w:ascii="Arial" w:hAnsi="Arial" w:cs="Arial"/>
          <w:i/>
          <w:szCs w:val="24"/>
          <w:lang w:bidi="he-IL"/>
        </w:rPr>
        <w:t>mitzvot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both men and women are obligated.” The Mishna does not explain the context, nor does it provide examples. However, the </w:t>
      </w:r>
      <w:proofErr w:type="spellStart"/>
      <w:r w:rsidRPr="00AB7812">
        <w:rPr>
          <w:rFonts w:ascii="Arial" w:hAnsi="Arial" w:cs="Arial"/>
          <w:iCs/>
          <w:szCs w:val="24"/>
          <w:lang w:bidi="he-IL"/>
        </w:rPr>
        <w:t>Tosefta</w:t>
      </w:r>
      <w:proofErr w:type="spellEnd"/>
      <w:r w:rsidRPr="00AB7812">
        <w:rPr>
          <w:rFonts w:ascii="Arial" w:hAnsi="Arial" w:cs="Arial"/>
          <w:iCs/>
          <w:szCs w:val="24"/>
          <w:lang w:bidi="he-IL"/>
        </w:rPr>
        <w:t xml:space="preserve"> there does provide an explanation: </w:t>
      </w:r>
    </w:p>
    <w:p w:rsidR="00E8332B" w:rsidRDefault="00E8332B" w:rsidP="00AB7812">
      <w:pPr>
        <w:pStyle w:val="ListParagraph"/>
        <w:jc w:val="both"/>
        <w:rPr>
          <w:rFonts w:ascii="Arial" w:hAnsi="Arial" w:cs="Arial"/>
          <w:iCs/>
          <w:szCs w:val="24"/>
          <w:lang w:bidi="he-IL"/>
        </w:rPr>
      </w:pPr>
    </w:p>
    <w:p w:rsidR="00E8332B" w:rsidRDefault="00E8332B" w:rsidP="00721A25">
      <w:pPr>
        <w:pStyle w:val="ListParagraph"/>
        <w:ind w:left="1440"/>
        <w:jc w:val="both"/>
        <w:rPr>
          <w:rFonts w:ascii="Arial" w:hAnsi="Arial" w:cs="Arial"/>
          <w:iCs/>
          <w:szCs w:val="24"/>
          <w:lang w:bidi="he-IL"/>
        </w:rPr>
      </w:pPr>
      <w:r w:rsidRPr="00AB7812">
        <w:rPr>
          <w:rFonts w:ascii="Arial" w:hAnsi="Arial" w:cs="Arial"/>
          <w:iCs/>
          <w:szCs w:val="24"/>
          <w:lang w:bidi="he-IL"/>
        </w:rPr>
        <w:t xml:space="preserve">What is a </w:t>
      </w:r>
      <w:proofErr w:type="spellStart"/>
      <w:r w:rsidRPr="00AB7812">
        <w:rPr>
          <w:rFonts w:ascii="Arial" w:hAnsi="Arial" w:cs="Arial"/>
          <w:iCs/>
          <w:szCs w:val="24"/>
          <w:lang w:bidi="he-IL"/>
        </w:rPr>
        <w:t>mitzva</w:t>
      </w:r>
      <w:proofErr w:type="spellEnd"/>
      <w:r w:rsidRPr="00AB7812">
        <w:rPr>
          <w:rFonts w:ascii="Arial" w:hAnsi="Arial" w:cs="Arial"/>
          <w:iCs/>
          <w:szCs w:val="24"/>
          <w:lang w:bidi="he-IL"/>
        </w:rPr>
        <w:t xml:space="preserve"> that is time-bound? For example, </w:t>
      </w:r>
      <w:proofErr w:type="spellStart"/>
      <w:r w:rsidRPr="00AB7812">
        <w:rPr>
          <w:rFonts w:ascii="Arial" w:hAnsi="Arial" w:cs="Arial"/>
          <w:i/>
          <w:szCs w:val="24"/>
          <w:lang w:bidi="he-IL"/>
        </w:rPr>
        <w:t>sukka</w:t>
      </w:r>
      <w:proofErr w:type="spellEnd"/>
      <w:r w:rsidRPr="00AB7812">
        <w:rPr>
          <w:rFonts w:ascii="Arial" w:hAnsi="Arial" w:cs="Arial"/>
          <w:iCs/>
          <w:szCs w:val="24"/>
          <w:lang w:bidi="he-IL"/>
        </w:rPr>
        <w:t xml:space="preserve">, </w:t>
      </w:r>
      <w:proofErr w:type="spellStart"/>
      <w:r w:rsidRPr="00AB7812">
        <w:rPr>
          <w:rFonts w:ascii="Arial" w:hAnsi="Arial" w:cs="Arial"/>
          <w:i/>
          <w:szCs w:val="24"/>
          <w:lang w:bidi="he-IL"/>
        </w:rPr>
        <w:t>lulav</w:t>
      </w:r>
      <w:proofErr w:type="spellEnd"/>
      <w:r w:rsidRPr="00AB7812">
        <w:rPr>
          <w:rFonts w:ascii="Arial" w:hAnsi="Arial" w:cs="Arial"/>
          <w:iCs/>
          <w:szCs w:val="24"/>
          <w:lang w:bidi="he-IL"/>
        </w:rPr>
        <w:t xml:space="preserve">, and </w:t>
      </w:r>
      <w:r w:rsidRPr="00AB7812">
        <w:rPr>
          <w:rFonts w:ascii="Arial" w:hAnsi="Arial" w:cs="Arial"/>
          <w:i/>
          <w:szCs w:val="24"/>
          <w:lang w:bidi="he-IL"/>
        </w:rPr>
        <w:t>tefillin</w:t>
      </w:r>
      <w:r w:rsidRPr="00AB7812">
        <w:rPr>
          <w:rFonts w:ascii="Arial" w:hAnsi="Arial" w:cs="Arial"/>
          <w:iCs/>
          <w:szCs w:val="24"/>
          <w:lang w:bidi="he-IL"/>
        </w:rPr>
        <w:t xml:space="preserve">. What is a </w:t>
      </w:r>
      <w:proofErr w:type="spellStart"/>
      <w:r w:rsidRPr="00AB7812">
        <w:rPr>
          <w:rFonts w:ascii="Arial" w:hAnsi="Arial" w:cs="Arial"/>
          <w:iCs/>
          <w:szCs w:val="24"/>
          <w:lang w:bidi="he-IL"/>
        </w:rPr>
        <w:t>mitzva</w:t>
      </w:r>
      <w:proofErr w:type="spellEnd"/>
      <w:r w:rsidRPr="00AB7812">
        <w:rPr>
          <w:rFonts w:ascii="Arial" w:hAnsi="Arial" w:cs="Arial"/>
          <w:iCs/>
          <w:szCs w:val="24"/>
          <w:lang w:bidi="he-IL"/>
        </w:rPr>
        <w:t xml:space="preserve"> that is not time-bound? For example returning a lost object, sending away a mother bird, constructing a fence, and </w:t>
      </w:r>
      <w:proofErr w:type="spellStart"/>
      <w:r w:rsidRPr="00AB7812">
        <w:rPr>
          <w:rFonts w:ascii="Arial" w:hAnsi="Arial" w:cs="Arial"/>
          <w:i/>
          <w:szCs w:val="24"/>
          <w:lang w:bidi="he-IL"/>
        </w:rPr>
        <w:t>tzitzit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Rabbi Shimon exempts women from </w:t>
      </w:r>
      <w:proofErr w:type="spellStart"/>
      <w:r w:rsidRPr="00AB7812">
        <w:rPr>
          <w:rFonts w:ascii="Arial" w:hAnsi="Arial" w:cs="Arial"/>
          <w:i/>
          <w:szCs w:val="24"/>
          <w:lang w:bidi="he-IL"/>
        </w:rPr>
        <w:t>tzitzit</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because it is a time-bound </w:t>
      </w:r>
      <w:proofErr w:type="spellStart"/>
      <w:r w:rsidRPr="00AB7812">
        <w:rPr>
          <w:rFonts w:ascii="Arial" w:hAnsi="Arial" w:cs="Arial"/>
          <w:iCs/>
          <w:szCs w:val="24"/>
          <w:lang w:bidi="he-IL"/>
        </w:rPr>
        <w:t>mitzva</w:t>
      </w:r>
      <w:proofErr w:type="spellEnd"/>
      <w:r w:rsidRPr="00AB7812">
        <w:rPr>
          <w:rFonts w:ascii="Arial" w:hAnsi="Arial" w:cs="Arial"/>
          <w:iCs/>
          <w:szCs w:val="24"/>
          <w:lang w:bidi="he-IL"/>
        </w:rPr>
        <w:t xml:space="preserve">. </w:t>
      </w:r>
    </w:p>
    <w:p w:rsidR="00E8332B" w:rsidRDefault="00E8332B" w:rsidP="00AB7812">
      <w:pPr>
        <w:pStyle w:val="ListParagraph"/>
        <w:jc w:val="both"/>
        <w:rPr>
          <w:rFonts w:ascii="Arial" w:hAnsi="Arial" w:cs="Arial"/>
          <w:iCs/>
          <w:szCs w:val="24"/>
          <w:lang w:bidi="he-IL"/>
        </w:rPr>
      </w:pPr>
    </w:p>
    <w:p w:rsidR="00E8332B" w:rsidRDefault="00E8332B" w:rsidP="00AB7812">
      <w:pPr>
        <w:pStyle w:val="ListParagraph"/>
        <w:jc w:val="both"/>
        <w:rPr>
          <w:rFonts w:ascii="Arial" w:hAnsi="Arial" w:cs="Arial"/>
          <w:szCs w:val="24"/>
          <w:lang w:bidi="he-IL"/>
        </w:rPr>
      </w:pPr>
      <w:r>
        <w:rPr>
          <w:rFonts w:ascii="Arial" w:hAnsi="Arial" w:cs="Arial"/>
          <w:iCs/>
          <w:szCs w:val="24"/>
          <w:lang w:bidi="he-IL"/>
        </w:rPr>
        <w:tab/>
      </w:r>
      <w:r w:rsidRPr="00AB7812">
        <w:rPr>
          <w:rFonts w:ascii="Arial" w:hAnsi="Arial" w:cs="Arial"/>
          <w:iCs/>
          <w:szCs w:val="24"/>
          <w:lang w:bidi="he-IL"/>
        </w:rPr>
        <w:t xml:space="preserve">In this instance as well, the </w:t>
      </w:r>
      <w:proofErr w:type="spellStart"/>
      <w:r w:rsidRPr="00AB7812">
        <w:rPr>
          <w:rFonts w:ascii="Arial" w:hAnsi="Arial" w:cs="Arial"/>
          <w:i/>
          <w:szCs w:val="24"/>
          <w:lang w:bidi="he-IL"/>
        </w:rPr>
        <w:t>Tosefta</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does not specify the actual ruling that appears in the Mishna, but simply explains it further. </w:t>
      </w:r>
    </w:p>
    <w:p w:rsidR="00E8332B" w:rsidRDefault="00E8332B" w:rsidP="00AB7812">
      <w:pPr>
        <w:pStyle w:val="ListParagraph"/>
        <w:jc w:val="both"/>
        <w:rPr>
          <w:rFonts w:ascii="Arial" w:hAnsi="Arial" w:cs="Arial"/>
          <w:szCs w:val="24"/>
          <w:lang w:bidi="he-IL"/>
        </w:rPr>
      </w:pPr>
    </w:p>
    <w:p w:rsidR="00E8332B" w:rsidRDefault="00E8332B" w:rsidP="00BC5E5F">
      <w:pPr>
        <w:pStyle w:val="ListParagraph"/>
        <w:numPr>
          <w:ilvl w:val="0"/>
          <w:numId w:val="3"/>
        </w:numPr>
        <w:jc w:val="both"/>
        <w:rPr>
          <w:rFonts w:ascii="Arial" w:hAnsi="Arial" w:cs="Arial"/>
          <w:szCs w:val="24"/>
          <w:lang w:bidi="he-IL"/>
        </w:rPr>
      </w:pPr>
      <w:r>
        <w:rPr>
          <w:rFonts w:ascii="Arial" w:hAnsi="Arial" w:cs="Arial"/>
          <w:szCs w:val="24"/>
          <w:lang w:bidi="he-IL"/>
        </w:rPr>
        <w:tab/>
      </w:r>
      <w:r w:rsidRPr="00AB7812">
        <w:rPr>
          <w:rFonts w:ascii="Arial" w:hAnsi="Arial" w:cs="Arial"/>
          <w:iCs/>
          <w:szCs w:val="24"/>
          <w:lang w:bidi="he-IL"/>
        </w:rPr>
        <w:t xml:space="preserve">Tractate </w:t>
      </w:r>
      <w:proofErr w:type="spellStart"/>
      <w:r w:rsidRPr="00AB7812">
        <w:rPr>
          <w:rFonts w:ascii="Arial" w:hAnsi="Arial" w:cs="Arial"/>
          <w:i/>
          <w:szCs w:val="24"/>
          <w:lang w:bidi="he-IL"/>
        </w:rPr>
        <w:t>Shekalim</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discusses the </w:t>
      </w:r>
      <w:proofErr w:type="spellStart"/>
      <w:r w:rsidRPr="00AB7812">
        <w:rPr>
          <w:rFonts w:ascii="Arial" w:hAnsi="Arial" w:cs="Arial"/>
          <w:iCs/>
          <w:szCs w:val="24"/>
          <w:lang w:bidi="he-IL"/>
        </w:rPr>
        <w:t>mitzva</w:t>
      </w:r>
      <w:proofErr w:type="spellEnd"/>
      <w:r w:rsidRPr="00AB7812">
        <w:rPr>
          <w:rFonts w:ascii="Arial" w:hAnsi="Arial" w:cs="Arial"/>
          <w:iCs/>
          <w:szCs w:val="24"/>
          <w:lang w:bidi="he-IL"/>
        </w:rPr>
        <w:t xml:space="preserve"> of </w:t>
      </w:r>
      <w:proofErr w:type="spellStart"/>
      <w:r w:rsidRPr="00AB7812">
        <w:rPr>
          <w:rFonts w:ascii="Arial" w:hAnsi="Arial" w:cs="Arial"/>
          <w:i/>
          <w:szCs w:val="24"/>
          <w:lang w:bidi="he-IL"/>
        </w:rPr>
        <w:t>machatzit</w:t>
      </w:r>
      <w:proofErr w:type="spellEnd"/>
      <w:r w:rsidRPr="00AB7812">
        <w:rPr>
          <w:rFonts w:ascii="Arial" w:hAnsi="Arial" w:cs="Arial"/>
          <w:i/>
          <w:szCs w:val="24"/>
          <w:lang w:bidi="he-IL"/>
        </w:rPr>
        <w:t xml:space="preserve"> ha</w:t>
      </w:r>
      <w:r w:rsidR="00E51325">
        <w:rPr>
          <w:rFonts w:ascii="Arial" w:hAnsi="Arial" w:cs="Arial"/>
          <w:i/>
          <w:szCs w:val="24"/>
          <w:lang w:bidi="he-IL"/>
        </w:rPr>
        <w:t>-</w:t>
      </w:r>
      <w:r w:rsidRPr="00AB7812">
        <w:rPr>
          <w:rFonts w:ascii="Arial" w:hAnsi="Arial" w:cs="Arial"/>
          <w:i/>
          <w:szCs w:val="24"/>
          <w:lang w:bidi="he-IL"/>
        </w:rPr>
        <w:t>shekel</w:t>
      </w:r>
      <w:r w:rsidRPr="00AB7812">
        <w:rPr>
          <w:rFonts w:ascii="Arial" w:hAnsi="Arial" w:cs="Arial"/>
          <w:iCs/>
          <w:szCs w:val="24"/>
          <w:lang w:bidi="he-IL"/>
        </w:rPr>
        <w:t xml:space="preserve">, whereby each individual is obligated to give a half-shekel to the Temple each year for the purpose of purchasing public offerings. The tractate elaborates on the administrative aspects of this </w:t>
      </w:r>
      <w:proofErr w:type="spellStart"/>
      <w:r w:rsidRPr="00AB7812">
        <w:rPr>
          <w:rFonts w:ascii="Arial" w:hAnsi="Arial" w:cs="Arial"/>
          <w:iCs/>
          <w:szCs w:val="24"/>
          <w:lang w:bidi="he-IL"/>
        </w:rPr>
        <w:t>mitzva</w:t>
      </w:r>
      <w:proofErr w:type="spellEnd"/>
      <w:r w:rsidRPr="00AB7812">
        <w:rPr>
          <w:rFonts w:ascii="Arial" w:hAnsi="Arial" w:cs="Arial"/>
          <w:iCs/>
          <w:szCs w:val="24"/>
          <w:lang w:bidi="he-IL"/>
        </w:rPr>
        <w:t xml:space="preserve"> in the Temple. Mishna </w:t>
      </w:r>
      <w:r w:rsidR="00E51325">
        <w:rPr>
          <w:rFonts w:ascii="Arial" w:hAnsi="Arial" w:cs="Arial"/>
          <w:iCs/>
          <w:szCs w:val="24"/>
          <w:lang w:bidi="he-IL"/>
        </w:rPr>
        <w:t>3:</w:t>
      </w:r>
      <w:r w:rsidRPr="00AB7812">
        <w:rPr>
          <w:rFonts w:ascii="Arial" w:hAnsi="Arial" w:cs="Arial"/>
          <w:iCs/>
          <w:szCs w:val="24"/>
          <w:lang w:bidi="he-IL"/>
        </w:rPr>
        <w:t xml:space="preserve">2 describes how the money assembled was placed in a chamber within three containers, each of which was the size </w:t>
      </w:r>
      <w:proofErr w:type="gramStart"/>
      <w:r w:rsidRPr="00AB7812">
        <w:rPr>
          <w:rFonts w:ascii="Arial" w:hAnsi="Arial" w:cs="Arial"/>
          <w:iCs/>
          <w:szCs w:val="24"/>
          <w:lang w:bidi="he-IL"/>
        </w:rPr>
        <w:t xml:space="preserve">of three </w:t>
      </w:r>
      <w:proofErr w:type="spellStart"/>
      <w:r w:rsidRPr="00AB7812">
        <w:rPr>
          <w:rFonts w:ascii="Arial" w:hAnsi="Arial" w:cs="Arial"/>
          <w:i/>
          <w:szCs w:val="24"/>
          <w:lang w:bidi="he-IL"/>
        </w:rPr>
        <w:t>se’a</w:t>
      </w:r>
      <w:proofErr w:type="spellEnd"/>
      <w:proofErr w:type="gramEnd"/>
      <w:r w:rsidRPr="00AB7812">
        <w:rPr>
          <w:rFonts w:ascii="Arial" w:hAnsi="Arial" w:cs="Arial"/>
          <w:i/>
          <w:szCs w:val="24"/>
          <w:lang w:bidi="he-IL"/>
        </w:rPr>
        <w:t xml:space="preserve">. </w:t>
      </w:r>
      <w:r w:rsidRPr="00AB7812">
        <w:rPr>
          <w:rFonts w:ascii="Arial" w:hAnsi="Arial" w:cs="Arial"/>
          <w:iCs/>
          <w:szCs w:val="24"/>
          <w:lang w:bidi="he-IL"/>
        </w:rPr>
        <w:t xml:space="preserve">The Mishna cites a dispute with regard to how each of the containers was marked: </w:t>
      </w:r>
    </w:p>
    <w:p w:rsidR="00E8332B" w:rsidRDefault="00E8332B" w:rsidP="00721A25">
      <w:pPr>
        <w:pStyle w:val="ListParagraph"/>
        <w:ind w:left="360"/>
        <w:jc w:val="both"/>
        <w:rPr>
          <w:rFonts w:ascii="Arial" w:hAnsi="Arial" w:cs="Arial"/>
          <w:szCs w:val="24"/>
          <w:lang w:bidi="he-IL"/>
        </w:rPr>
      </w:pPr>
    </w:p>
    <w:p w:rsidR="00E8332B" w:rsidRDefault="00E8332B" w:rsidP="00BC5E5F">
      <w:pPr>
        <w:pStyle w:val="ListParagraph"/>
        <w:ind w:left="1440"/>
        <w:jc w:val="both"/>
        <w:rPr>
          <w:rFonts w:ascii="Arial" w:hAnsi="Arial" w:cs="Arial"/>
          <w:iCs/>
          <w:szCs w:val="24"/>
          <w:lang w:bidi="he-IL"/>
        </w:rPr>
      </w:pPr>
      <w:r w:rsidRPr="00AB7812">
        <w:rPr>
          <w:rFonts w:ascii="Arial" w:hAnsi="Arial" w:cs="Arial"/>
          <w:iCs/>
          <w:szCs w:val="24"/>
          <w:lang w:bidi="he-IL"/>
        </w:rPr>
        <w:t xml:space="preserve">In three containers of three </w:t>
      </w:r>
      <w:proofErr w:type="spellStart"/>
      <w:r w:rsidRPr="00AB7812">
        <w:rPr>
          <w:rFonts w:ascii="Arial" w:hAnsi="Arial" w:cs="Arial"/>
          <w:i/>
          <w:szCs w:val="24"/>
          <w:lang w:bidi="he-IL"/>
        </w:rPr>
        <w:t>se’a</w:t>
      </w:r>
      <w:proofErr w:type="spellEnd"/>
      <w:r w:rsidRPr="00AB7812">
        <w:rPr>
          <w:rFonts w:ascii="Arial" w:hAnsi="Arial" w:cs="Arial"/>
          <w:i/>
          <w:szCs w:val="24"/>
          <w:lang w:bidi="he-IL"/>
        </w:rPr>
        <w:t xml:space="preserve"> </w:t>
      </w:r>
      <w:r w:rsidRPr="00AB7812">
        <w:rPr>
          <w:rFonts w:ascii="Arial" w:hAnsi="Arial" w:cs="Arial"/>
          <w:iCs/>
          <w:szCs w:val="24"/>
          <w:lang w:bidi="he-IL"/>
        </w:rPr>
        <w:t>each, the [</w:t>
      </w:r>
      <w:r w:rsidRPr="00AB7812">
        <w:rPr>
          <w:rFonts w:ascii="Arial" w:hAnsi="Arial" w:cs="Arial"/>
          <w:i/>
          <w:szCs w:val="24"/>
          <w:lang w:bidi="he-IL"/>
        </w:rPr>
        <w:t>shekel</w:t>
      </w:r>
      <w:r w:rsidRPr="00AB7812">
        <w:rPr>
          <w:rFonts w:ascii="Arial" w:hAnsi="Arial" w:cs="Arial"/>
          <w:iCs/>
          <w:szCs w:val="24"/>
          <w:lang w:bidi="he-IL"/>
        </w:rPr>
        <w:t xml:space="preserve">] was donated in the chamber; and on them was written </w:t>
      </w:r>
      <w:r w:rsidRPr="00AB7812">
        <w:rPr>
          <w:rFonts w:ascii="Arial" w:hAnsi="Arial" w:cs="Arial"/>
          <w:i/>
          <w:szCs w:val="24"/>
          <w:lang w:bidi="he-IL"/>
        </w:rPr>
        <w:t xml:space="preserve">aleph, bet, </w:t>
      </w:r>
      <w:proofErr w:type="spellStart"/>
      <w:r w:rsidRPr="00AB7812">
        <w:rPr>
          <w:rFonts w:ascii="Arial" w:hAnsi="Arial" w:cs="Arial"/>
          <w:i/>
          <w:szCs w:val="24"/>
          <w:lang w:bidi="he-IL"/>
        </w:rPr>
        <w:t>gimmel</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Rabbi </w:t>
      </w:r>
      <w:proofErr w:type="spellStart"/>
      <w:r w:rsidRPr="00AB7812">
        <w:rPr>
          <w:rFonts w:ascii="Arial" w:hAnsi="Arial" w:cs="Arial"/>
          <w:iCs/>
          <w:szCs w:val="24"/>
          <w:lang w:bidi="he-IL"/>
        </w:rPr>
        <w:t>Yishmael</w:t>
      </w:r>
      <w:proofErr w:type="spellEnd"/>
      <w:r w:rsidRPr="00AB7812">
        <w:rPr>
          <w:rFonts w:ascii="Arial" w:hAnsi="Arial" w:cs="Arial"/>
          <w:iCs/>
          <w:szCs w:val="24"/>
          <w:lang w:bidi="he-IL"/>
        </w:rPr>
        <w:t xml:space="preserve"> says: Greek was written on them: </w:t>
      </w:r>
      <w:r w:rsidR="00E51325">
        <w:rPr>
          <w:rFonts w:ascii="Arial" w:hAnsi="Arial" w:cs="Arial"/>
          <w:i/>
          <w:szCs w:val="24"/>
          <w:lang w:bidi="he-IL"/>
        </w:rPr>
        <w:t>a</w:t>
      </w:r>
      <w:r w:rsidR="00E51325" w:rsidRPr="00AB7812">
        <w:rPr>
          <w:rFonts w:ascii="Arial" w:hAnsi="Arial" w:cs="Arial"/>
          <w:i/>
          <w:szCs w:val="24"/>
          <w:lang w:bidi="he-IL"/>
        </w:rPr>
        <w:t>lpha</w:t>
      </w:r>
      <w:r w:rsidRPr="00AB7812">
        <w:rPr>
          <w:rFonts w:ascii="Arial" w:hAnsi="Arial" w:cs="Arial"/>
          <w:i/>
          <w:szCs w:val="24"/>
          <w:lang w:bidi="he-IL"/>
        </w:rPr>
        <w:t xml:space="preserve">, beta, </w:t>
      </w:r>
      <w:proofErr w:type="spellStart"/>
      <w:r w:rsidRPr="00AB7812">
        <w:rPr>
          <w:rFonts w:ascii="Arial" w:hAnsi="Arial" w:cs="Arial"/>
          <w:i/>
          <w:szCs w:val="24"/>
          <w:lang w:bidi="he-IL"/>
        </w:rPr>
        <w:t>gamla</w:t>
      </w:r>
      <w:proofErr w:type="spellEnd"/>
      <w:r w:rsidR="00E51325">
        <w:rPr>
          <w:rFonts w:ascii="Arial" w:hAnsi="Arial" w:cs="Arial"/>
          <w:i/>
          <w:szCs w:val="24"/>
          <w:lang w:bidi="he-IL"/>
        </w:rPr>
        <w:t xml:space="preserve"> </w:t>
      </w:r>
      <w:r w:rsidR="00E51325">
        <w:rPr>
          <w:rFonts w:ascii="Arial" w:hAnsi="Arial" w:cs="Arial"/>
          <w:iCs/>
          <w:szCs w:val="24"/>
          <w:lang w:bidi="he-IL"/>
        </w:rPr>
        <w:t>(sic)</w:t>
      </w:r>
      <w:r w:rsidRPr="00AB7812">
        <w:rPr>
          <w:rFonts w:ascii="Arial" w:hAnsi="Arial" w:cs="Arial"/>
          <w:i/>
          <w:szCs w:val="24"/>
          <w:lang w:bidi="he-IL"/>
        </w:rPr>
        <w:t>.</w:t>
      </w:r>
      <w:r w:rsidRPr="00AB7812">
        <w:rPr>
          <w:rFonts w:ascii="Arial" w:hAnsi="Arial" w:cs="Arial"/>
          <w:iCs/>
          <w:szCs w:val="24"/>
          <w:lang w:bidi="he-IL"/>
        </w:rPr>
        <w:t xml:space="preserve"> </w:t>
      </w:r>
    </w:p>
    <w:p w:rsidR="00E8332B" w:rsidRDefault="00E8332B" w:rsidP="00AB7812">
      <w:pPr>
        <w:pStyle w:val="ListParagraph"/>
        <w:jc w:val="both"/>
        <w:rPr>
          <w:rFonts w:ascii="Arial" w:hAnsi="Arial" w:cs="Arial"/>
          <w:iCs/>
          <w:szCs w:val="24"/>
          <w:lang w:bidi="he-IL"/>
        </w:rPr>
      </w:pPr>
    </w:p>
    <w:p w:rsidR="00E8332B" w:rsidRDefault="00E8332B" w:rsidP="00BC5E5F">
      <w:pPr>
        <w:pStyle w:val="ListParagraph"/>
        <w:jc w:val="both"/>
        <w:rPr>
          <w:rFonts w:ascii="Arial" w:hAnsi="Arial" w:cs="Arial"/>
          <w:iCs/>
          <w:szCs w:val="24"/>
          <w:lang w:bidi="he-IL"/>
        </w:rPr>
      </w:pPr>
      <w:r>
        <w:rPr>
          <w:rFonts w:ascii="Arial" w:hAnsi="Arial" w:cs="Arial"/>
          <w:iCs/>
          <w:szCs w:val="24"/>
          <w:lang w:bidi="he-IL"/>
        </w:rPr>
        <w:tab/>
      </w:r>
      <w:r w:rsidRPr="00AB7812">
        <w:rPr>
          <w:rFonts w:ascii="Arial" w:hAnsi="Arial" w:cs="Arial"/>
          <w:iCs/>
          <w:szCs w:val="24"/>
          <w:lang w:bidi="he-IL"/>
        </w:rPr>
        <w:t xml:space="preserve">Aside from citing </w:t>
      </w:r>
      <w:r w:rsidR="00E51325">
        <w:rPr>
          <w:rFonts w:ascii="Arial" w:hAnsi="Arial" w:cs="Arial"/>
          <w:iCs/>
          <w:szCs w:val="24"/>
          <w:lang w:bidi="he-IL"/>
        </w:rPr>
        <w:t>a factual disagreement regarding</w:t>
      </w:r>
      <w:r w:rsidRPr="00AB7812">
        <w:rPr>
          <w:rFonts w:ascii="Arial" w:hAnsi="Arial" w:cs="Arial"/>
          <w:iCs/>
          <w:szCs w:val="24"/>
          <w:lang w:bidi="he-IL"/>
        </w:rPr>
        <w:t xml:space="preserve"> whether they wrote in Hebrew or in Greek,</w:t>
      </w:r>
      <w:r w:rsidRPr="00AB7812">
        <w:rPr>
          <w:rStyle w:val="FootnoteReference"/>
          <w:rFonts w:ascii="Arial" w:hAnsi="Arial" w:cs="Arial"/>
          <w:iCs/>
          <w:szCs w:val="24"/>
          <w:lang w:bidi="he-IL"/>
        </w:rPr>
        <w:footnoteReference w:id="8"/>
      </w:r>
      <w:r w:rsidRPr="00AB7812">
        <w:rPr>
          <w:rFonts w:ascii="Arial" w:hAnsi="Arial" w:cs="Arial"/>
          <w:iCs/>
          <w:szCs w:val="24"/>
          <w:lang w:bidi="he-IL"/>
        </w:rPr>
        <w:t xml:space="preserve"> the Mishna does not offer any explanation </w:t>
      </w:r>
      <w:r w:rsidRPr="00AB7812">
        <w:rPr>
          <w:rFonts w:ascii="Arial" w:hAnsi="Arial" w:cs="Arial"/>
          <w:iCs/>
          <w:szCs w:val="24"/>
          <w:lang w:bidi="he-IL"/>
        </w:rPr>
        <w:lastRenderedPageBreak/>
        <w:t xml:space="preserve">why it was at all necessary to mark the containers. In the </w:t>
      </w:r>
      <w:proofErr w:type="spellStart"/>
      <w:r w:rsidRPr="00AB7812">
        <w:rPr>
          <w:rFonts w:ascii="Arial" w:hAnsi="Arial" w:cs="Arial"/>
          <w:i/>
          <w:szCs w:val="24"/>
          <w:lang w:bidi="he-IL"/>
        </w:rPr>
        <w:t>Tosefta</w:t>
      </w:r>
      <w:proofErr w:type="spellEnd"/>
      <w:r w:rsidRPr="00AB7812">
        <w:rPr>
          <w:rFonts w:ascii="Arial" w:hAnsi="Arial" w:cs="Arial"/>
          <w:i/>
          <w:szCs w:val="24"/>
          <w:lang w:bidi="he-IL"/>
        </w:rPr>
        <w:t xml:space="preserve"> </w:t>
      </w:r>
      <w:r w:rsidRPr="00AB7812">
        <w:rPr>
          <w:rFonts w:ascii="Arial" w:hAnsi="Arial" w:cs="Arial"/>
          <w:iCs/>
          <w:szCs w:val="24"/>
          <w:lang w:bidi="he-IL"/>
        </w:rPr>
        <w:t>(</w:t>
      </w:r>
      <w:proofErr w:type="spellStart"/>
      <w:r w:rsidRPr="00AB7812">
        <w:rPr>
          <w:rFonts w:ascii="Arial" w:hAnsi="Arial" w:cs="Arial"/>
          <w:i/>
          <w:szCs w:val="24"/>
          <w:lang w:bidi="he-IL"/>
        </w:rPr>
        <w:t>Shekalim</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chapter 2), though, there is an explanation given, without mention of the initial </w:t>
      </w:r>
      <w:r>
        <w:rPr>
          <w:rFonts w:ascii="Arial" w:hAnsi="Arial" w:cs="Arial"/>
          <w:iCs/>
          <w:szCs w:val="24"/>
          <w:lang w:bidi="he-IL"/>
        </w:rPr>
        <w:t>halakh</w:t>
      </w:r>
      <w:r w:rsidRPr="00AB7812">
        <w:rPr>
          <w:rFonts w:ascii="Arial" w:hAnsi="Arial" w:cs="Arial"/>
          <w:iCs/>
          <w:szCs w:val="24"/>
          <w:lang w:bidi="he-IL"/>
        </w:rPr>
        <w:t xml:space="preserve">a: </w:t>
      </w:r>
    </w:p>
    <w:p w:rsidR="00E8332B" w:rsidRDefault="00E8332B" w:rsidP="00AB7812">
      <w:pPr>
        <w:pStyle w:val="ListParagraph"/>
        <w:jc w:val="both"/>
        <w:rPr>
          <w:rFonts w:ascii="Arial" w:hAnsi="Arial" w:cs="Arial"/>
          <w:iCs/>
          <w:szCs w:val="24"/>
          <w:lang w:bidi="he-IL"/>
        </w:rPr>
      </w:pPr>
    </w:p>
    <w:p w:rsidR="00E8332B" w:rsidRDefault="00E8332B" w:rsidP="00AB7812">
      <w:pPr>
        <w:pStyle w:val="ListParagraph"/>
        <w:ind w:left="1440"/>
        <w:jc w:val="both"/>
        <w:rPr>
          <w:rFonts w:ascii="Arial" w:hAnsi="Arial" w:cs="Arial"/>
          <w:iCs/>
          <w:szCs w:val="24"/>
          <w:lang w:bidi="he-IL"/>
        </w:rPr>
      </w:pPr>
      <w:r w:rsidRPr="00AB7812">
        <w:rPr>
          <w:rFonts w:ascii="Arial" w:hAnsi="Arial" w:cs="Arial"/>
          <w:iCs/>
          <w:szCs w:val="24"/>
          <w:lang w:bidi="he-IL"/>
        </w:rPr>
        <w:t xml:space="preserve">Why do they write </w:t>
      </w:r>
      <w:r w:rsidRPr="00AB7812">
        <w:rPr>
          <w:rFonts w:ascii="Arial" w:hAnsi="Arial" w:cs="Arial"/>
          <w:i/>
          <w:szCs w:val="24"/>
          <w:lang w:bidi="he-IL"/>
        </w:rPr>
        <w:t xml:space="preserve">aleph, bet, </w:t>
      </w:r>
      <w:r w:rsidRPr="00AB7812">
        <w:rPr>
          <w:rFonts w:ascii="Arial" w:hAnsi="Arial" w:cs="Arial"/>
          <w:iCs/>
          <w:szCs w:val="24"/>
          <w:lang w:bidi="he-IL"/>
        </w:rPr>
        <w:t xml:space="preserve">and </w:t>
      </w:r>
      <w:proofErr w:type="spellStart"/>
      <w:r w:rsidRPr="00AB7812">
        <w:rPr>
          <w:rFonts w:ascii="Arial" w:hAnsi="Arial" w:cs="Arial"/>
          <w:i/>
          <w:szCs w:val="24"/>
          <w:lang w:bidi="he-IL"/>
        </w:rPr>
        <w:t>gimmel</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on the containers? Because they first removed from the first; when the first was complete, they removed from the second; when the second was complete, they removed from the third. </w:t>
      </w:r>
    </w:p>
    <w:p w:rsidR="00E8332B" w:rsidRDefault="00E8332B" w:rsidP="00AB7812">
      <w:pPr>
        <w:pStyle w:val="ListParagraph"/>
        <w:ind w:left="1440"/>
        <w:jc w:val="both"/>
        <w:rPr>
          <w:rFonts w:ascii="Arial" w:hAnsi="Arial" w:cs="Arial"/>
          <w:iCs/>
          <w:szCs w:val="24"/>
          <w:lang w:bidi="he-IL"/>
        </w:rPr>
      </w:pPr>
    </w:p>
    <w:p w:rsidR="00E8332B" w:rsidRDefault="00E8332B" w:rsidP="00AB7812">
      <w:pPr>
        <w:pStyle w:val="ListParagraph"/>
        <w:jc w:val="both"/>
        <w:rPr>
          <w:rFonts w:ascii="Arial" w:hAnsi="Arial" w:cs="Arial"/>
          <w:szCs w:val="24"/>
          <w:lang w:bidi="he-IL"/>
        </w:rPr>
      </w:pPr>
      <w:r w:rsidRPr="00AB7812">
        <w:rPr>
          <w:rFonts w:ascii="Arial" w:hAnsi="Arial" w:cs="Arial"/>
          <w:iCs/>
          <w:szCs w:val="24"/>
          <w:lang w:bidi="he-IL"/>
        </w:rPr>
        <w:t xml:space="preserve">The </w:t>
      </w:r>
      <w:proofErr w:type="spellStart"/>
      <w:r w:rsidRPr="00AB7812">
        <w:rPr>
          <w:rFonts w:ascii="Arial" w:hAnsi="Arial" w:cs="Arial"/>
          <w:i/>
          <w:szCs w:val="24"/>
          <w:lang w:bidi="he-IL"/>
        </w:rPr>
        <w:t>Tosefta</w:t>
      </w:r>
      <w:proofErr w:type="spellEnd"/>
      <w:r w:rsidRPr="00AB7812">
        <w:rPr>
          <w:rFonts w:ascii="Arial" w:hAnsi="Arial" w:cs="Arial"/>
          <w:i/>
          <w:szCs w:val="24"/>
          <w:lang w:bidi="he-IL"/>
        </w:rPr>
        <w:t xml:space="preserve"> </w:t>
      </w:r>
      <w:r w:rsidRPr="00AB7812">
        <w:rPr>
          <w:rFonts w:ascii="Arial" w:hAnsi="Arial" w:cs="Arial"/>
          <w:iCs/>
          <w:szCs w:val="24"/>
          <w:lang w:bidi="he-IL"/>
        </w:rPr>
        <w:t xml:space="preserve">here explains the ruling of the Mishna that the containers must be marked by saying that only after concluding the removal of the money from the first, would they begin to remove from the second, and so on. </w:t>
      </w:r>
    </w:p>
    <w:p w:rsidR="00E8332B" w:rsidRDefault="00E8332B" w:rsidP="00AB7812">
      <w:pPr>
        <w:pStyle w:val="ListParagraph"/>
        <w:jc w:val="both"/>
        <w:rPr>
          <w:rFonts w:ascii="Arial" w:hAnsi="Arial" w:cs="Arial"/>
          <w:szCs w:val="24"/>
          <w:lang w:bidi="he-IL"/>
        </w:rPr>
      </w:pPr>
    </w:p>
    <w:p w:rsidR="00E8332B" w:rsidRPr="00AB7812" w:rsidRDefault="00E8332B" w:rsidP="00AB7812">
      <w:pPr>
        <w:jc w:val="both"/>
        <w:rPr>
          <w:rFonts w:ascii="Arial" w:hAnsi="Arial" w:cs="Arial"/>
          <w:b/>
          <w:bCs/>
          <w:i/>
          <w:lang w:bidi="he-IL"/>
        </w:rPr>
      </w:pPr>
      <w:r w:rsidRPr="00AB7812">
        <w:rPr>
          <w:rFonts w:ascii="Arial" w:hAnsi="Arial" w:cs="Arial"/>
          <w:b/>
          <w:bCs/>
          <w:iCs/>
          <w:lang w:bidi="he-IL"/>
        </w:rPr>
        <w:t xml:space="preserve">Explanations of the Mishna in </w:t>
      </w:r>
      <w:proofErr w:type="spellStart"/>
      <w:r w:rsidRPr="00AB7812">
        <w:rPr>
          <w:rFonts w:ascii="Arial" w:hAnsi="Arial" w:cs="Arial"/>
          <w:b/>
          <w:bCs/>
          <w:i/>
          <w:lang w:bidi="he-IL"/>
        </w:rPr>
        <w:t>baraitot</w:t>
      </w:r>
      <w:proofErr w:type="spellEnd"/>
    </w:p>
    <w:p w:rsidR="00E8332B" w:rsidRDefault="00E8332B" w:rsidP="00AB7812">
      <w:pPr>
        <w:jc w:val="both"/>
        <w:rPr>
          <w:rFonts w:ascii="Arial" w:hAnsi="Arial" w:cs="Arial"/>
          <w:iCs/>
          <w:lang w:bidi="he-IL"/>
        </w:rPr>
      </w:pPr>
    </w:p>
    <w:p w:rsidR="00E8332B" w:rsidRDefault="00E8332B" w:rsidP="00BC5E5F">
      <w:pPr>
        <w:ind w:firstLine="720"/>
        <w:jc w:val="both"/>
        <w:rPr>
          <w:rFonts w:ascii="Arial" w:hAnsi="Arial" w:cs="Arial"/>
          <w:iCs/>
          <w:lang w:bidi="he-IL"/>
        </w:rPr>
      </w:pPr>
      <w:r w:rsidRPr="00AB7812">
        <w:rPr>
          <w:rFonts w:ascii="Arial" w:hAnsi="Arial" w:cs="Arial"/>
          <w:iCs/>
          <w:lang w:bidi="he-IL"/>
        </w:rPr>
        <w:t xml:space="preserve">Let us conclude this </w:t>
      </w:r>
      <w:r w:rsidR="004D6B5D">
        <w:rPr>
          <w:rFonts w:ascii="Arial" w:hAnsi="Arial" w:cs="Arial"/>
          <w:i/>
          <w:lang w:bidi="he-IL"/>
        </w:rPr>
        <w:t>shiur</w:t>
      </w:r>
      <w:r w:rsidR="004D6B5D" w:rsidRPr="00AB7812">
        <w:rPr>
          <w:rFonts w:ascii="Arial" w:hAnsi="Arial" w:cs="Arial"/>
          <w:iCs/>
          <w:lang w:bidi="he-IL"/>
        </w:rPr>
        <w:t xml:space="preserve"> </w:t>
      </w:r>
      <w:r w:rsidRPr="00AB7812">
        <w:rPr>
          <w:rFonts w:ascii="Arial" w:hAnsi="Arial" w:cs="Arial"/>
          <w:iCs/>
          <w:lang w:bidi="he-IL"/>
        </w:rPr>
        <w:t xml:space="preserve">by noting that there are many </w:t>
      </w:r>
      <w:proofErr w:type="spellStart"/>
      <w:r w:rsidRPr="00AB7812">
        <w:rPr>
          <w:rFonts w:ascii="Arial" w:hAnsi="Arial" w:cs="Arial"/>
          <w:i/>
          <w:lang w:bidi="he-IL"/>
        </w:rPr>
        <w:t>baraitot</w:t>
      </w:r>
      <w:proofErr w:type="spellEnd"/>
      <w:r w:rsidRPr="00AB7812">
        <w:rPr>
          <w:rFonts w:ascii="Arial" w:hAnsi="Arial" w:cs="Arial"/>
          <w:i/>
          <w:lang w:bidi="he-IL"/>
        </w:rPr>
        <w:t xml:space="preserve"> </w:t>
      </w:r>
      <w:r w:rsidRPr="00AB7812">
        <w:rPr>
          <w:rFonts w:ascii="Arial" w:hAnsi="Arial" w:cs="Arial"/>
          <w:iCs/>
          <w:lang w:bidi="he-IL"/>
        </w:rPr>
        <w:t xml:space="preserve">cited in the </w:t>
      </w:r>
      <w:proofErr w:type="spellStart"/>
      <w:r w:rsidRPr="00AB7812">
        <w:rPr>
          <w:rFonts w:ascii="Arial" w:hAnsi="Arial" w:cs="Arial"/>
          <w:iCs/>
          <w:lang w:bidi="he-IL"/>
        </w:rPr>
        <w:t>Gemara</w:t>
      </w:r>
      <w:proofErr w:type="spellEnd"/>
      <w:r w:rsidRPr="00AB7812">
        <w:rPr>
          <w:rFonts w:ascii="Arial" w:hAnsi="Arial" w:cs="Arial"/>
          <w:iCs/>
          <w:lang w:bidi="he-IL"/>
        </w:rPr>
        <w:t xml:space="preserve"> that also appear to have been authored as an explanation to the Mishna. </w:t>
      </w:r>
      <w:proofErr w:type="spellStart"/>
      <w:r w:rsidRPr="00AB7812">
        <w:rPr>
          <w:rFonts w:ascii="Arial" w:hAnsi="Arial" w:cs="Arial"/>
          <w:iCs/>
          <w:lang w:bidi="he-IL"/>
        </w:rPr>
        <w:t>Chanoch</w:t>
      </w:r>
      <w:proofErr w:type="spellEnd"/>
      <w:r w:rsidRPr="00AB7812">
        <w:rPr>
          <w:rFonts w:ascii="Arial" w:hAnsi="Arial" w:cs="Arial"/>
          <w:iCs/>
          <w:lang w:bidi="he-IL"/>
        </w:rPr>
        <w:t xml:space="preserve"> </w:t>
      </w:r>
      <w:proofErr w:type="spellStart"/>
      <w:r w:rsidRPr="00AB7812">
        <w:rPr>
          <w:rFonts w:ascii="Arial" w:hAnsi="Arial" w:cs="Arial"/>
          <w:iCs/>
          <w:lang w:bidi="he-IL"/>
        </w:rPr>
        <w:t>Albeck</w:t>
      </w:r>
      <w:proofErr w:type="spellEnd"/>
      <w:r w:rsidRPr="00AB7812">
        <w:rPr>
          <w:rStyle w:val="FootnoteReference"/>
          <w:rFonts w:ascii="Arial" w:hAnsi="Arial" w:cs="Arial"/>
          <w:iCs/>
          <w:lang w:bidi="he-IL"/>
        </w:rPr>
        <w:footnoteReference w:id="9"/>
      </w:r>
      <w:r w:rsidRPr="00AB7812">
        <w:rPr>
          <w:rFonts w:ascii="Arial" w:hAnsi="Arial" w:cs="Arial"/>
          <w:iCs/>
          <w:lang w:bidi="he-IL"/>
        </w:rPr>
        <w:t xml:space="preserve"> points to the </w:t>
      </w:r>
      <w:proofErr w:type="spellStart"/>
      <w:r w:rsidRPr="00AB7812">
        <w:rPr>
          <w:rFonts w:ascii="Arial" w:hAnsi="Arial" w:cs="Arial"/>
          <w:i/>
          <w:lang w:bidi="he-IL"/>
        </w:rPr>
        <w:t>baraitot</w:t>
      </w:r>
      <w:proofErr w:type="spellEnd"/>
      <w:r w:rsidRPr="00AB7812">
        <w:rPr>
          <w:rFonts w:ascii="Arial" w:hAnsi="Arial" w:cs="Arial"/>
          <w:i/>
          <w:lang w:bidi="he-IL"/>
        </w:rPr>
        <w:t xml:space="preserve"> </w:t>
      </w:r>
      <w:r w:rsidRPr="00AB7812">
        <w:rPr>
          <w:rFonts w:ascii="Arial" w:hAnsi="Arial" w:cs="Arial"/>
          <w:iCs/>
          <w:lang w:bidi="he-IL"/>
        </w:rPr>
        <w:t xml:space="preserve">of Rabbi </w:t>
      </w:r>
      <w:proofErr w:type="spellStart"/>
      <w:r w:rsidRPr="00AB7812">
        <w:rPr>
          <w:rFonts w:ascii="Arial" w:hAnsi="Arial" w:cs="Arial"/>
          <w:iCs/>
          <w:lang w:bidi="he-IL"/>
        </w:rPr>
        <w:t>Yishmael</w:t>
      </w:r>
      <w:proofErr w:type="spellEnd"/>
      <w:r w:rsidRPr="00AB7812">
        <w:rPr>
          <w:rFonts w:ascii="Arial" w:hAnsi="Arial" w:cs="Arial"/>
          <w:iCs/>
          <w:lang w:bidi="he-IL"/>
        </w:rPr>
        <w:t xml:space="preserve"> as examples of this, from which we will cite one case</w:t>
      </w:r>
      <w:r w:rsidR="004D6B5D">
        <w:rPr>
          <w:rFonts w:ascii="Arial" w:hAnsi="Arial" w:cs="Arial"/>
          <w:iCs/>
          <w:lang w:bidi="he-IL"/>
        </w:rPr>
        <w:t>.</w:t>
      </w:r>
      <w:r w:rsidR="004D6B5D" w:rsidRPr="00AB7812">
        <w:rPr>
          <w:rFonts w:ascii="Arial" w:hAnsi="Arial" w:cs="Arial"/>
          <w:iCs/>
          <w:lang w:bidi="he-IL"/>
        </w:rPr>
        <w:t xml:space="preserve"> </w:t>
      </w:r>
      <w:r w:rsidRPr="00AB7812">
        <w:rPr>
          <w:rFonts w:ascii="Arial" w:hAnsi="Arial" w:cs="Arial"/>
          <w:iCs/>
          <w:lang w:bidi="he-IL"/>
        </w:rPr>
        <w:t xml:space="preserve">The Mishna </w:t>
      </w:r>
      <w:r w:rsidRPr="00102D4A">
        <w:rPr>
          <w:rFonts w:ascii="Arial" w:hAnsi="Arial" w:cs="Arial"/>
          <w:iCs/>
          <w:lang w:bidi="he-IL"/>
        </w:rPr>
        <w:t>(</w:t>
      </w:r>
      <w:proofErr w:type="spellStart"/>
      <w:r w:rsidRPr="00AB7812">
        <w:rPr>
          <w:rFonts w:ascii="Arial" w:hAnsi="Arial" w:cs="Arial"/>
          <w:i/>
          <w:lang w:bidi="he-IL"/>
        </w:rPr>
        <w:t>Yoma</w:t>
      </w:r>
      <w:proofErr w:type="spellEnd"/>
      <w:r w:rsidRPr="00AB7812">
        <w:rPr>
          <w:rFonts w:ascii="Arial" w:hAnsi="Arial" w:cs="Arial"/>
          <w:i/>
          <w:lang w:bidi="he-IL"/>
        </w:rPr>
        <w:t xml:space="preserve"> </w:t>
      </w:r>
      <w:r w:rsidRPr="00AB7812">
        <w:rPr>
          <w:rFonts w:ascii="Arial" w:hAnsi="Arial" w:cs="Arial"/>
          <w:iCs/>
          <w:lang w:bidi="he-IL"/>
        </w:rPr>
        <w:t xml:space="preserve">chapters 3-4) describes the two confessions that the High Priest effected on Yom Kippur upon the bull that he was obligated to bring. According to the Mishna, in the first confession he states: “I and my household have sinned before You,” while in the second he states:  “I and my household and the sons of Aharon your holy people have sinned before You.” The </w:t>
      </w:r>
      <w:proofErr w:type="spellStart"/>
      <w:r w:rsidRPr="00AB7812">
        <w:rPr>
          <w:rFonts w:ascii="Arial" w:hAnsi="Arial" w:cs="Arial"/>
          <w:iCs/>
          <w:lang w:bidi="he-IL"/>
        </w:rPr>
        <w:t>Gemara</w:t>
      </w:r>
      <w:proofErr w:type="spellEnd"/>
      <w:r w:rsidRPr="00AB7812">
        <w:rPr>
          <w:rFonts w:ascii="Arial" w:hAnsi="Arial" w:cs="Arial"/>
          <w:iCs/>
          <w:lang w:bidi="he-IL"/>
        </w:rPr>
        <w:t xml:space="preserve"> (</w:t>
      </w:r>
      <w:proofErr w:type="spellStart"/>
      <w:r w:rsidRPr="00AB7812">
        <w:rPr>
          <w:rFonts w:ascii="Arial" w:hAnsi="Arial" w:cs="Arial"/>
          <w:i/>
          <w:lang w:bidi="he-IL"/>
        </w:rPr>
        <w:t>Yoma</w:t>
      </w:r>
      <w:proofErr w:type="spellEnd"/>
      <w:r w:rsidRPr="00AB7812">
        <w:rPr>
          <w:rFonts w:ascii="Arial" w:hAnsi="Arial" w:cs="Arial"/>
          <w:i/>
          <w:lang w:bidi="he-IL"/>
        </w:rPr>
        <w:t xml:space="preserve"> </w:t>
      </w:r>
      <w:r w:rsidRPr="00AB7812">
        <w:rPr>
          <w:rFonts w:ascii="Arial" w:hAnsi="Arial" w:cs="Arial"/>
          <w:iCs/>
          <w:lang w:bidi="he-IL"/>
        </w:rPr>
        <w:t xml:space="preserve">43b) inquires as to the difference between the two confessions, and cites a </w:t>
      </w:r>
      <w:proofErr w:type="spellStart"/>
      <w:r w:rsidRPr="00AB7812">
        <w:rPr>
          <w:rFonts w:ascii="Arial" w:hAnsi="Arial" w:cs="Arial"/>
          <w:i/>
          <w:lang w:bidi="he-IL"/>
        </w:rPr>
        <w:t>baraita</w:t>
      </w:r>
      <w:proofErr w:type="spellEnd"/>
      <w:r w:rsidRPr="00AB7812">
        <w:rPr>
          <w:rFonts w:ascii="Arial" w:hAnsi="Arial" w:cs="Arial"/>
          <w:i/>
          <w:lang w:bidi="he-IL"/>
        </w:rPr>
        <w:t xml:space="preserve"> </w:t>
      </w:r>
      <w:r w:rsidRPr="00AB7812">
        <w:rPr>
          <w:rFonts w:ascii="Arial" w:hAnsi="Arial" w:cs="Arial"/>
          <w:iCs/>
          <w:lang w:bidi="he-IL"/>
        </w:rPr>
        <w:t xml:space="preserve">that answers the question as follows: </w:t>
      </w:r>
    </w:p>
    <w:p w:rsidR="00E8332B" w:rsidRDefault="00E8332B" w:rsidP="00AB7812">
      <w:pPr>
        <w:jc w:val="both"/>
        <w:rPr>
          <w:rFonts w:ascii="Arial" w:hAnsi="Arial" w:cs="Arial"/>
          <w:iCs/>
          <w:lang w:bidi="he-IL"/>
        </w:rPr>
      </w:pPr>
    </w:p>
    <w:p w:rsidR="00E8332B" w:rsidRDefault="00E8332B" w:rsidP="00AB7812">
      <w:pPr>
        <w:ind w:left="720"/>
        <w:jc w:val="both"/>
        <w:rPr>
          <w:rFonts w:ascii="Arial" w:hAnsi="Arial" w:cs="Arial"/>
          <w:iCs/>
          <w:lang w:bidi="he-IL"/>
        </w:rPr>
      </w:pPr>
      <w:r w:rsidRPr="00AB7812">
        <w:rPr>
          <w:rFonts w:ascii="Arial" w:hAnsi="Arial" w:cs="Arial"/>
          <w:iCs/>
          <w:lang w:bidi="he-IL"/>
        </w:rPr>
        <w:t>He came to his second bull. What is the difference between the first confession, where it does not say</w:t>
      </w:r>
      <w:r w:rsidR="004D6B5D">
        <w:rPr>
          <w:rFonts w:ascii="Arial" w:hAnsi="Arial" w:cs="Arial"/>
          <w:iCs/>
          <w:lang w:bidi="he-IL"/>
        </w:rPr>
        <w:t>,</w:t>
      </w:r>
      <w:r w:rsidRPr="00AB7812">
        <w:rPr>
          <w:rFonts w:ascii="Arial" w:hAnsi="Arial" w:cs="Arial"/>
          <w:iCs/>
          <w:lang w:bidi="he-IL"/>
        </w:rPr>
        <w:t xml:space="preserve"> “And the sons of Aharon, your holy people,” and the second confession, where it says</w:t>
      </w:r>
      <w:r w:rsidR="004D6B5D">
        <w:rPr>
          <w:rFonts w:ascii="Arial" w:hAnsi="Arial" w:cs="Arial"/>
          <w:iCs/>
          <w:lang w:bidi="he-IL"/>
        </w:rPr>
        <w:t>,</w:t>
      </w:r>
      <w:r w:rsidRPr="00AB7812">
        <w:rPr>
          <w:rFonts w:ascii="Arial" w:hAnsi="Arial" w:cs="Arial"/>
          <w:iCs/>
          <w:lang w:bidi="he-IL"/>
        </w:rPr>
        <w:t xml:space="preserve"> “And the sons of Aharon, your holy people?” The academy of Rabbi </w:t>
      </w:r>
      <w:proofErr w:type="spellStart"/>
      <w:r w:rsidRPr="00AB7812">
        <w:rPr>
          <w:rFonts w:ascii="Arial" w:hAnsi="Arial" w:cs="Arial"/>
          <w:iCs/>
          <w:lang w:bidi="he-IL"/>
        </w:rPr>
        <w:t>Yishmael</w:t>
      </w:r>
      <w:proofErr w:type="spellEnd"/>
      <w:r w:rsidRPr="00AB7812">
        <w:rPr>
          <w:rFonts w:ascii="Arial" w:hAnsi="Arial" w:cs="Arial"/>
          <w:iCs/>
          <w:lang w:bidi="he-IL"/>
        </w:rPr>
        <w:t xml:space="preserve"> taught: This is what the attribute of justice dictates: It is better that the meritorious should come and atone for one who is liable, and  one who is liable should not come and atone for one who is liable.</w:t>
      </w:r>
    </w:p>
    <w:p w:rsidR="00E8332B" w:rsidRDefault="00E8332B" w:rsidP="00AB7812">
      <w:pPr>
        <w:ind w:left="720"/>
        <w:jc w:val="both"/>
        <w:rPr>
          <w:rFonts w:ascii="Arial" w:hAnsi="Arial" w:cs="Arial"/>
          <w:iCs/>
          <w:lang w:bidi="he-IL"/>
        </w:rPr>
      </w:pPr>
    </w:p>
    <w:p w:rsidR="00E8332B" w:rsidRDefault="00E8332B" w:rsidP="00AB7812">
      <w:pPr>
        <w:jc w:val="both"/>
        <w:rPr>
          <w:rFonts w:ascii="Arial" w:hAnsi="Arial" w:cs="Arial"/>
          <w:iCs/>
          <w:lang w:bidi="he-IL"/>
        </w:rPr>
      </w:pPr>
      <w:r>
        <w:rPr>
          <w:rFonts w:ascii="Arial" w:hAnsi="Arial" w:cs="Arial"/>
          <w:iCs/>
          <w:lang w:bidi="he-IL"/>
        </w:rPr>
        <w:tab/>
      </w:r>
      <w:proofErr w:type="spellStart"/>
      <w:r w:rsidRPr="00AB7812">
        <w:rPr>
          <w:rFonts w:ascii="Arial" w:hAnsi="Arial" w:cs="Arial"/>
          <w:iCs/>
          <w:lang w:bidi="he-IL"/>
        </w:rPr>
        <w:t>Albeck</w:t>
      </w:r>
      <w:proofErr w:type="spellEnd"/>
      <w:r w:rsidRPr="00AB7812">
        <w:rPr>
          <w:rFonts w:ascii="Arial" w:hAnsi="Arial" w:cs="Arial"/>
          <w:iCs/>
          <w:lang w:bidi="he-IL"/>
        </w:rPr>
        <w:t xml:space="preserve"> sees this </w:t>
      </w:r>
      <w:proofErr w:type="spellStart"/>
      <w:r w:rsidRPr="00AB7812">
        <w:rPr>
          <w:rFonts w:ascii="Arial" w:hAnsi="Arial" w:cs="Arial"/>
          <w:i/>
          <w:lang w:bidi="he-IL"/>
        </w:rPr>
        <w:t>baraita</w:t>
      </w:r>
      <w:proofErr w:type="spellEnd"/>
      <w:r w:rsidRPr="00AB7812">
        <w:rPr>
          <w:rFonts w:ascii="Arial" w:hAnsi="Arial" w:cs="Arial"/>
          <w:i/>
          <w:lang w:bidi="he-IL"/>
        </w:rPr>
        <w:t xml:space="preserve"> </w:t>
      </w:r>
      <w:r w:rsidRPr="00AB7812">
        <w:rPr>
          <w:rFonts w:ascii="Arial" w:hAnsi="Arial" w:cs="Arial"/>
          <w:iCs/>
          <w:lang w:bidi="he-IL"/>
        </w:rPr>
        <w:t xml:space="preserve">as being an interpretation of the Mishna. However, we should note that it is theoretically possible that the </w:t>
      </w:r>
      <w:proofErr w:type="spellStart"/>
      <w:r w:rsidRPr="00AB7812">
        <w:rPr>
          <w:rFonts w:ascii="Arial" w:hAnsi="Arial" w:cs="Arial"/>
          <w:i/>
          <w:lang w:bidi="he-IL"/>
        </w:rPr>
        <w:t>baraita</w:t>
      </w:r>
      <w:proofErr w:type="spellEnd"/>
      <w:r w:rsidRPr="00AB7812">
        <w:rPr>
          <w:rFonts w:ascii="Arial" w:hAnsi="Arial" w:cs="Arial"/>
          <w:i/>
          <w:lang w:bidi="he-IL"/>
        </w:rPr>
        <w:t xml:space="preserve"> </w:t>
      </w:r>
      <w:r w:rsidRPr="00AB7812">
        <w:rPr>
          <w:rFonts w:ascii="Arial" w:hAnsi="Arial" w:cs="Arial"/>
          <w:iCs/>
          <w:lang w:bidi="he-IL"/>
        </w:rPr>
        <w:t xml:space="preserve">was stated in </w:t>
      </w:r>
      <w:r w:rsidRPr="00AB7812">
        <w:rPr>
          <w:rFonts w:ascii="Arial" w:hAnsi="Arial" w:cs="Arial"/>
          <w:iCs/>
          <w:lang w:bidi="he-IL"/>
        </w:rPr>
        <w:t xml:space="preserve">a different context, but the </w:t>
      </w:r>
      <w:proofErr w:type="spellStart"/>
      <w:r w:rsidRPr="00AB7812">
        <w:rPr>
          <w:rFonts w:ascii="Arial" w:hAnsi="Arial" w:cs="Arial"/>
          <w:iCs/>
          <w:lang w:bidi="he-IL"/>
        </w:rPr>
        <w:t>Gemara</w:t>
      </w:r>
      <w:proofErr w:type="spellEnd"/>
      <w:r w:rsidRPr="00AB7812">
        <w:rPr>
          <w:rFonts w:ascii="Arial" w:hAnsi="Arial" w:cs="Arial"/>
          <w:iCs/>
          <w:lang w:bidi="he-IL"/>
        </w:rPr>
        <w:t xml:space="preserve"> utilized the principle mentioned therein in order to explain the Mishna under discussion.</w:t>
      </w:r>
      <w:r>
        <w:rPr>
          <w:rFonts w:ascii="Arial" w:hAnsi="Arial" w:cs="Arial"/>
          <w:iCs/>
          <w:lang w:bidi="he-IL"/>
        </w:rPr>
        <w:t xml:space="preserve">  </w:t>
      </w:r>
    </w:p>
    <w:p w:rsidR="00D778A2" w:rsidRDefault="00D778A2" w:rsidP="00AB7812">
      <w:pPr>
        <w:jc w:val="both"/>
        <w:rPr>
          <w:rFonts w:ascii="Arial" w:hAnsi="Arial" w:cs="Arial"/>
          <w:iCs/>
          <w:lang w:bidi="he-IL"/>
        </w:rPr>
      </w:pPr>
    </w:p>
    <w:p w:rsidR="00D778A2" w:rsidRDefault="00D778A2" w:rsidP="00AB7812">
      <w:pPr>
        <w:jc w:val="both"/>
        <w:rPr>
          <w:rFonts w:ascii="Arial" w:hAnsi="Arial" w:cs="Arial"/>
          <w:iCs/>
          <w:lang w:bidi="he-IL"/>
        </w:rPr>
      </w:pPr>
      <w:bookmarkStart w:id="0" w:name="_GoBack"/>
      <w:r>
        <w:rPr>
          <w:rFonts w:ascii="Arial" w:hAnsi="Arial" w:cs="Arial"/>
          <w:iCs/>
          <w:lang w:bidi="he-IL"/>
        </w:rPr>
        <w:t xml:space="preserve">(Translated by Eli </w:t>
      </w:r>
      <w:proofErr w:type="spellStart"/>
      <w:r>
        <w:rPr>
          <w:rFonts w:ascii="Arial" w:hAnsi="Arial" w:cs="Arial"/>
          <w:iCs/>
          <w:lang w:bidi="he-IL"/>
        </w:rPr>
        <w:t>Ozarowski</w:t>
      </w:r>
      <w:proofErr w:type="spellEnd"/>
      <w:r>
        <w:rPr>
          <w:rFonts w:ascii="Arial" w:hAnsi="Arial" w:cs="Arial"/>
          <w:iCs/>
          <w:lang w:bidi="he-IL"/>
        </w:rPr>
        <w:t>)</w:t>
      </w:r>
    </w:p>
    <w:bookmarkEnd w:id="0"/>
    <w:p w:rsidR="00D778A2" w:rsidRPr="00AB7812" w:rsidRDefault="00D778A2" w:rsidP="00AB7812">
      <w:pPr>
        <w:jc w:val="both"/>
        <w:rPr>
          <w:rFonts w:ascii="Arial" w:hAnsi="Arial" w:cs="Arial"/>
          <w:lang w:bidi="he-IL"/>
        </w:rPr>
      </w:pPr>
    </w:p>
    <w:sectPr w:rsidR="00D778A2" w:rsidRPr="00AB7812" w:rsidSect="00AB78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8C" w:rsidRDefault="002D238C" w:rsidP="00491963">
      <w:pPr>
        <w:rPr>
          <w:lang w:bidi="he-IL"/>
        </w:rPr>
      </w:pPr>
      <w:r>
        <w:rPr>
          <w:lang w:bidi="he-IL"/>
        </w:rPr>
        <w:separator/>
      </w:r>
    </w:p>
  </w:endnote>
  <w:endnote w:type="continuationSeparator" w:id="0">
    <w:p w:rsidR="002D238C" w:rsidRDefault="002D238C" w:rsidP="00491963">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8C" w:rsidRDefault="002D238C" w:rsidP="00491963">
      <w:pPr>
        <w:rPr>
          <w:lang w:bidi="he-IL"/>
        </w:rPr>
      </w:pPr>
      <w:r>
        <w:rPr>
          <w:lang w:bidi="he-IL"/>
        </w:rPr>
        <w:separator/>
      </w:r>
    </w:p>
  </w:footnote>
  <w:footnote w:type="continuationSeparator" w:id="0">
    <w:p w:rsidR="002D238C" w:rsidRDefault="002D238C" w:rsidP="00491963">
      <w:pPr>
        <w:rPr>
          <w:lang w:bidi="he-IL"/>
        </w:rPr>
      </w:pPr>
      <w:r>
        <w:rPr>
          <w:lang w:bidi="he-IL"/>
        </w:rPr>
        <w:continuationSeparator/>
      </w:r>
    </w:p>
  </w:footnote>
  <w:footnote w:id="1">
    <w:p w:rsidR="00E8332B" w:rsidRDefault="00E8332B" w:rsidP="0034433C">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Many have identified the Rambam </w:t>
      </w:r>
      <w:r>
        <w:rPr>
          <w:rFonts w:ascii="Arial" w:hAnsi="Arial" w:cs="Arial"/>
          <w:sz w:val="24"/>
          <w:szCs w:val="24"/>
          <w:lang w:bidi="he-IL"/>
        </w:rPr>
        <w:t>(12</w:t>
      </w:r>
      <w:r w:rsidRPr="00102D4A">
        <w:rPr>
          <w:rFonts w:ascii="Arial" w:hAnsi="Arial" w:cs="Arial"/>
          <w:sz w:val="24"/>
          <w:szCs w:val="24"/>
          <w:vertAlign w:val="superscript"/>
          <w:lang w:bidi="he-IL"/>
        </w:rPr>
        <w:t>th</w:t>
      </w:r>
      <w:r>
        <w:rPr>
          <w:rFonts w:ascii="Arial" w:hAnsi="Arial" w:cs="Arial"/>
          <w:sz w:val="24"/>
          <w:szCs w:val="24"/>
          <w:lang w:bidi="he-IL"/>
        </w:rPr>
        <w:t xml:space="preserve"> century) </w:t>
      </w:r>
      <w:r w:rsidRPr="00AB7812">
        <w:rPr>
          <w:rFonts w:ascii="Arial" w:hAnsi="Arial" w:cs="Arial"/>
          <w:sz w:val="24"/>
          <w:szCs w:val="24"/>
          <w:lang w:bidi="he-IL"/>
        </w:rPr>
        <w:t xml:space="preserve">as the first commentary on the </w:t>
      </w:r>
      <w:proofErr w:type="gramStart"/>
      <w:r w:rsidRPr="00AB7812">
        <w:rPr>
          <w:rFonts w:ascii="Arial" w:hAnsi="Arial" w:cs="Arial"/>
          <w:sz w:val="24"/>
          <w:szCs w:val="24"/>
          <w:lang w:bidi="he-IL"/>
        </w:rPr>
        <w:t>Mishna,</w:t>
      </w:r>
      <w:proofErr w:type="gramEnd"/>
      <w:r w:rsidRPr="00AB7812">
        <w:rPr>
          <w:rFonts w:ascii="Arial" w:hAnsi="Arial" w:cs="Arial"/>
          <w:sz w:val="24"/>
          <w:szCs w:val="24"/>
          <w:lang w:bidi="he-IL"/>
        </w:rPr>
        <w:t xml:space="preserve"> and</w:t>
      </w:r>
      <w:r>
        <w:rPr>
          <w:rFonts w:ascii="Arial" w:hAnsi="Arial" w:cs="Arial"/>
          <w:sz w:val="24"/>
          <w:szCs w:val="24"/>
          <w:lang w:bidi="he-IL"/>
        </w:rPr>
        <w:t>,</w:t>
      </w:r>
      <w:r w:rsidRPr="00AB7812">
        <w:rPr>
          <w:rFonts w:ascii="Arial" w:hAnsi="Arial" w:cs="Arial"/>
          <w:sz w:val="24"/>
          <w:szCs w:val="24"/>
          <w:lang w:bidi="he-IL"/>
        </w:rPr>
        <w:t xml:space="preserve"> historically</w:t>
      </w:r>
      <w:r>
        <w:rPr>
          <w:rFonts w:ascii="Arial" w:hAnsi="Arial" w:cs="Arial"/>
          <w:sz w:val="24"/>
          <w:szCs w:val="24"/>
          <w:lang w:bidi="he-IL"/>
        </w:rPr>
        <w:t>,</w:t>
      </w:r>
      <w:r w:rsidRPr="00AB7812">
        <w:rPr>
          <w:rFonts w:ascii="Arial" w:hAnsi="Arial" w:cs="Arial"/>
          <w:sz w:val="24"/>
          <w:szCs w:val="24"/>
          <w:lang w:bidi="he-IL"/>
        </w:rPr>
        <w:t xml:space="preserve"> this is indeed the first continuous commentary on the entire Mishna. Although the </w:t>
      </w:r>
      <w:proofErr w:type="spellStart"/>
      <w:r w:rsidRPr="00AB7812">
        <w:rPr>
          <w:rFonts w:ascii="Arial" w:hAnsi="Arial" w:cs="Arial"/>
          <w:i/>
          <w:iCs/>
          <w:sz w:val="24"/>
          <w:szCs w:val="24"/>
          <w:lang w:bidi="he-IL"/>
        </w:rPr>
        <w:t>Ge’onim</w:t>
      </w:r>
      <w:proofErr w:type="spellEnd"/>
      <w:r>
        <w:rPr>
          <w:rFonts w:ascii="Arial" w:hAnsi="Arial" w:cs="Arial"/>
          <w:i/>
          <w:iCs/>
          <w:sz w:val="24"/>
          <w:szCs w:val="24"/>
          <w:lang w:bidi="he-IL"/>
        </w:rPr>
        <w:t xml:space="preserve"> </w:t>
      </w:r>
      <w:r>
        <w:rPr>
          <w:rFonts w:ascii="Arial" w:hAnsi="Arial" w:cs="Arial"/>
          <w:sz w:val="24"/>
          <w:szCs w:val="24"/>
          <w:lang w:bidi="he-IL"/>
        </w:rPr>
        <w:t xml:space="preserve">(who preceded the Rambam) frequently explicate </w:t>
      </w:r>
      <w:proofErr w:type="spellStart"/>
      <w:r w:rsidRPr="00102D4A">
        <w:rPr>
          <w:rFonts w:ascii="Arial" w:hAnsi="Arial" w:cs="Arial"/>
          <w:i/>
          <w:iCs/>
          <w:sz w:val="24"/>
          <w:szCs w:val="24"/>
          <w:lang w:bidi="he-IL"/>
        </w:rPr>
        <w:t>mishnayot</w:t>
      </w:r>
      <w:proofErr w:type="spellEnd"/>
      <w:r w:rsidRPr="00AB7812">
        <w:rPr>
          <w:rFonts w:ascii="Arial" w:hAnsi="Arial" w:cs="Arial"/>
          <w:sz w:val="24"/>
          <w:szCs w:val="24"/>
          <w:lang w:bidi="he-IL"/>
        </w:rPr>
        <w:t xml:space="preserve">, </w:t>
      </w:r>
      <w:r>
        <w:rPr>
          <w:rFonts w:ascii="Arial" w:hAnsi="Arial" w:cs="Arial"/>
          <w:sz w:val="24"/>
          <w:szCs w:val="24"/>
          <w:lang w:bidi="he-IL"/>
        </w:rPr>
        <w:t>they do not do this</w:t>
      </w:r>
      <w:r w:rsidRPr="00AB7812">
        <w:rPr>
          <w:rFonts w:ascii="Arial" w:hAnsi="Arial" w:cs="Arial"/>
          <w:sz w:val="24"/>
          <w:szCs w:val="24"/>
          <w:lang w:bidi="he-IL"/>
        </w:rPr>
        <w:t xml:space="preserve"> in a systematic, continuous manner. </w:t>
      </w:r>
    </w:p>
  </w:footnote>
  <w:footnote w:id="2">
    <w:p w:rsidR="00E8332B" w:rsidRDefault="00E8332B" w:rsidP="00AB7812">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Letter of Rav </w:t>
      </w:r>
      <w:proofErr w:type="spellStart"/>
      <w:r w:rsidRPr="00AB7812">
        <w:rPr>
          <w:rFonts w:ascii="Arial" w:hAnsi="Arial" w:cs="Arial"/>
          <w:sz w:val="24"/>
          <w:szCs w:val="24"/>
          <w:lang w:bidi="he-IL"/>
        </w:rPr>
        <w:t>Sherira</w:t>
      </w:r>
      <w:proofErr w:type="spellEnd"/>
      <w:r w:rsidRPr="00AB7812">
        <w:rPr>
          <w:rFonts w:ascii="Arial" w:hAnsi="Arial" w:cs="Arial"/>
          <w:sz w:val="24"/>
          <w:szCs w:val="24"/>
          <w:lang w:bidi="he-IL"/>
        </w:rPr>
        <w:t xml:space="preserve"> </w:t>
      </w:r>
      <w:proofErr w:type="spellStart"/>
      <w:r w:rsidRPr="00AB7812">
        <w:rPr>
          <w:rFonts w:ascii="Arial" w:hAnsi="Arial" w:cs="Arial"/>
          <w:sz w:val="24"/>
          <w:szCs w:val="24"/>
          <w:lang w:bidi="he-IL"/>
        </w:rPr>
        <w:t>Gaon</w:t>
      </w:r>
      <w:proofErr w:type="spellEnd"/>
      <w:r w:rsidRPr="00AB7812">
        <w:rPr>
          <w:rFonts w:ascii="Arial" w:hAnsi="Arial" w:cs="Arial"/>
          <w:sz w:val="24"/>
          <w:szCs w:val="24"/>
          <w:lang w:bidi="he-IL"/>
        </w:rPr>
        <w:t xml:space="preserve">, Levin edition, </w:t>
      </w:r>
      <w:proofErr w:type="spellStart"/>
      <w:r w:rsidRPr="00AB7812">
        <w:rPr>
          <w:rFonts w:ascii="Arial" w:hAnsi="Arial" w:cs="Arial"/>
          <w:i/>
          <w:iCs/>
          <w:sz w:val="24"/>
          <w:szCs w:val="24"/>
          <w:lang w:bidi="he-IL"/>
        </w:rPr>
        <w:t>Nusach</w:t>
      </w:r>
      <w:proofErr w:type="spellEnd"/>
      <w:r w:rsidRPr="00AB7812">
        <w:rPr>
          <w:rFonts w:ascii="Arial" w:hAnsi="Arial" w:cs="Arial"/>
          <w:i/>
          <w:iCs/>
          <w:sz w:val="24"/>
          <w:szCs w:val="24"/>
          <w:lang w:bidi="he-IL"/>
        </w:rPr>
        <w:t xml:space="preserve"> </w:t>
      </w:r>
      <w:proofErr w:type="spellStart"/>
      <w:r w:rsidRPr="00AB7812">
        <w:rPr>
          <w:rFonts w:ascii="Arial" w:hAnsi="Arial" w:cs="Arial"/>
          <w:i/>
          <w:iCs/>
          <w:sz w:val="24"/>
          <w:szCs w:val="24"/>
          <w:lang w:bidi="he-IL"/>
        </w:rPr>
        <w:t>Tzarfati</w:t>
      </w:r>
      <w:proofErr w:type="spellEnd"/>
      <w:r w:rsidRPr="00AB7812">
        <w:rPr>
          <w:rFonts w:ascii="Arial" w:hAnsi="Arial" w:cs="Arial"/>
          <w:sz w:val="24"/>
          <w:szCs w:val="24"/>
          <w:lang w:bidi="he-IL"/>
        </w:rPr>
        <w:t>, p.30</w:t>
      </w:r>
    </w:p>
  </w:footnote>
  <w:footnote w:id="3">
    <w:p w:rsidR="00E8332B" w:rsidRDefault="00E8332B" w:rsidP="00AB7812">
      <w:pPr>
        <w:jc w:val="both"/>
      </w:pPr>
      <w:r w:rsidRPr="00AB7812">
        <w:rPr>
          <w:rStyle w:val="FootnoteReference"/>
          <w:rFonts w:ascii="Arial" w:hAnsi="Arial" w:cs="Arial"/>
          <w:lang w:bidi="he-IL"/>
        </w:rPr>
        <w:footnoteRef/>
      </w:r>
      <w:r w:rsidRPr="00AB7812">
        <w:rPr>
          <w:rFonts w:ascii="Arial" w:hAnsi="Arial" w:cs="Arial"/>
          <w:lang w:bidi="he-IL"/>
        </w:rPr>
        <w:t xml:space="preserve"> This expression of “and any person” appears later in that chapter with regard to men’s jewelry as well. </w:t>
      </w:r>
    </w:p>
  </w:footnote>
  <w:footnote w:id="4">
    <w:p w:rsidR="00E8332B" w:rsidRDefault="00E8332B" w:rsidP="00AB7812">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val="de-DE"/>
        </w:rPr>
        <w:t xml:space="preserve"> See Zecharya Frankel, </w:t>
      </w:r>
      <w:r w:rsidRPr="00AB7812">
        <w:rPr>
          <w:rFonts w:ascii="Arial" w:hAnsi="Arial" w:cs="Arial"/>
          <w:i/>
          <w:iCs/>
          <w:sz w:val="24"/>
          <w:szCs w:val="24"/>
          <w:lang w:val="de-DE"/>
        </w:rPr>
        <w:t>Darkei HaMishna</w:t>
      </w:r>
      <w:r w:rsidRPr="00AB7812">
        <w:rPr>
          <w:rFonts w:ascii="Arial" w:hAnsi="Arial" w:cs="Arial"/>
          <w:sz w:val="24"/>
          <w:szCs w:val="24"/>
          <w:lang w:val="de-DE"/>
        </w:rPr>
        <w:t xml:space="preserve">, p.322 </w:t>
      </w:r>
    </w:p>
  </w:footnote>
  <w:footnote w:id="5">
    <w:p w:rsidR="00E8332B" w:rsidRDefault="00E8332B" w:rsidP="00BC5E5F">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In recent generations, a number of scholars have addressed this topic. An exhaustive discussion of the various opinions can be found in the introduction to </w:t>
      </w:r>
      <w:proofErr w:type="spellStart"/>
      <w:r w:rsidR="005916C1" w:rsidRPr="005916C1">
        <w:rPr>
          <w:rFonts w:ascii="Arial" w:hAnsi="Arial" w:cs="Arial"/>
          <w:sz w:val="24"/>
          <w:szCs w:val="24"/>
          <w:lang w:bidi="he-IL"/>
        </w:rPr>
        <w:t>Tosefta</w:t>
      </w:r>
      <w:proofErr w:type="spellEnd"/>
      <w:r w:rsidRPr="00AB7812">
        <w:rPr>
          <w:rFonts w:ascii="Arial" w:hAnsi="Arial" w:cs="Arial"/>
          <w:i/>
          <w:iCs/>
          <w:sz w:val="24"/>
          <w:szCs w:val="24"/>
          <w:lang w:bidi="he-IL"/>
        </w:rPr>
        <w:t xml:space="preserve"> </w:t>
      </w:r>
      <w:proofErr w:type="spellStart"/>
      <w:r w:rsidRPr="00AB7812">
        <w:rPr>
          <w:rFonts w:ascii="Arial" w:hAnsi="Arial" w:cs="Arial"/>
          <w:i/>
          <w:iCs/>
          <w:sz w:val="24"/>
          <w:szCs w:val="24"/>
          <w:lang w:bidi="he-IL"/>
        </w:rPr>
        <w:t>Atikta</w:t>
      </w:r>
      <w:proofErr w:type="spellEnd"/>
      <w:r w:rsidRPr="00AB7812">
        <w:rPr>
          <w:rFonts w:ascii="Arial" w:hAnsi="Arial" w:cs="Arial"/>
          <w:sz w:val="24"/>
          <w:szCs w:val="24"/>
          <w:lang w:bidi="he-IL"/>
        </w:rPr>
        <w:t xml:space="preserve">, by </w:t>
      </w:r>
      <w:proofErr w:type="spellStart"/>
      <w:r>
        <w:rPr>
          <w:rFonts w:ascii="Arial" w:hAnsi="Arial" w:cs="Arial"/>
          <w:sz w:val="24"/>
          <w:szCs w:val="24"/>
          <w:lang w:bidi="he-IL"/>
        </w:rPr>
        <w:t>Shamma</w:t>
      </w:r>
      <w:proofErr w:type="spellEnd"/>
      <w:r w:rsidRPr="00AB7812">
        <w:rPr>
          <w:rFonts w:ascii="Arial" w:hAnsi="Arial" w:cs="Arial"/>
          <w:sz w:val="24"/>
          <w:szCs w:val="24"/>
          <w:lang w:bidi="he-IL"/>
        </w:rPr>
        <w:t xml:space="preserve"> Friedman. As he demonstrates there, the </w:t>
      </w:r>
      <w:proofErr w:type="spellStart"/>
      <w:r w:rsidR="005916C1" w:rsidRPr="005916C1">
        <w:rPr>
          <w:rFonts w:ascii="Arial" w:hAnsi="Arial" w:cs="Arial"/>
          <w:sz w:val="24"/>
          <w:szCs w:val="24"/>
          <w:lang w:bidi="he-IL"/>
        </w:rPr>
        <w:t>Tosefta</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 xml:space="preserve">often does not relate directly to the Mishna, but discusses the </w:t>
      </w:r>
      <w:r w:rsidR="00A40859">
        <w:rPr>
          <w:rFonts w:ascii="Arial" w:hAnsi="Arial" w:cs="Arial"/>
          <w:sz w:val="24"/>
          <w:szCs w:val="24"/>
          <w:lang w:bidi="he-IL"/>
        </w:rPr>
        <w:t>s</w:t>
      </w:r>
      <w:r w:rsidR="00A40859" w:rsidRPr="00AB7812">
        <w:rPr>
          <w:rFonts w:ascii="Arial" w:hAnsi="Arial" w:cs="Arial"/>
          <w:sz w:val="24"/>
          <w:szCs w:val="24"/>
          <w:lang w:bidi="he-IL"/>
        </w:rPr>
        <w:t xml:space="preserve">ame </w:t>
      </w:r>
      <w:r w:rsidRPr="00AB7812">
        <w:rPr>
          <w:rFonts w:ascii="Arial" w:hAnsi="Arial" w:cs="Arial"/>
          <w:sz w:val="24"/>
          <w:szCs w:val="24"/>
          <w:lang w:bidi="he-IL"/>
        </w:rPr>
        <w:t xml:space="preserve">topics in parallel to the Mishna, and occasionally the </w:t>
      </w:r>
      <w:r w:rsidRPr="00AB7812">
        <w:rPr>
          <w:rFonts w:ascii="Arial" w:hAnsi="Arial" w:cs="Arial"/>
          <w:i/>
          <w:iCs/>
          <w:sz w:val="24"/>
          <w:szCs w:val="24"/>
          <w:lang w:bidi="he-IL"/>
        </w:rPr>
        <w:t xml:space="preserve">halakhot </w:t>
      </w:r>
      <w:r w:rsidRPr="00AB7812">
        <w:rPr>
          <w:rFonts w:ascii="Arial" w:hAnsi="Arial" w:cs="Arial"/>
          <w:sz w:val="24"/>
          <w:szCs w:val="24"/>
          <w:lang w:bidi="he-IL"/>
        </w:rPr>
        <w:t xml:space="preserve">in the </w:t>
      </w:r>
      <w:proofErr w:type="spellStart"/>
      <w:r w:rsidR="005916C1" w:rsidRPr="005916C1">
        <w:rPr>
          <w:rFonts w:ascii="Arial" w:hAnsi="Arial" w:cs="Arial"/>
          <w:sz w:val="24"/>
          <w:szCs w:val="24"/>
          <w:lang w:bidi="he-IL"/>
        </w:rPr>
        <w:t>Tosefta</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 xml:space="preserve">even predate those of the Mishna. In this context, he suggests that the term </w:t>
      </w:r>
      <w:proofErr w:type="spellStart"/>
      <w:r w:rsidR="005916C1" w:rsidRPr="005916C1">
        <w:rPr>
          <w:rFonts w:ascii="Arial" w:hAnsi="Arial" w:cs="Arial"/>
          <w:sz w:val="24"/>
          <w:szCs w:val="24"/>
          <w:lang w:bidi="he-IL"/>
        </w:rPr>
        <w:t>Tosefta</w:t>
      </w:r>
      <w:proofErr w:type="spellEnd"/>
      <w:r w:rsidRPr="00AB7812">
        <w:rPr>
          <w:rFonts w:ascii="Arial" w:hAnsi="Arial" w:cs="Arial"/>
          <w:sz w:val="24"/>
          <w:szCs w:val="24"/>
          <w:lang w:bidi="he-IL"/>
        </w:rPr>
        <w:t xml:space="preserve"> not only stems from the word addition (</w:t>
      </w:r>
      <w:proofErr w:type="spellStart"/>
      <w:r w:rsidRPr="00AB7812">
        <w:rPr>
          <w:rFonts w:ascii="Arial" w:hAnsi="Arial" w:cs="Arial"/>
          <w:i/>
          <w:iCs/>
          <w:sz w:val="24"/>
          <w:szCs w:val="24"/>
          <w:lang w:bidi="he-IL"/>
        </w:rPr>
        <w:t>hosafa</w:t>
      </w:r>
      <w:proofErr w:type="spellEnd"/>
      <w:r w:rsidRPr="00AB7812">
        <w:rPr>
          <w:rFonts w:ascii="Arial" w:hAnsi="Arial" w:cs="Arial"/>
          <w:sz w:val="24"/>
          <w:szCs w:val="24"/>
          <w:lang w:bidi="he-IL"/>
        </w:rPr>
        <w:t>), but also from the word compilation (</w:t>
      </w:r>
      <w:proofErr w:type="spellStart"/>
      <w:r w:rsidRPr="00AB7812">
        <w:rPr>
          <w:rFonts w:ascii="Arial" w:hAnsi="Arial" w:cs="Arial"/>
          <w:i/>
          <w:iCs/>
          <w:sz w:val="24"/>
          <w:szCs w:val="24"/>
          <w:lang w:bidi="he-IL"/>
        </w:rPr>
        <w:t>osef</w:t>
      </w:r>
      <w:proofErr w:type="spellEnd"/>
      <w:r w:rsidRPr="00AB7812">
        <w:rPr>
          <w:rFonts w:ascii="Arial" w:hAnsi="Arial" w:cs="Arial"/>
          <w:sz w:val="24"/>
          <w:szCs w:val="24"/>
          <w:lang w:bidi="he-IL"/>
        </w:rPr>
        <w:t>).</w:t>
      </w:r>
      <w:r>
        <w:rPr>
          <w:rFonts w:ascii="Arial" w:hAnsi="Arial" w:cs="Arial"/>
          <w:sz w:val="24"/>
          <w:szCs w:val="24"/>
          <w:lang w:bidi="he-IL"/>
        </w:rPr>
        <w:t xml:space="preserve">  </w:t>
      </w:r>
    </w:p>
  </w:footnote>
  <w:footnote w:id="6">
    <w:p w:rsidR="00E8332B" w:rsidRDefault="00E8332B" w:rsidP="00BC5E5F">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w:t>
      </w:r>
      <w:r w:rsidR="00A40859">
        <w:rPr>
          <w:rFonts w:ascii="Arial" w:hAnsi="Arial" w:cs="Arial"/>
          <w:sz w:val="24"/>
          <w:szCs w:val="24"/>
          <w:lang w:bidi="he-IL"/>
        </w:rPr>
        <w:t>T</w:t>
      </w:r>
      <w:r w:rsidR="00A40859" w:rsidRPr="00AB7812">
        <w:rPr>
          <w:rFonts w:ascii="Arial" w:hAnsi="Arial" w:cs="Arial"/>
          <w:sz w:val="24"/>
          <w:szCs w:val="24"/>
          <w:lang w:bidi="he-IL"/>
        </w:rPr>
        <w:t xml:space="preserve">he opening </w:t>
      </w:r>
      <w:proofErr w:type="spellStart"/>
      <w:r w:rsidR="00A40859" w:rsidRPr="00AB7812">
        <w:rPr>
          <w:rFonts w:ascii="Arial" w:hAnsi="Arial" w:cs="Arial"/>
          <w:i/>
          <w:iCs/>
          <w:sz w:val="24"/>
          <w:szCs w:val="24"/>
          <w:lang w:bidi="he-IL"/>
        </w:rPr>
        <w:t>sugyot</w:t>
      </w:r>
      <w:proofErr w:type="spellEnd"/>
      <w:r w:rsidR="00A40859" w:rsidRPr="00AB7812">
        <w:rPr>
          <w:rFonts w:ascii="Arial" w:hAnsi="Arial" w:cs="Arial"/>
          <w:i/>
          <w:iCs/>
          <w:sz w:val="24"/>
          <w:szCs w:val="24"/>
          <w:lang w:bidi="he-IL"/>
        </w:rPr>
        <w:t xml:space="preserve"> </w:t>
      </w:r>
      <w:r w:rsidR="00A40859" w:rsidRPr="00AB7812">
        <w:rPr>
          <w:rFonts w:ascii="Arial" w:hAnsi="Arial" w:cs="Arial"/>
          <w:sz w:val="24"/>
          <w:szCs w:val="24"/>
          <w:lang w:bidi="he-IL"/>
        </w:rPr>
        <w:t xml:space="preserve">of the tractate </w:t>
      </w:r>
      <w:r w:rsidR="00A40859">
        <w:rPr>
          <w:rFonts w:ascii="Arial" w:hAnsi="Arial" w:cs="Arial"/>
          <w:sz w:val="24"/>
          <w:szCs w:val="24"/>
          <w:lang w:bidi="he-IL"/>
        </w:rPr>
        <w:t xml:space="preserve">in </w:t>
      </w:r>
      <w:r w:rsidRPr="00AB7812">
        <w:rPr>
          <w:rFonts w:ascii="Arial" w:hAnsi="Arial" w:cs="Arial"/>
          <w:sz w:val="24"/>
          <w:szCs w:val="24"/>
          <w:lang w:bidi="he-IL"/>
        </w:rPr>
        <w:t xml:space="preserve">both the Babylonian </w:t>
      </w:r>
      <w:r w:rsidR="00A40859">
        <w:rPr>
          <w:rFonts w:ascii="Arial" w:hAnsi="Arial" w:cs="Arial"/>
          <w:sz w:val="24"/>
          <w:szCs w:val="24"/>
          <w:lang w:bidi="he-IL"/>
        </w:rPr>
        <w:t>and</w:t>
      </w:r>
      <w:r w:rsidRPr="00AB7812">
        <w:rPr>
          <w:rFonts w:ascii="Arial" w:hAnsi="Arial" w:cs="Arial"/>
          <w:sz w:val="24"/>
          <w:szCs w:val="24"/>
          <w:lang w:bidi="he-IL"/>
        </w:rPr>
        <w:t xml:space="preserve"> the Jerusalem </w:t>
      </w:r>
      <w:proofErr w:type="spellStart"/>
      <w:r w:rsidRPr="00AB7812">
        <w:rPr>
          <w:rFonts w:ascii="Arial" w:hAnsi="Arial" w:cs="Arial"/>
          <w:sz w:val="24"/>
          <w:szCs w:val="24"/>
          <w:lang w:bidi="he-IL"/>
        </w:rPr>
        <w:t>Talmud</w:t>
      </w:r>
      <w:r w:rsidR="00A40859">
        <w:rPr>
          <w:rFonts w:ascii="Arial" w:hAnsi="Arial" w:cs="Arial"/>
          <w:sz w:val="24"/>
          <w:szCs w:val="24"/>
          <w:lang w:bidi="he-IL"/>
        </w:rPr>
        <w:t>s</w:t>
      </w:r>
      <w:proofErr w:type="spellEnd"/>
      <w:r w:rsidR="00A40859">
        <w:rPr>
          <w:rFonts w:ascii="Arial" w:hAnsi="Arial" w:cs="Arial"/>
          <w:sz w:val="24"/>
          <w:szCs w:val="24"/>
          <w:lang w:bidi="he-IL"/>
        </w:rPr>
        <w:t xml:space="preserve"> cite</w:t>
      </w:r>
      <w:r w:rsidRPr="00AB7812">
        <w:rPr>
          <w:rFonts w:ascii="Arial" w:hAnsi="Arial" w:cs="Arial"/>
          <w:sz w:val="24"/>
          <w:szCs w:val="24"/>
          <w:lang w:bidi="he-IL"/>
        </w:rPr>
        <w:t xml:space="preserve"> a dispute between </w:t>
      </w:r>
      <w:proofErr w:type="spellStart"/>
      <w:r w:rsidRPr="00102D4A">
        <w:rPr>
          <w:rFonts w:ascii="Arial" w:hAnsi="Arial" w:cs="Arial"/>
          <w:sz w:val="24"/>
          <w:szCs w:val="24"/>
          <w:lang w:bidi="he-IL"/>
        </w:rPr>
        <w:t>Reish</w:t>
      </w:r>
      <w:proofErr w:type="spellEnd"/>
      <w:r w:rsidRPr="00102D4A">
        <w:rPr>
          <w:rFonts w:ascii="Arial" w:hAnsi="Arial" w:cs="Arial"/>
          <w:sz w:val="24"/>
          <w:szCs w:val="24"/>
          <w:lang w:bidi="he-IL"/>
        </w:rPr>
        <w:t xml:space="preserve"> </w:t>
      </w:r>
      <w:proofErr w:type="spellStart"/>
      <w:r w:rsidRPr="00102D4A">
        <w:rPr>
          <w:rFonts w:ascii="Arial" w:hAnsi="Arial" w:cs="Arial"/>
          <w:sz w:val="24"/>
          <w:szCs w:val="24"/>
          <w:lang w:bidi="he-IL"/>
        </w:rPr>
        <w:t>Lakish</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 xml:space="preserve">and Rabbi Yochanan, both of whom explain the need for this separation differently. </w:t>
      </w:r>
    </w:p>
  </w:footnote>
  <w:footnote w:id="7">
    <w:p w:rsidR="00E8332B" w:rsidRDefault="00E8332B">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It should be noted that the formulation of the principles is reversed in the Mishna and </w:t>
      </w:r>
      <w:proofErr w:type="spellStart"/>
      <w:r w:rsidR="005916C1" w:rsidRPr="005916C1">
        <w:rPr>
          <w:rFonts w:ascii="Arial" w:hAnsi="Arial" w:cs="Arial"/>
          <w:sz w:val="24"/>
          <w:szCs w:val="24"/>
          <w:lang w:bidi="he-IL"/>
        </w:rPr>
        <w:t>Tosefta</w:t>
      </w:r>
      <w:proofErr w:type="spellEnd"/>
      <w:r w:rsidRPr="00AB7812">
        <w:rPr>
          <w:rFonts w:ascii="Arial" w:hAnsi="Arial" w:cs="Arial"/>
          <w:sz w:val="24"/>
          <w:szCs w:val="24"/>
          <w:lang w:bidi="he-IL"/>
        </w:rPr>
        <w:t>: The Mishna uses the term “</w:t>
      </w:r>
      <w:proofErr w:type="spellStart"/>
      <w:r>
        <w:rPr>
          <w:rFonts w:ascii="Arial" w:hAnsi="Arial" w:cs="Arial"/>
          <w:i/>
          <w:iCs/>
          <w:sz w:val="24"/>
          <w:szCs w:val="24"/>
          <w:lang w:bidi="he-IL"/>
        </w:rPr>
        <w:t>m</w:t>
      </w:r>
      <w:r w:rsidRPr="00AB7812">
        <w:rPr>
          <w:rFonts w:ascii="Arial" w:hAnsi="Arial" w:cs="Arial"/>
          <w:i/>
          <w:iCs/>
          <w:sz w:val="24"/>
          <w:szCs w:val="24"/>
          <w:lang w:bidi="he-IL"/>
        </w:rPr>
        <w:t>itzvot</w:t>
      </w:r>
      <w:proofErr w:type="spellEnd"/>
      <w:r w:rsidRPr="00AB7812">
        <w:rPr>
          <w:rFonts w:ascii="Arial" w:hAnsi="Arial" w:cs="Arial"/>
          <w:sz w:val="24"/>
          <w:szCs w:val="24"/>
          <w:lang w:bidi="he-IL"/>
        </w:rPr>
        <w:t xml:space="preserve"> of the son upon the father” (</w:t>
      </w:r>
      <w:r w:rsidRPr="00AB7812">
        <w:rPr>
          <w:rFonts w:ascii="Arial" w:hAnsi="Arial" w:cs="Arial"/>
          <w:i/>
          <w:iCs/>
          <w:sz w:val="24"/>
          <w:szCs w:val="24"/>
          <w:lang w:bidi="he-IL"/>
        </w:rPr>
        <w:t>ha</w:t>
      </w:r>
      <w:r>
        <w:rPr>
          <w:rFonts w:ascii="Arial" w:hAnsi="Arial" w:cs="Arial"/>
          <w:i/>
          <w:iCs/>
          <w:sz w:val="24"/>
          <w:szCs w:val="24"/>
          <w:lang w:bidi="he-IL"/>
        </w:rPr>
        <w:t>-</w:t>
      </w:r>
      <w:r w:rsidRPr="00AB7812">
        <w:rPr>
          <w:rFonts w:ascii="Arial" w:hAnsi="Arial" w:cs="Arial"/>
          <w:i/>
          <w:iCs/>
          <w:sz w:val="24"/>
          <w:szCs w:val="24"/>
          <w:lang w:bidi="he-IL"/>
        </w:rPr>
        <w:t>ben al ha</w:t>
      </w:r>
      <w:r>
        <w:rPr>
          <w:rFonts w:ascii="Arial" w:hAnsi="Arial" w:cs="Arial"/>
          <w:i/>
          <w:iCs/>
          <w:sz w:val="24"/>
          <w:szCs w:val="24"/>
          <w:lang w:bidi="he-IL"/>
        </w:rPr>
        <w:t>-</w:t>
      </w:r>
      <w:proofErr w:type="spellStart"/>
      <w:r w:rsidRPr="00AB7812">
        <w:rPr>
          <w:rFonts w:ascii="Arial" w:hAnsi="Arial" w:cs="Arial"/>
          <w:i/>
          <w:iCs/>
          <w:sz w:val="24"/>
          <w:szCs w:val="24"/>
          <w:lang w:bidi="he-IL"/>
        </w:rPr>
        <w:t>av</w:t>
      </w:r>
      <w:proofErr w:type="spellEnd"/>
      <w:r w:rsidRPr="00AB7812">
        <w:rPr>
          <w:rFonts w:ascii="Arial" w:hAnsi="Arial" w:cs="Arial"/>
          <w:sz w:val="24"/>
          <w:szCs w:val="24"/>
          <w:lang w:bidi="he-IL"/>
        </w:rPr>
        <w:t xml:space="preserve">) to refer to those that the father must do for his son, while the </w:t>
      </w:r>
      <w:proofErr w:type="spellStart"/>
      <w:r w:rsidRPr="00AB7812">
        <w:rPr>
          <w:rFonts w:ascii="Arial" w:hAnsi="Arial" w:cs="Arial"/>
          <w:sz w:val="24"/>
          <w:szCs w:val="24"/>
          <w:lang w:bidi="he-IL"/>
        </w:rPr>
        <w:t>Tosefta</w:t>
      </w:r>
      <w:proofErr w:type="spellEnd"/>
      <w:r w:rsidRPr="00AB7812">
        <w:rPr>
          <w:rFonts w:ascii="Arial" w:hAnsi="Arial" w:cs="Arial"/>
          <w:sz w:val="24"/>
          <w:szCs w:val="24"/>
          <w:lang w:bidi="he-IL"/>
        </w:rPr>
        <w:t xml:space="preserve"> refers to this category as “</w:t>
      </w:r>
      <w:proofErr w:type="spellStart"/>
      <w:r>
        <w:rPr>
          <w:rFonts w:ascii="Arial" w:hAnsi="Arial" w:cs="Arial"/>
          <w:i/>
          <w:iCs/>
          <w:sz w:val="24"/>
          <w:szCs w:val="24"/>
          <w:lang w:bidi="he-IL"/>
        </w:rPr>
        <w:t>m</w:t>
      </w:r>
      <w:r w:rsidRPr="00AB7812">
        <w:rPr>
          <w:rFonts w:ascii="Arial" w:hAnsi="Arial" w:cs="Arial"/>
          <w:i/>
          <w:iCs/>
          <w:sz w:val="24"/>
          <w:szCs w:val="24"/>
          <w:lang w:bidi="he-IL"/>
        </w:rPr>
        <w:t>itzvot</w:t>
      </w:r>
      <w:proofErr w:type="spellEnd"/>
      <w:r w:rsidRPr="00AB7812">
        <w:rPr>
          <w:rFonts w:ascii="Arial" w:hAnsi="Arial" w:cs="Arial"/>
          <w:sz w:val="24"/>
          <w:szCs w:val="24"/>
          <w:lang w:bidi="he-IL"/>
        </w:rPr>
        <w:t xml:space="preserve"> of the father upon the son” (</w:t>
      </w:r>
      <w:r w:rsidRPr="00AB7812">
        <w:rPr>
          <w:rFonts w:ascii="Arial" w:hAnsi="Arial" w:cs="Arial"/>
          <w:i/>
          <w:iCs/>
          <w:sz w:val="24"/>
          <w:szCs w:val="24"/>
          <w:lang w:bidi="he-IL"/>
        </w:rPr>
        <w:t>ha</w:t>
      </w:r>
      <w:r>
        <w:rPr>
          <w:rFonts w:ascii="Arial" w:hAnsi="Arial" w:cs="Arial"/>
          <w:i/>
          <w:iCs/>
          <w:sz w:val="24"/>
          <w:szCs w:val="24"/>
          <w:lang w:bidi="he-IL"/>
        </w:rPr>
        <w:t>-</w:t>
      </w:r>
      <w:proofErr w:type="spellStart"/>
      <w:r w:rsidRPr="00AB7812">
        <w:rPr>
          <w:rFonts w:ascii="Arial" w:hAnsi="Arial" w:cs="Arial"/>
          <w:i/>
          <w:iCs/>
          <w:sz w:val="24"/>
          <w:szCs w:val="24"/>
          <w:lang w:bidi="he-IL"/>
        </w:rPr>
        <w:t>av</w:t>
      </w:r>
      <w:proofErr w:type="spellEnd"/>
      <w:r w:rsidRPr="00AB7812">
        <w:rPr>
          <w:rFonts w:ascii="Arial" w:hAnsi="Arial" w:cs="Arial"/>
          <w:i/>
          <w:iCs/>
          <w:sz w:val="24"/>
          <w:szCs w:val="24"/>
          <w:lang w:bidi="he-IL"/>
        </w:rPr>
        <w:t xml:space="preserve"> al ha</w:t>
      </w:r>
      <w:r>
        <w:rPr>
          <w:rFonts w:ascii="Arial" w:hAnsi="Arial" w:cs="Arial"/>
          <w:i/>
          <w:iCs/>
          <w:sz w:val="24"/>
          <w:szCs w:val="24"/>
          <w:lang w:bidi="he-IL"/>
        </w:rPr>
        <w:t>-</w:t>
      </w:r>
      <w:r w:rsidRPr="00AB7812">
        <w:rPr>
          <w:rFonts w:ascii="Arial" w:hAnsi="Arial" w:cs="Arial"/>
          <w:i/>
          <w:iCs/>
          <w:sz w:val="24"/>
          <w:szCs w:val="24"/>
          <w:lang w:bidi="he-IL"/>
        </w:rPr>
        <w:t>ben</w:t>
      </w:r>
      <w:r w:rsidRPr="00AB7812">
        <w:rPr>
          <w:rFonts w:ascii="Arial" w:hAnsi="Arial" w:cs="Arial"/>
          <w:sz w:val="24"/>
          <w:szCs w:val="24"/>
          <w:lang w:bidi="he-IL"/>
        </w:rPr>
        <w:t>), and vice</w:t>
      </w:r>
      <w:r w:rsidR="00910664">
        <w:rPr>
          <w:rFonts w:ascii="Arial" w:hAnsi="Arial" w:cs="Arial"/>
          <w:sz w:val="24"/>
          <w:szCs w:val="24"/>
          <w:lang w:bidi="he-IL"/>
        </w:rPr>
        <w:t xml:space="preserve"> </w:t>
      </w:r>
      <w:r w:rsidRPr="00AB7812">
        <w:rPr>
          <w:rFonts w:ascii="Arial" w:hAnsi="Arial" w:cs="Arial"/>
          <w:sz w:val="24"/>
          <w:szCs w:val="24"/>
          <w:lang w:bidi="he-IL"/>
        </w:rPr>
        <w:t xml:space="preserve">versa. In the version of the Mishna that appears in the Jerusalem Talmud and in a number of manuscripts of the Mishna, the formulation is the same as that of the </w:t>
      </w:r>
      <w:proofErr w:type="spellStart"/>
      <w:r w:rsidR="005916C1" w:rsidRPr="005916C1">
        <w:rPr>
          <w:rFonts w:ascii="Arial" w:hAnsi="Arial" w:cs="Arial"/>
          <w:sz w:val="24"/>
          <w:szCs w:val="24"/>
          <w:lang w:bidi="he-IL"/>
        </w:rPr>
        <w:t>Tosefta</w:t>
      </w:r>
      <w:proofErr w:type="spellEnd"/>
      <w:r w:rsidRPr="00AB7812">
        <w:rPr>
          <w:rFonts w:ascii="Arial" w:hAnsi="Arial" w:cs="Arial"/>
          <w:sz w:val="24"/>
          <w:szCs w:val="24"/>
          <w:lang w:bidi="he-IL"/>
        </w:rPr>
        <w:t xml:space="preserve">, as is the formulation brought in the Rambam’s commentary on the Mishna, which is also a significant proof as to the actual Mishnaic formulation. However, the formulation that appears in the Mishna in the Babylonian Talmud is the same as that which appears in the </w:t>
      </w:r>
      <w:proofErr w:type="spellStart"/>
      <w:r w:rsidRPr="00AB7812">
        <w:rPr>
          <w:rFonts w:ascii="Arial" w:hAnsi="Arial" w:cs="Arial"/>
          <w:sz w:val="24"/>
          <w:szCs w:val="24"/>
          <w:lang w:bidi="he-IL"/>
        </w:rPr>
        <w:t>Gemara</w:t>
      </w:r>
      <w:proofErr w:type="spellEnd"/>
      <w:r w:rsidRPr="00AB7812">
        <w:rPr>
          <w:rFonts w:ascii="Arial" w:hAnsi="Arial" w:cs="Arial"/>
          <w:sz w:val="24"/>
          <w:szCs w:val="24"/>
          <w:lang w:bidi="he-IL"/>
        </w:rPr>
        <w:t xml:space="preserve"> itself, as is evident from the </w:t>
      </w:r>
      <w:proofErr w:type="spellStart"/>
      <w:r w:rsidRPr="00AB7812">
        <w:rPr>
          <w:rFonts w:ascii="Arial" w:hAnsi="Arial" w:cs="Arial"/>
          <w:i/>
          <w:iCs/>
          <w:sz w:val="24"/>
          <w:szCs w:val="24"/>
          <w:lang w:bidi="he-IL"/>
        </w:rPr>
        <w:t>sugya</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there</w:t>
      </w:r>
      <w:r w:rsidRPr="00AB7812">
        <w:rPr>
          <w:rFonts w:ascii="Arial" w:hAnsi="Arial" w:cs="Arial"/>
          <w:i/>
          <w:iCs/>
          <w:sz w:val="24"/>
          <w:szCs w:val="24"/>
          <w:lang w:bidi="he-IL"/>
        </w:rPr>
        <w:t xml:space="preserve"> </w:t>
      </w:r>
      <w:r w:rsidRPr="00AB7812">
        <w:rPr>
          <w:rFonts w:ascii="Arial" w:hAnsi="Arial" w:cs="Arial"/>
          <w:sz w:val="24"/>
          <w:szCs w:val="24"/>
          <w:lang w:bidi="he-IL"/>
        </w:rPr>
        <w:t>(</w:t>
      </w:r>
      <w:proofErr w:type="spellStart"/>
      <w:r w:rsidRPr="00AB7812">
        <w:rPr>
          <w:rFonts w:ascii="Arial" w:hAnsi="Arial" w:cs="Arial"/>
          <w:i/>
          <w:iCs/>
          <w:sz w:val="24"/>
          <w:szCs w:val="24"/>
          <w:lang w:bidi="he-IL"/>
        </w:rPr>
        <w:t>Kiddushin</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29a). As is noted by R.</w:t>
      </w:r>
      <w:r>
        <w:rPr>
          <w:rFonts w:ascii="Arial" w:hAnsi="Arial" w:cs="Arial"/>
          <w:sz w:val="24"/>
          <w:szCs w:val="24"/>
          <w:lang w:bidi="he-IL"/>
        </w:rPr>
        <w:t xml:space="preserve"> </w:t>
      </w:r>
      <w:r w:rsidRPr="00AB7812">
        <w:rPr>
          <w:rFonts w:ascii="Arial" w:hAnsi="Arial" w:cs="Arial"/>
          <w:sz w:val="24"/>
          <w:szCs w:val="24"/>
          <w:lang w:bidi="he-IL"/>
        </w:rPr>
        <w:t xml:space="preserve">Saul Lieberman in his commentary to the </w:t>
      </w:r>
      <w:proofErr w:type="spellStart"/>
      <w:r w:rsidR="005916C1" w:rsidRPr="005916C1">
        <w:rPr>
          <w:rFonts w:ascii="Arial" w:hAnsi="Arial" w:cs="Arial"/>
          <w:sz w:val="24"/>
          <w:szCs w:val="24"/>
          <w:lang w:bidi="he-IL"/>
        </w:rPr>
        <w:t>Tosefta</w:t>
      </w:r>
      <w:proofErr w:type="spellEnd"/>
      <w:r w:rsidRPr="00AB7812">
        <w:rPr>
          <w:rFonts w:ascii="Arial" w:hAnsi="Arial" w:cs="Arial"/>
          <w:sz w:val="24"/>
          <w:szCs w:val="24"/>
          <w:lang w:bidi="he-IL"/>
        </w:rPr>
        <w:t xml:space="preserve"> there, </w:t>
      </w:r>
      <w:proofErr w:type="spellStart"/>
      <w:r w:rsidRPr="00AB7812">
        <w:rPr>
          <w:rFonts w:ascii="Arial" w:hAnsi="Arial" w:cs="Arial"/>
          <w:i/>
          <w:iCs/>
          <w:sz w:val="24"/>
          <w:szCs w:val="24"/>
          <w:lang w:bidi="he-IL"/>
        </w:rPr>
        <w:t>Tosefta</w:t>
      </w:r>
      <w:proofErr w:type="spellEnd"/>
      <w:r w:rsidRPr="00AB7812">
        <w:rPr>
          <w:rFonts w:ascii="Arial" w:hAnsi="Arial" w:cs="Arial"/>
          <w:i/>
          <w:iCs/>
          <w:sz w:val="24"/>
          <w:szCs w:val="24"/>
          <w:lang w:bidi="he-IL"/>
        </w:rPr>
        <w:t xml:space="preserve"> K</w:t>
      </w:r>
      <w:r>
        <w:rPr>
          <w:rFonts w:ascii="Arial" w:hAnsi="Arial" w:cs="Arial"/>
          <w:i/>
          <w:iCs/>
          <w:sz w:val="24"/>
          <w:szCs w:val="24"/>
          <w:lang w:bidi="he-IL"/>
        </w:rPr>
        <w:t>i-</w:t>
      </w:r>
      <w:proofErr w:type="spellStart"/>
      <w:r>
        <w:rPr>
          <w:rFonts w:ascii="Arial" w:hAnsi="Arial" w:cs="Arial"/>
          <w:i/>
          <w:iCs/>
          <w:sz w:val="24"/>
          <w:szCs w:val="24"/>
          <w:lang w:bidi="he-IL"/>
        </w:rPr>
        <w:t>f</w:t>
      </w:r>
      <w:r w:rsidRPr="00AB7812">
        <w:rPr>
          <w:rFonts w:ascii="Arial" w:hAnsi="Arial" w:cs="Arial"/>
          <w:i/>
          <w:iCs/>
          <w:sz w:val="24"/>
          <w:szCs w:val="24"/>
          <w:lang w:bidi="he-IL"/>
        </w:rPr>
        <w:t>shuta</w:t>
      </w:r>
      <w:proofErr w:type="spellEnd"/>
      <w:r w:rsidRPr="00AB7812">
        <w:rPr>
          <w:rFonts w:ascii="Arial" w:hAnsi="Arial" w:cs="Arial"/>
          <w:sz w:val="24"/>
          <w:szCs w:val="24"/>
          <w:lang w:bidi="he-IL"/>
        </w:rPr>
        <w:t xml:space="preserve">, this is one of the examples of variant versions of the Mishna whose source is not an error of any sort, but rather stems from different formulations that were studied in Babylonia and in Israel during the period of the </w:t>
      </w:r>
      <w:proofErr w:type="spellStart"/>
      <w:r w:rsidRPr="00AB7812">
        <w:rPr>
          <w:rFonts w:ascii="Arial" w:hAnsi="Arial" w:cs="Arial"/>
          <w:i/>
          <w:iCs/>
          <w:sz w:val="24"/>
          <w:szCs w:val="24"/>
          <w:lang w:bidi="he-IL"/>
        </w:rPr>
        <w:t>amora’im</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 xml:space="preserve"> </w:t>
      </w:r>
    </w:p>
  </w:footnote>
  <w:footnote w:id="8">
    <w:p w:rsidR="00E8332B" w:rsidRDefault="00E8332B">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The author of the </w:t>
      </w:r>
      <w:proofErr w:type="spellStart"/>
      <w:r w:rsidRPr="00AB7812">
        <w:rPr>
          <w:rFonts w:ascii="Arial" w:hAnsi="Arial" w:cs="Arial"/>
          <w:i/>
          <w:iCs/>
          <w:sz w:val="24"/>
          <w:szCs w:val="24"/>
          <w:lang w:bidi="he-IL"/>
        </w:rPr>
        <w:t>Tiferet</w:t>
      </w:r>
      <w:proofErr w:type="spellEnd"/>
      <w:r w:rsidRPr="00AB7812">
        <w:rPr>
          <w:rFonts w:ascii="Arial" w:hAnsi="Arial" w:cs="Arial"/>
          <w:i/>
          <w:iCs/>
          <w:sz w:val="24"/>
          <w:szCs w:val="24"/>
          <w:lang w:bidi="he-IL"/>
        </w:rPr>
        <w:t xml:space="preserve"> </w:t>
      </w:r>
      <w:proofErr w:type="spellStart"/>
      <w:r w:rsidRPr="00AB7812">
        <w:rPr>
          <w:rFonts w:ascii="Arial" w:hAnsi="Arial" w:cs="Arial"/>
          <w:i/>
          <w:iCs/>
          <w:sz w:val="24"/>
          <w:szCs w:val="24"/>
          <w:lang w:bidi="he-IL"/>
        </w:rPr>
        <w:t>Yisrael</w:t>
      </w:r>
      <w:proofErr w:type="spellEnd"/>
      <w:r w:rsidRPr="00AB7812">
        <w:rPr>
          <w:rFonts w:ascii="Arial" w:hAnsi="Arial" w:cs="Arial"/>
          <w:i/>
          <w:iCs/>
          <w:sz w:val="24"/>
          <w:szCs w:val="24"/>
          <w:lang w:bidi="he-IL"/>
        </w:rPr>
        <w:t xml:space="preserve"> </w:t>
      </w:r>
      <w:r w:rsidRPr="00AB7812">
        <w:rPr>
          <w:rFonts w:ascii="Arial" w:hAnsi="Arial" w:cs="Arial"/>
          <w:sz w:val="24"/>
          <w:szCs w:val="24"/>
          <w:lang w:bidi="he-IL"/>
        </w:rPr>
        <w:t xml:space="preserve">makes an interesting comment with regard to the opinion of Rabbi </w:t>
      </w:r>
      <w:proofErr w:type="spellStart"/>
      <w:r w:rsidRPr="00AB7812">
        <w:rPr>
          <w:rFonts w:ascii="Arial" w:hAnsi="Arial" w:cs="Arial"/>
          <w:sz w:val="24"/>
          <w:szCs w:val="24"/>
          <w:lang w:bidi="he-IL"/>
        </w:rPr>
        <w:t>Yishmael</w:t>
      </w:r>
      <w:proofErr w:type="spellEnd"/>
      <w:r w:rsidRPr="00AB7812">
        <w:rPr>
          <w:rFonts w:ascii="Arial" w:hAnsi="Arial" w:cs="Arial"/>
          <w:sz w:val="24"/>
          <w:szCs w:val="24"/>
          <w:lang w:bidi="he-IL"/>
        </w:rPr>
        <w:t xml:space="preserve">: During the </w:t>
      </w:r>
      <w:r w:rsidR="003C3E1F">
        <w:rPr>
          <w:rFonts w:ascii="Arial" w:hAnsi="Arial" w:cs="Arial"/>
          <w:sz w:val="24"/>
          <w:szCs w:val="24"/>
          <w:lang w:bidi="he-IL"/>
        </w:rPr>
        <w:t>S</w:t>
      </w:r>
      <w:r w:rsidR="003C3E1F" w:rsidRPr="00AB7812">
        <w:rPr>
          <w:rFonts w:ascii="Arial" w:hAnsi="Arial" w:cs="Arial"/>
          <w:sz w:val="24"/>
          <w:szCs w:val="24"/>
          <w:lang w:bidi="he-IL"/>
        </w:rPr>
        <w:t xml:space="preserve">econd </w:t>
      </w:r>
      <w:r w:rsidRPr="00AB7812">
        <w:rPr>
          <w:rFonts w:ascii="Arial" w:hAnsi="Arial" w:cs="Arial"/>
          <w:sz w:val="24"/>
          <w:szCs w:val="24"/>
          <w:lang w:bidi="he-IL"/>
        </w:rPr>
        <w:t xml:space="preserve">Temple period, the Jews were more accustomed to using Greek than Hebrew, and this teaches that when there is a reason for it, there is no concern with the holiness of the script (i.e., using a non-holy script) in the holy Temple. </w:t>
      </w:r>
      <w:r w:rsidRPr="00AB7812">
        <w:rPr>
          <w:rFonts w:ascii="Arial" w:hAnsi="Arial" w:cs="Arial"/>
          <w:i/>
          <w:iCs/>
          <w:sz w:val="24"/>
          <w:szCs w:val="24"/>
          <w:lang w:bidi="he-IL"/>
        </w:rPr>
        <w:t xml:space="preserve"> </w:t>
      </w:r>
    </w:p>
  </w:footnote>
  <w:footnote w:id="9">
    <w:p w:rsidR="00E8332B" w:rsidRDefault="00E8332B" w:rsidP="005A58A6">
      <w:pPr>
        <w:pStyle w:val="FootnoteText"/>
        <w:jc w:val="both"/>
      </w:pPr>
      <w:r w:rsidRPr="00AB7812">
        <w:rPr>
          <w:rStyle w:val="FootnoteReference"/>
          <w:rFonts w:ascii="Arial" w:hAnsi="Arial" w:cs="Arial"/>
          <w:sz w:val="24"/>
          <w:szCs w:val="24"/>
          <w:lang w:bidi="he-IL"/>
        </w:rPr>
        <w:footnoteRef/>
      </w:r>
      <w:r w:rsidRPr="00AB7812">
        <w:rPr>
          <w:rFonts w:ascii="Arial" w:hAnsi="Arial" w:cs="Arial"/>
          <w:sz w:val="24"/>
          <w:szCs w:val="24"/>
          <w:lang w:bidi="he-IL"/>
        </w:rPr>
        <w:t xml:space="preserve"> </w:t>
      </w:r>
      <w:proofErr w:type="spellStart"/>
      <w:r w:rsidRPr="00AB7812">
        <w:rPr>
          <w:rFonts w:ascii="Arial" w:hAnsi="Arial" w:cs="Arial"/>
          <w:i/>
          <w:iCs/>
          <w:sz w:val="24"/>
          <w:szCs w:val="24"/>
          <w:lang w:bidi="he-IL"/>
        </w:rPr>
        <w:t>Mavo</w:t>
      </w:r>
      <w:proofErr w:type="spellEnd"/>
      <w:r w:rsidRPr="00AB7812">
        <w:rPr>
          <w:rFonts w:ascii="Arial" w:hAnsi="Arial" w:cs="Arial"/>
          <w:i/>
          <w:iCs/>
          <w:sz w:val="24"/>
          <w:szCs w:val="24"/>
          <w:lang w:bidi="he-IL"/>
        </w:rPr>
        <w:t xml:space="preserve"> </w:t>
      </w:r>
      <w:proofErr w:type="spellStart"/>
      <w:r w:rsidRPr="00AB7812">
        <w:rPr>
          <w:rFonts w:ascii="Arial" w:hAnsi="Arial" w:cs="Arial"/>
          <w:i/>
          <w:iCs/>
          <w:sz w:val="24"/>
          <w:szCs w:val="24"/>
          <w:lang w:bidi="he-IL"/>
        </w:rPr>
        <w:t>L</w:t>
      </w:r>
      <w:r>
        <w:rPr>
          <w:rFonts w:ascii="Arial" w:hAnsi="Arial" w:cs="Arial"/>
          <w:i/>
          <w:iCs/>
          <w:sz w:val="24"/>
          <w:szCs w:val="24"/>
          <w:lang w:bidi="he-IL"/>
        </w:rPr>
        <w:t>a</w:t>
      </w:r>
      <w:r w:rsidRPr="00AB7812">
        <w:rPr>
          <w:rFonts w:ascii="Arial" w:hAnsi="Arial" w:cs="Arial"/>
          <w:i/>
          <w:iCs/>
          <w:sz w:val="24"/>
          <w:szCs w:val="24"/>
          <w:lang w:bidi="he-IL"/>
        </w:rPr>
        <w:t>Talm</w:t>
      </w:r>
      <w:r>
        <w:rPr>
          <w:rFonts w:ascii="Arial" w:hAnsi="Arial" w:cs="Arial"/>
          <w:i/>
          <w:iCs/>
          <w:sz w:val="24"/>
          <w:szCs w:val="24"/>
          <w:lang w:bidi="he-IL"/>
        </w:rPr>
        <w:t>u</w:t>
      </w:r>
      <w:r w:rsidRPr="00AB7812">
        <w:rPr>
          <w:rFonts w:ascii="Arial" w:hAnsi="Arial" w:cs="Arial"/>
          <w:i/>
          <w:iCs/>
          <w:sz w:val="24"/>
          <w:szCs w:val="24"/>
          <w:lang w:bidi="he-IL"/>
        </w:rPr>
        <w:t>dim</w:t>
      </w:r>
      <w:proofErr w:type="spellEnd"/>
      <w:r>
        <w:rPr>
          <w:rFonts w:ascii="Arial" w:hAnsi="Arial" w:cs="Arial"/>
          <w:sz w:val="24"/>
          <w:szCs w:val="24"/>
          <w:lang w:bidi="he-IL"/>
        </w:rPr>
        <w:t>,</w:t>
      </w:r>
      <w:r w:rsidRPr="00AB7812">
        <w:rPr>
          <w:rFonts w:ascii="Arial" w:hAnsi="Arial" w:cs="Arial"/>
          <w:i/>
          <w:iCs/>
          <w:sz w:val="24"/>
          <w:szCs w:val="24"/>
          <w:lang w:bidi="he-IL"/>
        </w:rPr>
        <w:t xml:space="preserve"> </w:t>
      </w:r>
      <w:r w:rsidRPr="00AB7812">
        <w:rPr>
          <w:rFonts w:ascii="Arial" w:hAnsi="Arial" w:cs="Arial"/>
          <w:sz w:val="24"/>
          <w:szCs w:val="24"/>
          <w:lang w:bidi="he-IL"/>
        </w:rPr>
        <w:t>p.</w:t>
      </w:r>
      <w:r>
        <w:rPr>
          <w:rFonts w:ascii="Arial" w:hAnsi="Arial" w:cs="Arial"/>
          <w:sz w:val="24"/>
          <w:szCs w:val="24"/>
          <w:lang w:bidi="he-IL"/>
        </w:rPr>
        <w:t xml:space="preserve"> </w:t>
      </w:r>
      <w:r w:rsidRPr="00AB7812">
        <w:rPr>
          <w:rFonts w:ascii="Arial" w:hAnsi="Arial" w:cs="Arial"/>
          <w:sz w:val="24"/>
          <w:szCs w:val="24"/>
          <w:lang w:bidi="he-IL"/>
        </w:rPr>
        <w:t>42</w:t>
      </w:r>
      <w:r>
        <w:rPr>
          <w:rFonts w:ascii="Arial" w:hAnsi="Arial" w:cs="Arial"/>
          <w:sz w:val="24"/>
          <w:szCs w:val="24"/>
          <w:lang w:bidi="he-I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DE"/>
    <w:multiLevelType w:val="hybridMultilevel"/>
    <w:tmpl w:val="4F247872"/>
    <w:lvl w:ilvl="0" w:tplc="2C226E7A">
      <w:start w:val="1"/>
      <w:numFmt w:val="upperRoman"/>
      <w:lvlText w:val="%1."/>
      <w:lvlJc w:val="left"/>
      <w:pPr>
        <w:ind w:left="1080" w:hanging="72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A015D"/>
    <w:multiLevelType w:val="hybridMultilevel"/>
    <w:tmpl w:val="4F247872"/>
    <w:lvl w:ilvl="0" w:tplc="2C226E7A">
      <w:start w:val="1"/>
      <w:numFmt w:val="upperRoman"/>
      <w:lvlText w:val="%1."/>
      <w:lvlJc w:val="left"/>
      <w:pPr>
        <w:ind w:left="1080" w:hanging="72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873D6E"/>
    <w:multiLevelType w:val="hybridMultilevel"/>
    <w:tmpl w:val="6C64CA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B1"/>
    <w:rsid w:val="00045707"/>
    <w:rsid w:val="00064863"/>
    <w:rsid w:val="000722DF"/>
    <w:rsid w:val="000805FA"/>
    <w:rsid w:val="000A17DC"/>
    <w:rsid w:val="000A32B1"/>
    <w:rsid w:val="000D701A"/>
    <w:rsid w:val="00102D4A"/>
    <w:rsid w:val="00120A0F"/>
    <w:rsid w:val="00133F4D"/>
    <w:rsid w:val="001A1A77"/>
    <w:rsid w:val="001C1623"/>
    <w:rsid w:val="001E4F6C"/>
    <w:rsid w:val="001F02A8"/>
    <w:rsid w:val="00205798"/>
    <w:rsid w:val="00211499"/>
    <w:rsid w:val="002121C9"/>
    <w:rsid w:val="00260809"/>
    <w:rsid w:val="00262192"/>
    <w:rsid w:val="00282668"/>
    <w:rsid w:val="00286331"/>
    <w:rsid w:val="00291771"/>
    <w:rsid w:val="00292645"/>
    <w:rsid w:val="002D238C"/>
    <w:rsid w:val="002E5B2A"/>
    <w:rsid w:val="003005BE"/>
    <w:rsid w:val="00302FE5"/>
    <w:rsid w:val="00310BD1"/>
    <w:rsid w:val="00334383"/>
    <w:rsid w:val="00334A06"/>
    <w:rsid w:val="0034433C"/>
    <w:rsid w:val="00385DA2"/>
    <w:rsid w:val="00387A85"/>
    <w:rsid w:val="00391EC2"/>
    <w:rsid w:val="003A1367"/>
    <w:rsid w:val="003C3E1F"/>
    <w:rsid w:val="003F2911"/>
    <w:rsid w:val="00402F05"/>
    <w:rsid w:val="004041BD"/>
    <w:rsid w:val="004140FE"/>
    <w:rsid w:val="004366C8"/>
    <w:rsid w:val="004375F3"/>
    <w:rsid w:val="00441439"/>
    <w:rsid w:val="00456439"/>
    <w:rsid w:val="004916ED"/>
    <w:rsid w:val="00491963"/>
    <w:rsid w:val="00495D35"/>
    <w:rsid w:val="004D4628"/>
    <w:rsid w:val="004D6B5D"/>
    <w:rsid w:val="00501CBE"/>
    <w:rsid w:val="00540425"/>
    <w:rsid w:val="0055279F"/>
    <w:rsid w:val="005745BD"/>
    <w:rsid w:val="005807BB"/>
    <w:rsid w:val="00583BAB"/>
    <w:rsid w:val="005916C1"/>
    <w:rsid w:val="005A0BFC"/>
    <w:rsid w:val="005A58A6"/>
    <w:rsid w:val="005D6D55"/>
    <w:rsid w:val="005E28F0"/>
    <w:rsid w:val="005E45FD"/>
    <w:rsid w:val="005F2D40"/>
    <w:rsid w:val="0065124B"/>
    <w:rsid w:val="00653BC9"/>
    <w:rsid w:val="0066165F"/>
    <w:rsid w:val="0066765B"/>
    <w:rsid w:val="00667B6E"/>
    <w:rsid w:val="0067718E"/>
    <w:rsid w:val="006909F0"/>
    <w:rsid w:val="00691DE0"/>
    <w:rsid w:val="006B08AB"/>
    <w:rsid w:val="006B77DE"/>
    <w:rsid w:val="006C0B43"/>
    <w:rsid w:val="006D368A"/>
    <w:rsid w:val="006D5FDC"/>
    <w:rsid w:val="006E0068"/>
    <w:rsid w:val="006F00B1"/>
    <w:rsid w:val="00721A25"/>
    <w:rsid w:val="00727E11"/>
    <w:rsid w:val="00741134"/>
    <w:rsid w:val="00743182"/>
    <w:rsid w:val="00753539"/>
    <w:rsid w:val="00767CF3"/>
    <w:rsid w:val="00796CF7"/>
    <w:rsid w:val="00845796"/>
    <w:rsid w:val="00873046"/>
    <w:rsid w:val="00876B83"/>
    <w:rsid w:val="00886CCC"/>
    <w:rsid w:val="008B3D00"/>
    <w:rsid w:val="008B7A91"/>
    <w:rsid w:val="008D4ACC"/>
    <w:rsid w:val="00902230"/>
    <w:rsid w:val="00910664"/>
    <w:rsid w:val="00940D4B"/>
    <w:rsid w:val="00975D04"/>
    <w:rsid w:val="0098109F"/>
    <w:rsid w:val="009849C3"/>
    <w:rsid w:val="009855A1"/>
    <w:rsid w:val="00996145"/>
    <w:rsid w:val="009C15B3"/>
    <w:rsid w:val="009D0D57"/>
    <w:rsid w:val="009D2982"/>
    <w:rsid w:val="00A2029D"/>
    <w:rsid w:val="00A262EC"/>
    <w:rsid w:val="00A40859"/>
    <w:rsid w:val="00A62456"/>
    <w:rsid w:val="00A76C62"/>
    <w:rsid w:val="00A76C73"/>
    <w:rsid w:val="00AB7812"/>
    <w:rsid w:val="00AC07A7"/>
    <w:rsid w:val="00AE3556"/>
    <w:rsid w:val="00AE54A3"/>
    <w:rsid w:val="00AF1B4D"/>
    <w:rsid w:val="00B21EB9"/>
    <w:rsid w:val="00B4656E"/>
    <w:rsid w:val="00B47DE8"/>
    <w:rsid w:val="00B700C6"/>
    <w:rsid w:val="00B90FF3"/>
    <w:rsid w:val="00BA07F9"/>
    <w:rsid w:val="00BA7676"/>
    <w:rsid w:val="00BC27E9"/>
    <w:rsid w:val="00BC5BFB"/>
    <w:rsid w:val="00BC5E5F"/>
    <w:rsid w:val="00BD6236"/>
    <w:rsid w:val="00BF72AC"/>
    <w:rsid w:val="00C242D2"/>
    <w:rsid w:val="00C72030"/>
    <w:rsid w:val="00C826ED"/>
    <w:rsid w:val="00C845A0"/>
    <w:rsid w:val="00C87275"/>
    <w:rsid w:val="00CF1F07"/>
    <w:rsid w:val="00CF4892"/>
    <w:rsid w:val="00CF68B1"/>
    <w:rsid w:val="00D02836"/>
    <w:rsid w:val="00D058A4"/>
    <w:rsid w:val="00D463F8"/>
    <w:rsid w:val="00D778A2"/>
    <w:rsid w:val="00D87056"/>
    <w:rsid w:val="00DD4AF9"/>
    <w:rsid w:val="00E41202"/>
    <w:rsid w:val="00E51325"/>
    <w:rsid w:val="00E56DA4"/>
    <w:rsid w:val="00E8332B"/>
    <w:rsid w:val="00E92FB2"/>
    <w:rsid w:val="00E93BA5"/>
    <w:rsid w:val="00E9689B"/>
    <w:rsid w:val="00ED59B3"/>
    <w:rsid w:val="00ED5E79"/>
    <w:rsid w:val="00EE53BE"/>
    <w:rsid w:val="00F02405"/>
    <w:rsid w:val="00F2117D"/>
    <w:rsid w:val="00F469DE"/>
    <w:rsid w:val="00F46BD6"/>
    <w:rsid w:val="00FA67F9"/>
    <w:rsid w:val="00FA7370"/>
    <w:rsid w:val="00FB6961"/>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4D"/>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876B83"/>
    <w:pPr>
      <w:keepNext/>
      <w:keepLines/>
      <w:spacing w:before="480"/>
      <w:outlineLvl w:val="0"/>
    </w:pPr>
    <w:rPr>
      <w:rFonts w:ascii="Cambria" w:eastAsia="Times New Roman" w:hAnsi="Cambria"/>
      <w:b/>
      <w:bCs/>
      <w:color w:val="365F91"/>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6B83"/>
    <w:rPr>
      <w:rFonts w:ascii="Cambria" w:hAnsi="Cambria" w:cs="Mangal"/>
      <w:b/>
      <w:bCs/>
      <w:color w:val="365F91"/>
      <w:kern w:val="1"/>
      <w:sz w:val="25"/>
      <w:szCs w:val="25"/>
      <w:lang w:eastAsia="hi-IN" w:bidi="hi-IN"/>
    </w:rPr>
  </w:style>
  <w:style w:type="paragraph" w:styleId="Caption">
    <w:name w:val="caption"/>
    <w:basedOn w:val="Normal"/>
    <w:uiPriority w:val="99"/>
    <w:qFormat/>
    <w:rsid w:val="00133F4D"/>
    <w:pPr>
      <w:suppressLineNumbers/>
      <w:spacing w:before="120" w:after="120"/>
    </w:pPr>
    <w:rPr>
      <w:i/>
      <w:iCs/>
    </w:rPr>
  </w:style>
  <w:style w:type="paragraph" w:styleId="NoSpacing">
    <w:name w:val="No Spacing"/>
    <w:uiPriority w:val="99"/>
    <w:qFormat/>
    <w:rsid w:val="00133F4D"/>
    <w:pPr>
      <w:suppressAutoHyphens/>
    </w:pPr>
    <w:rPr>
      <w:rFonts w:ascii="Calibri" w:hAnsi="Calibri" w:cs="Arial"/>
      <w:sz w:val="22"/>
      <w:szCs w:val="22"/>
      <w:lang w:eastAsia="ar-SA" w:bidi="ar-SA"/>
    </w:rPr>
  </w:style>
  <w:style w:type="paragraph" w:styleId="ListParagraph">
    <w:name w:val="List Paragraph"/>
    <w:basedOn w:val="Normal"/>
    <w:uiPriority w:val="99"/>
    <w:qFormat/>
    <w:rsid w:val="006F00B1"/>
    <w:pPr>
      <w:ind w:left="720"/>
      <w:contextualSpacing/>
    </w:pPr>
    <w:rPr>
      <w:szCs w:val="21"/>
    </w:rPr>
  </w:style>
  <w:style w:type="paragraph" w:styleId="FootnoteText">
    <w:name w:val="footnote text"/>
    <w:basedOn w:val="Normal"/>
    <w:link w:val="FootnoteTextChar"/>
    <w:uiPriority w:val="99"/>
    <w:semiHidden/>
    <w:rsid w:val="00491963"/>
    <w:rPr>
      <w:sz w:val="20"/>
      <w:szCs w:val="18"/>
    </w:rPr>
  </w:style>
  <w:style w:type="character" w:customStyle="1" w:styleId="FootnoteTextChar">
    <w:name w:val="Footnote Text Char"/>
    <w:link w:val="FootnoteText"/>
    <w:uiPriority w:val="99"/>
    <w:semiHidden/>
    <w:locked/>
    <w:rsid w:val="00491963"/>
    <w:rPr>
      <w:rFonts w:eastAsia="SimSun" w:cs="Mangal"/>
      <w:kern w:val="1"/>
      <w:sz w:val="18"/>
      <w:szCs w:val="18"/>
      <w:lang w:eastAsia="hi-IN" w:bidi="hi-IN"/>
    </w:rPr>
  </w:style>
  <w:style w:type="character" w:styleId="FootnoteReference">
    <w:name w:val="footnote reference"/>
    <w:uiPriority w:val="99"/>
    <w:semiHidden/>
    <w:rsid w:val="00491963"/>
    <w:rPr>
      <w:rFonts w:cs="Times New Roman"/>
      <w:vertAlign w:val="superscript"/>
    </w:rPr>
  </w:style>
  <w:style w:type="paragraph" w:styleId="Title">
    <w:name w:val="Title"/>
    <w:basedOn w:val="Normal"/>
    <w:next w:val="Normal"/>
    <w:link w:val="TitleChar"/>
    <w:uiPriority w:val="99"/>
    <w:qFormat/>
    <w:rsid w:val="00876B83"/>
    <w:pPr>
      <w:pBdr>
        <w:bottom w:val="single" w:sz="8" w:space="4" w:color="4F81BD"/>
      </w:pBdr>
      <w:spacing w:after="300"/>
      <w:contextualSpacing/>
    </w:pPr>
    <w:rPr>
      <w:rFonts w:ascii="Cambria" w:eastAsia="Times New Roman" w:hAnsi="Cambria"/>
      <w:color w:val="17365D"/>
      <w:spacing w:val="5"/>
      <w:kern w:val="28"/>
      <w:sz w:val="52"/>
      <w:szCs w:val="47"/>
    </w:rPr>
  </w:style>
  <w:style w:type="character" w:customStyle="1" w:styleId="TitleChar">
    <w:name w:val="Title Char"/>
    <w:link w:val="Title"/>
    <w:uiPriority w:val="99"/>
    <w:locked/>
    <w:rsid w:val="00876B83"/>
    <w:rPr>
      <w:rFonts w:ascii="Cambria" w:hAnsi="Cambria" w:cs="Mangal"/>
      <w:color w:val="17365D"/>
      <w:spacing w:val="5"/>
      <w:kern w:val="28"/>
      <w:sz w:val="47"/>
      <w:szCs w:val="47"/>
      <w:lang w:eastAsia="hi-IN" w:bidi="hi-IN"/>
    </w:rPr>
  </w:style>
  <w:style w:type="character" w:styleId="CommentReference">
    <w:name w:val="annotation reference"/>
    <w:uiPriority w:val="99"/>
    <w:semiHidden/>
    <w:rsid w:val="00876B83"/>
    <w:rPr>
      <w:rFonts w:cs="Times New Roman"/>
      <w:sz w:val="16"/>
      <w:szCs w:val="16"/>
    </w:rPr>
  </w:style>
  <w:style w:type="paragraph" w:styleId="CommentText">
    <w:name w:val="annotation text"/>
    <w:basedOn w:val="Normal"/>
    <w:link w:val="CommentTextChar"/>
    <w:uiPriority w:val="99"/>
    <w:semiHidden/>
    <w:rsid w:val="00876B83"/>
    <w:rPr>
      <w:sz w:val="20"/>
      <w:szCs w:val="18"/>
    </w:rPr>
  </w:style>
  <w:style w:type="character" w:customStyle="1" w:styleId="CommentTextChar">
    <w:name w:val="Comment Text Char"/>
    <w:link w:val="CommentText"/>
    <w:uiPriority w:val="99"/>
    <w:semiHidden/>
    <w:locked/>
    <w:rsid w:val="00876B83"/>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876B83"/>
    <w:rPr>
      <w:b/>
      <w:bCs/>
    </w:rPr>
  </w:style>
  <w:style w:type="character" w:customStyle="1" w:styleId="CommentSubjectChar">
    <w:name w:val="Comment Subject Char"/>
    <w:link w:val="CommentSubject"/>
    <w:uiPriority w:val="99"/>
    <w:semiHidden/>
    <w:locked/>
    <w:rsid w:val="00876B83"/>
    <w:rPr>
      <w:rFonts w:eastAsia="SimSun" w:cs="Mangal"/>
      <w:b/>
      <w:bCs/>
      <w:kern w:val="1"/>
      <w:sz w:val="18"/>
      <w:szCs w:val="18"/>
      <w:lang w:eastAsia="hi-IN" w:bidi="hi-IN"/>
    </w:rPr>
  </w:style>
  <w:style w:type="paragraph" w:styleId="BalloonText">
    <w:name w:val="Balloon Text"/>
    <w:basedOn w:val="Normal"/>
    <w:link w:val="BalloonTextChar"/>
    <w:uiPriority w:val="99"/>
    <w:semiHidden/>
    <w:rsid w:val="00876B83"/>
    <w:rPr>
      <w:rFonts w:ascii="Tahoma" w:hAnsi="Tahoma"/>
      <w:sz w:val="16"/>
      <w:szCs w:val="14"/>
    </w:rPr>
  </w:style>
  <w:style w:type="character" w:customStyle="1" w:styleId="BalloonTextChar">
    <w:name w:val="Balloon Text Char"/>
    <w:link w:val="BalloonText"/>
    <w:uiPriority w:val="99"/>
    <w:semiHidden/>
    <w:locked/>
    <w:rsid w:val="00876B83"/>
    <w:rPr>
      <w:rFonts w:ascii="Tahoma" w:eastAsia="SimSun" w:hAnsi="Tahoma" w:cs="Mangal"/>
      <w:kern w:val="1"/>
      <w:sz w:val="14"/>
      <w:szCs w:val="14"/>
      <w:lang w:eastAsia="hi-IN" w:bidi="hi-IN"/>
    </w:rPr>
  </w:style>
  <w:style w:type="paragraph" w:customStyle="1" w:styleId="CC">
    <w:name w:val="CC"/>
    <w:basedOn w:val="BodyText"/>
    <w:uiPriority w:val="99"/>
    <w:rsid w:val="00AB7812"/>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rsid w:val="00AB7812"/>
    <w:pPr>
      <w:spacing w:after="120"/>
    </w:pPr>
  </w:style>
  <w:style w:type="character" w:customStyle="1" w:styleId="BodyTextChar">
    <w:name w:val="Body Text Char"/>
    <w:link w:val="BodyText"/>
    <w:uiPriority w:val="99"/>
    <w:semiHidden/>
    <w:rsid w:val="00034B9C"/>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4D"/>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uiPriority w:val="99"/>
    <w:qFormat/>
    <w:rsid w:val="00876B83"/>
    <w:pPr>
      <w:keepNext/>
      <w:keepLines/>
      <w:spacing w:before="480"/>
      <w:outlineLvl w:val="0"/>
    </w:pPr>
    <w:rPr>
      <w:rFonts w:ascii="Cambria" w:eastAsia="Times New Roman" w:hAnsi="Cambria"/>
      <w:b/>
      <w:bCs/>
      <w:color w:val="365F91"/>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6B83"/>
    <w:rPr>
      <w:rFonts w:ascii="Cambria" w:hAnsi="Cambria" w:cs="Mangal"/>
      <w:b/>
      <w:bCs/>
      <w:color w:val="365F91"/>
      <w:kern w:val="1"/>
      <w:sz w:val="25"/>
      <w:szCs w:val="25"/>
      <w:lang w:eastAsia="hi-IN" w:bidi="hi-IN"/>
    </w:rPr>
  </w:style>
  <w:style w:type="paragraph" w:styleId="Caption">
    <w:name w:val="caption"/>
    <w:basedOn w:val="Normal"/>
    <w:uiPriority w:val="99"/>
    <w:qFormat/>
    <w:rsid w:val="00133F4D"/>
    <w:pPr>
      <w:suppressLineNumbers/>
      <w:spacing w:before="120" w:after="120"/>
    </w:pPr>
    <w:rPr>
      <w:i/>
      <w:iCs/>
    </w:rPr>
  </w:style>
  <w:style w:type="paragraph" w:styleId="NoSpacing">
    <w:name w:val="No Spacing"/>
    <w:uiPriority w:val="99"/>
    <w:qFormat/>
    <w:rsid w:val="00133F4D"/>
    <w:pPr>
      <w:suppressAutoHyphens/>
    </w:pPr>
    <w:rPr>
      <w:rFonts w:ascii="Calibri" w:hAnsi="Calibri" w:cs="Arial"/>
      <w:sz w:val="22"/>
      <w:szCs w:val="22"/>
      <w:lang w:eastAsia="ar-SA" w:bidi="ar-SA"/>
    </w:rPr>
  </w:style>
  <w:style w:type="paragraph" w:styleId="ListParagraph">
    <w:name w:val="List Paragraph"/>
    <w:basedOn w:val="Normal"/>
    <w:uiPriority w:val="99"/>
    <w:qFormat/>
    <w:rsid w:val="006F00B1"/>
    <w:pPr>
      <w:ind w:left="720"/>
      <w:contextualSpacing/>
    </w:pPr>
    <w:rPr>
      <w:szCs w:val="21"/>
    </w:rPr>
  </w:style>
  <w:style w:type="paragraph" w:styleId="FootnoteText">
    <w:name w:val="footnote text"/>
    <w:basedOn w:val="Normal"/>
    <w:link w:val="FootnoteTextChar"/>
    <w:uiPriority w:val="99"/>
    <w:semiHidden/>
    <w:rsid w:val="00491963"/>
    <w:rPr>
      <w:sz w:val="20"/>
      <w:szCs w:val="18"/>
    </w:rPr>
  </w:style>
  <w:style w:type="character" w:customStyle="1" w:styleId="FootnoteTextChar">
    <w:name w:val="Footnote Text Char"/>
    <w:link w:val="FootnoteText"/>
    <w:uiPriority w:val="99"/>
    <w:semiHidden/>
    <w:locked/>
    <w:rsid w:val="00491963"/>
    <w:rPr>
      <w:rFonts w:eastAsia="SimSun" w:cs="Mangal"/>
      <w:kern w:val="1"/>
      <w:sz w:val="18"/>
      <w:szCs w:val="18"/>
      <w:lang w:eastAsia="hi-IN" w:bidi="hi-IN"/>
    </w:rPr>
  </w:style>
  <w:style w:type="character" w:styleId="FootnoteReference">
    <w:name w:val="footnote reference"/>
    <w:uiPriority w:val="99"/>
    <w:semiHidden/>
    <w:rsid w:val="00491963"/>
    <w:rPr>
      <w:rFonts w:cs="Times New Roman"/>
      <w:vertAlign w:val="superscript"/>
    </w:rPr>
  </w:style>
  <w:style w:type="paragraph" w:styleId="Title">
    <w:name w:val="Title"/>
    <w:basedOn w:val="Normal"/>
    <w:next w:val="Normal"/>
    <w:link w:val="TitleChar"/>
    <w:uiPriority w:val="99"/>
    <w:qFormat/>
    <w:rsid w:val="00876B83"/>
    <w:pPr>
      <w:pBdr>
        <w:bottom w:val="single" w:sz="8" w:space="4" w:color="4F81BD"/>
      </w:pBdr>
      <w:spacing w:after="300"/>
      <w:contextualSpacing/>
    </w:pPr>
    <w:rPr>
      <w:rFonts w:ascii="Cambria" w:eastAsia="Times New Roman" w:hAnsi="Cambria"/>
      <w:color w:val="17365D"/>
      <w:spacing w:val="5"/>
      <w:kern w:val="28"/>
      <w:sz w:val="52"/>
      <w:szCs w:val="47"/>
    </w:rPr>
  </w:style>
  <w:style w:type="character" w:customStyle="1" w:styleId="TitleChar">
    <w:name w:val="Title Char"/>
    <w:link w:val="Title"/>
    <w:uiPriority w:val="99"/>
    <w:locked/>
    <w:rsid w:val="00876B83"/>
    <w:rPr>
      <w:rFonts w:ascii="Cambria" w:hAnsi="Cambria" w:cs="Mangal"/>
      <w:color w:val="17365D"/>
      <w:spacing w:val="5"/>
      <w:kern w:val="28"/>
      <w:sz w:val="47"/>
      <w:szCs w:val="47"/>
      <w:lang w:eastAsia="hi-IN" w:bidi="hi-IN"/>
    </w:rPr>
  </w:style>
  <w:style w:type="character" w:styleId="CommentReference">
    <w:name w:val="annotation reference"/>
    <w:uiPriority w:val="99"/>
    <w:semiHidden/>
    <w:rsid w:val="00876B83"/>
    <w:rPr>
      <w:rFonts w:cs="Times New Roman"/>
      <w:sz w:val="16"/>
      <w:szCs w:val="16"/>
    </w:rPr>
  </w:style>
  <w:style w:type="paragraph" w:styleId="CommentText">
    <w:name w:val="annotation text"/>
    <w:basedOn w:val="Normal"/>
    <w:link w:val="CommentTextChar"/>
    <w:uiPriority w:val="99"/>
    <w:semiHidden/>
    <w:rsid w:val="00876B83"/>
    <w:rPr>
      <w:sz w:val="20"/>
      <w:szCs w:val="18"/>
    </w:rPr>
  </w:style>
  <w:style w:type="character" w:customStyle="1" w:styleId="CommentTextChar">
    <w:name w:val="Comment Text Char"/>
    <w:link w:val="CommentText"/>
    <w:uiPriority w:val="99"/>
    <w:semiHidden/>
    <w:locked/>
    <w:rsid w:val="00876B83"/>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876B83"/>
    <w:rPr>
      <w:b/>
      <w:bCs/>
    </w:rPr>
  </w:style>
  <w:style w:type="character" w:customStyle="1" w:styleId="CommentSubjectChar">
    <w:name w:val="Comment Subject Char"/>
    <w:link w:val="CommentSubject"/>
    <w:uiPriority w:val="99"/>
    <w:semiHidden/>
    <w:locked/>
    <w:rsid w:val="00876B83"/>
    <w:rPr>
      <w:rFonts w:eastAsia="SimSun" w:cs="Mangal"/>
      <w:b/>
      <w:bCs/>
      <w:kern w:val="1"/>
      <w:sz w:val="18"/>
      <w:szCs w:val="18"/>
      <w:lang w:eastAsia="hi-IN" w:bidi="hi-IN"/>
    </w:rPr>
  </w:style>
  <w:style w:type="paragraph" w:styleId="BalloonText">
    <w:name w:val="Balloon Text"/>
    <w:basedOn w:val="Normal"/>
    <w:link w:val="BalloonTextChar"/>
    <w:uiPriority w:val="99"/>
    <w:semiHidden/>
    <w:rsid w:val="00876B83"/>
    <w:rPr>
      <w:rFonts w:ascii="Tahoma" w:hAnsi="Tahoma"/>
      <w:sz w:val="16"/>
      <w:szCs w:val="14"/>
    </w:rPr>
  </w:style>
  <w:style w:type="character" w:customStyle="1" w:styleId="BalloonTextChar">
    <w:name w:val="Balloon Text Char"/>
    <w:link w:val="BalloonText"/>
    <w:uiPriority w:val="99"/>
    <w:semiHidden/>
    <w:locked/>
    <w:rsid w:val="00876B83"/>
    <w:rPr>
      <w:rFonts w:ascii="Tahoma" w:eastAsia="SimSun" w:hAnsi="Tahoma" w:cs="Mangal"/>
      <w:kern w:val="1"/>
      <w:sz w:val="14"/>
      <w:szCs w:val="14"/>
      <w:lang w:eastAsia="hi-IN" w:bidi="hi-IN"/>
    </w:rPr>
  </w:style>
  <w:style w:type="paragraph" w:customStyle="1" w:styleId="CC">
    <w:name w:val="CC"/>
    <w:basedOn w:val="BodyText"/>
    <w:uiPriority w:val="99"/>
    <w:rsid w:val="00AB7812"/>
    <w:pPr>
      <w:keepLines/>
      <w:suppressAutoHyphens w:val="0"/>
      <w:autoSpaceDE w:val="0"/>
      <w:autoSpaceDN w:val="0"/>
      <w:spacing w:after="160"/>
      <w:ind w:left="360" w:hanging="360"/>
    </w:pPr>
    <w:rPr>
      <w:rFonts w:eastAsia="Calibri" w:cs="Miriam"/>
      <w:kern w:val="0"/>
      <w:sz w:val="20"/>
      <w:szCs w:val="20"/>
      <w:lang w:eastAsia="en-US" w:bidi="he-IL"/>
    </w:rPr>
  </w:style>
  <w:style w:type="paragraph" w:styleId="BodyText">
    <w:name w:val="Body Text"/>
    <w:basedOn w:val="Normal"/>
    <w:link w:val="BodyTextChar"/>
    <w:uiPriority w:val="99"/>
    <w:rsid w:val="00AB7812"/>
    <w:pPr>
      <w:spacing w:after="120"/>
    </w:pPr>
  </w:style>
  <w:style w:type="character" w:customStyle="1" w:styleId="BodyTextChar">
    <w:name w:val="Body Text Char"/>
    <w:link w:val="BodyText"/>
    <w:uiPriority w:val="99"/>
    <w:semiHidden/>
    <w:rsid w:val="00034B9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2D3F-89C9-4B8E-A2EE-B0085BD8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Commentaries on the Mishna Series</vt:lpstr>
    </vt:vector>
  </TitlesOfParts>
  <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Commentaries on the Mishna Series</dc:title>
  <dc:creator>Eli Ozarowski</dc:creator>
  <cp:lastModifiedBy>Reuven Ziegler, Koren Publishers Jerusalem</cp:lastModifiedBy>
  <cp:revision>4</cp:revision>
  <dcterms:created xsi:type="dcterms:W3CDTF">2016-10-18T20:12:00Z</dcterms:created>
  <dcterms:modified xsi:type="dcterms:W3CDTF">2016-10-18T20:14:00Z</dcterms:modified>
</cp:coreProperties>
</file>