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09" w:rsidRPr="008C5609" w:rsidRDefault="008C5609" w:rsidP="008C5609">
      <w:pPr>
        <w:pStyle w:val="1"/>
        <w:jc w:val="left"/>
        <w:rPr>
          <w:sz w:val="24"/>
          <w:szCs w:val="24"/>
          <w:rtl/>
        </w:rPr>
      </w:pPr>
      <w:r w:rsidRPr="008C5609">
        <w:rPr>
          <w:rFonts w:hint="cs"/>
          <w:sz w:val="24"/>
          <w:szCs w:val="24"/>
          <w:rtl/>
        </w:rPr>
        <w:t xml:space="preserve">הרב משה ליכטנשטיין </w:t>
      </w:r>
      <w:proofErr w:type="spellStart"/>
      <w:r w:rsidRPr="008C5609">
        <w:rPr>
          <w:rFonts w:hint="cs"/>
          <w:sz w:val="24"/>
          <w:szCs w:val="24"/>
          <w:rtl/>
        </w:rPr>
        <w:t>שליט"א</w:t>
      </w:r>
      <w:proofErr w:type="spellEnd"/>
      <w:r>
        <w:rPr>
          <w:rFonts w:hint="cs"/>
          <w:sz w:val="24"/>
          <w:szCs w:val="24"/>
          <w:rtl/>
        </w:rPr>
        <w:t xml:space="preserve">                  שיחה לפרשת נח</w:t>
      </w:r>
    </w:p>
    <w:p w:rsidR="00645481" w:rsidRPr="00C1023C" w:rsidRDefault="00AD3555" w:rsidP="00645481">
      <w:pPr>
        <w:pStyle w:val="1"/>
        <w:rPr>
          <w:sz w:val="22"/>
          <w:szCs w:val="46"/>
          <w:rtl/>
        </w:rPr>
      </w:pPr>
      <w:r>
        <w:rPr>
          <w:rFonts w:hint="cs"/>
          <w:rtl/>
        </w:rPr>
        <w:t xml:space="preserve">סיפור </w:t>
      </w:r>
      <w:r w:rsidR="00645481">
        <w:rPr>
          <w:rFonts w:hint="cs"/>
          <w:rtl/>
        </w:rPr>
        <w:t>שכרותו של נח</w:t>
      </w:r>
      <w:r w:rsidR="00645481" w:rsidRPr="00C1023C">
        <w:rPr>
          <w:rStyle w:val="a5"/>
          <w:sz w:val="20"/>
          <w:szCs w:val="20"/>
          <w:rtl/>
        </w:rPr>
        <w:footnoteReference w:customMarkFollows="1" w:id="1"/>
        <w:t>*</w:t>
      </w:r>
    </w:p>
    <w:p w:rsidR="00AD3555" w:rsidRDefault="00346BDA" w:rsidP="00AD3555">
      <w:pPr>
        <w:rPr>
          <w:rtl/>
        </w:rPr>
      </w:pPr>
      <w:r>
        <w:rPr>
          <w:rFonts w:hint="cs"/>
          <w:rtl/>
        </w:rPr>
        <w:t>ס</w:t>
      </w:r>
      <w:bookmarkStart w:id="1" w:name="_GoBack"/>
      <w:bookmarkEnd w:id="1"/>
      <w:r w:rsidR="00AD3555">
        <w:rPr>
          <w:rFonts w:hint="cs"/>
          <w:rtl/>
        </w:rPr>
        <w:t>יפורי ספר בראשית מובאים במתכונת של עיסוק בעניינים משפחתיים. ספר בראשית איננו מסופר מההיבט הלאומי, הוא איננו מספר את סיפורן ש</w:t>
      </w:r>
      <w:r w:rsidR="008C5609">
        <w:rPr>
          <w:rFonts w:hint="cs"/>
          <w:rtl/>
        </w:rPr>
        <w:t>ל מדינות ומעצמות והיחסים ביניהן</w:t>
      </w:r>
      <w:r w:rsidR="00AD3555">
        <w:rPr>
          <w:rFonts w:hint="cs"/>
          <w:rtl/>
        </w:rPr>
        <w:t>; הוא עוסק במערכות היחסים האישיות שבמשפחותיהם של אבות העולם והאומה. כך מובא במדרש:</w:t>
      </w:r>
    </w:p>
    <w:p w:rsidR="008C5609" w:rsidRDefault="008C5609" w:rsidP="008C5609">
      <w:pPr>
        <w:pStyle w:val="a9"/>
        <w:rPr>
          <w:rtl/>
        </w:rPr>
      </w:pPr>
      <w:r>
        <w:rPr>
          <w:rFonts w:hint="cs"/>
          <w:rtl/>
        </w:rPr>
        <w:t xml:space="preserve">"בן </w:t>
      </w:r>
      <w:proofErr w:type="spellStart"/>
      <w:r>
        <w:rPr>
          <w:rFonts w:hint="cs"/>
          <w:rtl/>
        </w:rPr>
        <w:t>עזאי</w:t>
      </w:r>
      <w:proofErr w:type="spellEnd"/>
      <w:r>
        <w:rPr>
          <w:rFonts w:hint="cs"/>
          <w:rtl/>
        </w:rPr>
        <w:t xml:space="preserve"> אומר: 'זה ספר תולדות אדם'</w:t>
      </w:r>
      <w:r w:rsidR="00AD3555">
        <w:rPr>
          <w:rFonts w:hint="cs"/>
          <w:rtl/>
        </w:rPr>
        <w:t xml:space="preserve"> (בראשית ה', א) </w:t>
      </w:r>
      <w:r w:rsidR="00AD3555">
        <w:rPr>
          <w:rtl/>
        </w:rPr>
        <w:t>–</w:t>
      </w:r>
      <w:r>
        <w:rPr>
          <w:rFonts w:hint="cs"/>
          <w:rtl/>
        </w:rPr>
        <w:t xml:space="preserve"> זה כלל גדול בתורה".</w:t>
      </w:r>
      <w:r w:rsidR="00AD3555">
        <w:rPr>
          <w:rFonts w:hint="cs"/>
          <w:rtl/>
        </w:rPr>
        <w:t xml:space="preserve"> </w:t>
      </w:r>
    </w:p>
    <w:p w:rsidR="00AD3555" w:rsidRPr="008C5609" w:rsidRDefault="008C5609" w:rsidP="008C5609">
      <w:pPr>
        <w:ind w:left="720"/>
        <w:jc w:val="right"/>
        <w:rPr>
          <w:szCs w:val="20"/>
          <w:rtl/>
        </w:rPr>
      </w:pPr>
      <w:r>
        <w:rPr>
          <w:rFonts w:hint="cs"/>
          <w:szCs w:val="20"/>
          <w:rtl/>
        </w:rPr>
        <w:t>(בראשית רבה כ"ד, ו)</w:t>
      </w:r>
      <w:r w:rsidR="00AD3555" w:rsidRPr="008C5609">
        <w:rPr>
          <w:rFonts w:hint="cs"/>
          <w:szCs w:val="20"/>
          <w:rtl/>
        </w:rPr>
        <w:t xml:space="preserve">  </w:t>
      </w:r>
    </w:p>
    <w:p w:rsidR="00AD3555" w:rsidRDefault="008C5609" w:rsidP="008C5609">
      <w:pPr>
        <w:rPr>
          <w:rtl/>
        </w:rPr>
      </w:pPr>
      <w:r>
        <w:rPr>
          <w:rFonts w:hint="cs"/>
          <w:rtl/>
        </w:rPr>
        <w:t>בסיפור שכרותו של נח</w:t>
      </w:r>
      <w:r>
        <w:rPr>
          <w:rStyle w:val="a5"/>
          <w:rtl/>
        </w:rPr>
        <w:footnoteReference w:id="2"/>
      </w:r>
      <w:r>
        <w:rPr>
          <w:rFonts w:hint="cs"/>
          <w:rtl/>
        </w:rPr>
        <w:t xml:space="preserve"> מוצג נ</w:t>
      </w:r>
      <w:r w:rsidR="00AD3555">
        <w:rPr>
          <w:rFonts w:hint="cs"/>
          <w:rtl/>
        </w:rPr>
        <w:t>ח בדמות הניצול, הרואה עולם בנוי וחרב ו</w:t>
      </w:r>
      <w:r>
        <w:rPr>
          <w:rFonts w:hint="cs"/>
          <w:rtl/>
        </w:rPr>
        <w:t>בנוי, והסיפור מתאר את הדרך בה נ</w:t>
      </w:r>
      <w:r w:rsidR="00AD3555">
        <w:rPr>
          <w:rFonts w:hint="cs"/>
          <w:rtl/>
        </w:rPr>
        <w:t xml:space="preserve">ח מתמודד עם המהפך שעבר עליו. </w:t>
      </w:r>
      <w:r>
        <w:rPr>
          <w:rFonts w:hint="cs"/>
          <w:rtl/>
        </w:rPr>
        <w:t>אלא, שב</w:t>
      </w:r>
      <w:r w:rsidR="00AD3555">
        <w:rPr>
          <w:rFonts w:hint="cs"/>
          <w:rtl/>
        </w:rPr>
        <w:t xml:space="preserve">סיפור מובא גם הצד השני של המטבע: כיצד העולם מתמודד </w:t>
      </w:r>
      <w:proofErr w:type="spellStart"/>
      <w:r w:rsidR="00AD3555">
        <w:rPr>
          <w:rFonts w:hint="cs"/>
          <w:rtl/>
        </w:rPr>
        <w:t>איתו</w:t>
      </w:r>
      <w:proofErr w:type="spellEnd"/>
      <w:r w:rsidR="00AD3555">
        <w:rPr>
          <w:rFonts w:hint="cs"/>
          <w:rtl/>
        </w:rPr>
        <w:t xml:space="preserve">. </w:t>
      </w:r>
    </w:p>
    <w:p w:rsidR="00AD3555" w:rsidRDefault="00AD3555" w:rsidP="00616AAD">
      <w:pPr>
        <w:rPr>
          <w:rtl/>
        </w:rPr>
      </w:pPr>
      <w:r>
        <w:rPr>
          <w:rFonts w:hint="cs"/>
          <w:rtl/>
        </w:rPr>
        <w:t>גם על שם, חם ויפת עב</w:t>
      </w:r>
      <w:r w:rsidR="008C5609">
        <w:rPr>
          <w:rFonts w:hint="cs"/>
          <w:rtl/>
        </w:rPr>
        <w:t>ר מהפך. בעשור השישים של חייו, נ</w:t>
      </w:r>
      <w:r>
        <w:rPr>
          <w:rFonts w:hint="cs"/>
          <w:rtl/>
        </w:rPr>
        <w:t xml:space="preserve">ח מאבד את כוחו ואת יכולת ההובלה שלו, ומתגלה </w:t>
      </w:r>
      <w:proofErr w:type="spellStart"/>
      <w:r>
        <w:rPr>
          <w:rFonts w:hint="cs"/>
          <w:rtl/>
        </w:rPr>
        <w:t>בשפלותו</w:t>
      </w:r>
      <w:proofErr w:type="spellEnd"/>
      <w:r>
        <w:rPr>
          <w:rFonts w:hint="cs"/>
          <w:rtl/>
        </w:rPr>
        <w:t xml:space="preserve"> לעיני ילדיו. אם כל ילד מעריץ את הוריו בתחילת דרכו </w:t>
      </w:r>
      <w:r>
        <w:rPr>
          <w:rtl/>
        </w:rPr>
        <w:t>–</w:t>
      </w:r>
      <w:r w:rsidR="00616AAD">
        <w:rPr>
          <w:rFonts w:hint="cs"/>
          <w:rtl/>
        </w:rPr>
        <w:t xml:space="preserve"> אבא החזק, שיכול להציל</w:t>
      </w:r>
      <w:r>
        <w:rPr>
          <w:rFonts w:hint="cs"/>
          <w:rtl/>
        </w:rPr>
        <w:t xml:space="preserve"> מכל משבר ומכל מצוקה </w:t>
      </w:r>
      <w:r>
        <w:rPr>
          <w:rtl/>
        </w:rPr>
        <w:t>–</w:t>
      </w:r>
      <w:r>
        <w:rPr>
          <w:rFonts w:hint="cs"/>
          <w:rtl/>
        </w:rPr>
        <w:t xml:space="preserve"> וג</w:t>
      </w:r>
      <w:r w:rsidR="00616AAD">
        <w:rPr>
          <w:rFonts w:hint="cs"/>
          <w:rtl/>
        </w:rPr>
        <w:t>ם לאחר התבגרותו, כשהבן</w:t>
      </w:r>
      <w:r>
        <w:rPr>
          <w:rFonts w:hint="cs"/>
          <w:rtl/>
        </w:rPr>
        <w:t xml:space="preserve"> מבין שאבא </w:t>
      </w:r>
      <w:proofErr w:type="spellStart"/>
      <w:r>
        <w:rPr>
          <w:rFonts w:hint="cs"/>
          <w:rtl/>
        </w:rPr>
        <w:t>ואמא</w:t>
      </w:r>
      <w:proofErr w:type="spellEnd"/>
      <w:r>
        <w:rPr>
          <w:rFonts w:hint="cs"/>
          <w:rtl/>
        </w:rPr>
        <w:t xml:space="preserve"> לא יכולים לפתור כל בעיה, הוא מכיר בכך שהם עדיין יכולים לייעץ ולתמוך </w:t>
      </w:r>
      <w:r>
        <w:rPr>
          <w:rtl/>
        </w:rPr>
        <w:t>–</w:t>
      </w:r>
      <w:r>
        <w:rPr>
          <w:rFonts w:hint="cs"/>
          <w:rtl/>
        </w:rPr>
        <w:t xml:space="preserve"> כלכלית ונפשית </w:t>
      </w:r>
      <w:r>
        <w:rPr>
          <w:rtl/>
        </w:rPr>
        <w:t>–</w:t>
      </w:r>
      <w:r>
        <w:rPr>
          <w:rFonts w:hint="cs"/>
          <w:rtl/>
        </w:rPr>
        <w:t xml:space="preserve"> מתוך ניסיון החיים העשיר שלהם ורוחב דעתם; הרי שאצל בני נוח המצב הרבה יותר קיצוני: אבא שלהם הציל את העולם </w:t>
      </w:r>
      <w:r>
        <w:rPr>
          <w:rtl/>
        </w:rPr>
        <w:t>–</w:t>
      </w:r>
      <w:r>
        <w:rPr>
          <w:rFonts w:hint="cs"/>
          <w:rtl/>
        </w:rPr>
        <w:t xml:space="preserve"> פשוטו כמשמעו. הוא לא רק נת</w:t>
      </w:r>
      <w:r w:rsidR="00616AAD">
        <w:rPr>
          <w:rFonts w:hint="cs"/>
          <w:rtl/>
        </w:rPr>
        <w:t>ן להם יד בנפלם</w:t>
      </w:r>
      <w:r>
        <w:rPr>
          <w:rFonts w:hint="cs"/>
          <w:rtl/>
        </w:rPr>
        <w:t xml:space="preserve">, הוא הציל אותם מן המבול. כל עולם החי, הצומח והאנושות חב לו את חייו. </w:t>
      </w:r>
    </w:p>
    <w:p w:rsidR="00AD3555" w:rsidRDefault="00AD3555" w:rsidP="00AD3555">
      <w:pPr>
        <w:rPr>
          <w:rtl/>
        </w:rPr>
      </w:pPr>
      <w:r>
        <w:rPr>
          <w:rFonts w:hint="cs"/>
          <w:rtl/>
        </w:rPr>
        <w:t>כאן אנו מגיעים לסיפור חם:</w:t>
      </w:r>
    </w:p>
    <w:p w:rsidR="00616AAD" w:rsidRDefault="00616AAD" w:rsidP="00616AAD">
      <w:pPr>
        <w:pStyle w:val="a9"/>
        <w:rPr>
          <w:szCs w:val="20"/>
          <w:rtl/>
        </w:rPr>
      </w:pPr>
      <w:r>
        <w:rPr>
          <w:rFonts w:hint="cs"/>
          <w:rtl/>
        </w:rPr>
        <w:t>"</w:t>
      </w:r>
      <w:r w:rsidRPr="00616AAD">
        <w:rPr>
          <w:rtl/>
        </w:rPr>
        <w:t xml:space="preserve">וַיַּרְא חָם אֲבִי כְנַעַן אֵת עֶרְוַת אָבִיו </w:t>
      </w:r>
      <w:proofErr w:type="spellStart"/>
      <w:r w:rsidRPr="00616AAD">
        <w:rPr>
          <w:rtl/>
        </w:rPr>
        <w:t>וַיַּגֵּד</w:t>
      </w:r>
      <w:proofErr w:type="spellEnd"/>
      <w:r w:rsidRPr="00616AAD">
        <w:rPr>
          <w:rtl/>
        </w:rPr>
        <w:t xml:space="preserve"> לִשְׁנֵי אֶחָיו בַּחוּץ</w:t>
      </w:r>
      <w:r>
        <w:rPr>
          <w:rFonts w:hint="cs"/>
          <w:rtl/>
        </w:rPr>
        <w:t>"</w:t>
      </w:r>
      <w:r w:rsidRPr="00616AAD">
        <w:rPr>
          <w:rtl/>
        </w:rPr>
        <w:t xml:space="preserve">: </w:t>
      </w:r>
    </w:p>
    <w:p w:rsidR="00AD3555" w:rsidRPr="00616AAD" w:rsidRDefault="00AD3555" w:rsidP="00616AAD">
      <w:pPr>
        <w:pStyle w:val="a9"/>
        <w:jc w:val="right"/>
        <w:rPr>
          <w:szCs w:val="20"/>
          <w:rtl/>
        </w:rPr>
      </w:pPr>
      <w:r w:rsidRPr="00616AAD">
        <w:rPr>
          <w:rFonts w:hint="cs"/>
          <w:szCs w:val="20"/>
          <w:rtl/>
        </w:rPr>
        <w:t>(</w:t>
      </w:r>
      <w:r w:rsidR="00616AAD" w:rsidRPr="00616AAD">
        <w:rPr>
          <w:rFonts w:hint="cs"/>
          <w:szCs w:val="20"/>
          <w:rtl/>
        </w:rPr>
        <w:t>בראשית ט, כ"ב</w:t>
      </w:r>
      <w:r w:rsidRPr="00616AAD">
        <w:rPr>
          <w:rFonts w:hint="cs"/>
          <w:szCs w:val="20"/>
          <w:rtl/>
        </w:rPr>
        <w:t>)</w:t>
      </w:r>
    </w:p>
    <w:p w:rsidR="00AD3555" w:rsidRDefault="00AD3555" w:rsidP="009D0E7C">
      <w:pPr>
        <w:rPr>
          <w:rtl/>
        </w:rPr>
      </w:pPr>
      <w:r>
        <w:rPr>
          <w:rFonts w:hint="cs"/>
          <w:rtl/>
        </w:rPr>
        <w:t>מעבר למובן הפיזי הפשוט, חם רואה את ערות אביו גם במובן המטאפורי</w:t>
      </w:r>
      <w:r w:rsidR="009D0E7C">
        <w:rPr>
          <w:rFonts w:hint="cs"/>
          <w:rtl/>
        </w:rPr>
        <w:t>:</w:t>
      </w:r>
      <w:r w:rsidR="00616AAD">
        <w:rPr>
          <w:rStyle w:val="a5"/>
          <w:rtl/>
        </w:rPr>
        <w:footnoteReference w:id="3"/>
      </w:r>
      <w:r w:rsidR="009D0E7C">
        <w:rPr>
          <w:rFonts w:hint="cs"/>
          <w:rtl/>
        </w:rPr>
        <w:t xml:space="preserve"> הוא רואה את אביו </w:t>
      </w:r>
      <w:proofErr w:type="spellStart"/>
      <w:r w:rsidR="009D0E7C">
        <w:rPr>
          <w:rFonts w:hint="cs"/>
          <w:rtl/>
        </w:rPr>
        <w:t>בשפלותו</w:t>
      </w:r>
      <w:proofErr w:type="spellEnd"/>
      <w:r w:rsidR="009D0E7C">
        <w:rPr>
          <w:rFonts w:hint="cs"/>
          <w:rtl/>
        </w:rPr>
        <w:t>, בחוסר-אונים משווע.</w:t>
      </w:r>
      <w:r>
        <w:rPr>
          <w:rFonts w:hint="cs"/>
          <w:rtl/>
        </w:rPr>
        <w:t xml:space="preserve"> האבא התומך מתגלה כמשענת קנה רצוץ, שאינו מסוגל לדאוג לעצמו ברמה הפיזית הפשוטה ביותר. איך מתמודדים עם התופעה הזו? חז"ל מציעים שתי הבנות בתגובתו של חם למאורע:</w:t>
      </w:r>
    </w:p>
    <w:p w:rsidR="009D0E7C" w:rsidRDefault="009D0E7C" w:rsidP="00AD3555">
      <w:pPr>
        <w:ind w:left="720"/>
        <w:rPr>
          <w:rtl/>
        </w:rPr>
      </w:pPr>
      <w:r>
        <w:rPr>
          <w:rFonts w:hint="cs"/>
          <w:rtl/>
        </w:rPr>
        <w:lastRenderedPageBreak/>
        <w:t>"</w:t>
      </w:r>
      <w:r w:rsidRPr="009D0E7C">
        <w:rPr>
          <w:rtl/>
        </w:rPr>
        <w:t>רב ושמואל, חד אמר: סרסו, וחד אמר: רבעו</w:t>
      </w:r>
      <w:r>
        <w:rPr>
          <w:rFonts w:hint="cs"/>
          <w:rtl/>
        </w:rPr>
        <w:t>"</w:t>
      </w:r>
      <w:r w:rsidRPr="009D0E7C">
        <w:rPr>
          <w:rtl/>
        </w:rPr>
        <w:t>.</w:t>
      </w:r>
    </w:p>
    <w:p w:rsidR="009D0E7C" w:rsidRPr="009D0E7C" w:rsidRDefault="009D0E7C" w:rsidP="009D0E7C">
      <w:pPr>
        <w:ind w:left="720"/>
        <w:jc w:val="right"/>
        <w:rPr>
          <w:szCs w:val="20"/>
          <w:rtl/>
        </w:rPr>
      </w:pPr>
      <w:r w:rsidRPr="009D0E7C">
        <w:rPr>
          <w:rFonts w:hint="cs"/>
          <w:szCs w:val="20"/>
          <w:rtl/>
        </w:rPr>
        <w:t xml:space="preserve">(בבלי סנהדרין, ע ע"א, </w:t>
      </w:r>
      <w:r>
        <w:rPr>
          <w:rFonts w:hint="cs"/>
          <w:szCs w:val="20"/>
          <w:rtl/>
        </w:rPr>
        <w:t>מו</w:t>
      </w:r>
      <w:r w:rsidRPr="009D0E7C">
        <w:rPr>
          <w:rFonts w:hint="cs"/>
          <w:szCs w:val="20"/>
          <w:rtl/>
        </w:rPr>
        <w:t>בא ברש"י</w:t>
      </w:r>
      <w:r>
        <w:rPr>
          <w:rFonts w:hint="cs"/>
          <w:szCs w:val="20"/>
          <w:rtl/>
        </w:rPr>
        <w:t xml:space="preserve"> על הפסוק)</w:t>
      </w:r>
      <w:r w:rsidRPr="009D0E7C">
        <w:rPr>
          <w:szCs w:val="20"/>
          <w:rtl/>
        </w:rPr>
        <w:t xml:space="preserve"> </w:t>
      </w:r>
    </w:p>
    <w:p w:rsidR="00AD3555" w:rsidRDefault="00AD3555" w:rsidP="00AD3555">
      <w:pPr>
        <w:rPr>
          <w:rtl/>
        </w:rPr>
      </w:pPr>
      <w:r>
        <w:rPr>
          <w:rFonts w:hint="cs"/>
          <w:rtl/>
        </w:rPr>
        <w:t>לפ</w:t>
      </w:r>
      <w:r w:rsidR="009D0E7C">
        <w:rPr>
          <w:rFonts w:hint="cs"/>
          <w:rtl/>
        </w:rPr>
        <w:t>י ההבנה הראשונה, חם 'מסרס' את נ</w:t>
      </w:r>
      <w:r>
        <w:rPr>
          <w:rFonts w:hint="cs"/>
          <w:rtl/>
        </w:rPr>
        <w:t xml:space="preserve">ח </w:t>
      </w:r>
      <w:r>
        <w:rPr>
          <w:rtl/>
        </w:rPr>
        <w:t>–</w:t>
      </w:r>
      <w:r w:rsidR="009D0E7C">
        <w:rPr>
          <w:rFonts w:hint="cs"/>
          <w:rtl/>
        </w:rPr>
        <w:t xml:space="preserve"> ומשמעות הדברים היא</w:t>
      </w:r>
      <w:r>
        <w:rPr>
          <w:rFonts w:hint="cs"/>
          <w:rtl/>
        </w:rPr>
        <w:t xml:space="preserve"> </w:t>
      </w:r>
      <w:r w:rsidR="009D0E7C">
        <w:rPr>
          <w:rFonts w:hint="cs"/>
          <w:rtl/>
        </w:rPr>
        <w:t>שהוא דוחה אותו. נ</w:t>
      </w:r>
      <w:r>
        <w:rPr>
          <w:rFonts w:hint="cs"/>
          <w:rtl/>
        </w:rPr>
        <w:t>ח איננו רלוונטי יותר בעיניו. הוא לא מסוגל יותר להשתמש בכוח החיות והיצירה שבו, לא מסוגל יותר 'לספק את ה</w:t>
      </w:r>
      <w:r w:rsidR="00BD5947">
        <w:rPr>
          <w:rFonts w:hint="cs"/>
          <w:rtl/>
        </w:rPr>
        <w:t>סחורה', ולכן ניתן פשוט למחוק את השפעתו וכוחותיו</w:t>
      </w:r>
      <w:r>
        <w:rPr>
          <w:rFonts w:hint="cs"/>
          <w:rtl/>
        </w:rPr>
        <w:t xml:space="preserve"> ולהתעלם מהם, כאילו מעולם לא היו קיימים. </w:t>
      </w:r>
    </w:p>
    <w:p w:rsidR="00AD3555" w:rsidRDefault="00AD3555" w:rsidP="00AD3555">
      <w:pPr>
        <w:rPr>
          <w:rtl/>
        </w:rPr>
      </w:pPr>
      <w:r>
        <w:rPr>
          <w:rFonts w:hint="cs"/>
          <w:rtl/>
        </w:rPr>
        <w:t>לפי ההבנה השנ</w:t>
      </w:r>
      <w:r w:rsidR="00BD5947">
        <w:rPr>
          <w:rFonts w:hint="cs"/>
          <w:rtl/>
        </w:rPr>
        <w:t>י</w:t>
      </w:r>
      <w:r>
        <w:rPr>
          <w:rFonts w:hint="cs"/>
          <w:rtl/>
        </w:rPr>
        <w:t xml:space="preserve">יה, ייתכן בהחלט שחם שימש את אביו </w:t>
      </w:r>
      <w:r>
        <w:rPr>
          <w:rtl/>
        </w:rPr>
        <w:t>–</w:t>
      </w:r>
      <w:r>
        <w:rPr>
          <w:rFonts w:hint="cs"/>
          <w:rtl/>
        </w:rPr>
        <w:t xml:space="preserve"> לא רק במובן המיני שחז"ל מדברים עליו </w:t>
      </w:r>
      <w:r>
        <w:rPr>
          <w:rtl/>
        </w:rPr>
        <w:t>–</w:t>
      </w:r>
      <w:r>
        <w:rPr>
          <w:rFonts w:hint="cs"/>
          <w:rtl/>
        </w:rPr>
        <w:t xml:space="preserve"> אלא שהוא עשה זאת בצורה מזלזלת, משתלטת. הוא נתן למעשיו אופי של אדנות ופטרו</w:t>
      </w:r>
      <w:r w:rsidR="00BD5947">
        <w:rPr>
          <w:rFonts w:hint="cs"/>
          <w:rtl/>
        </w:rPr>
        <w:t>ניות. פעם הוא ניצל את כוחו של נ</w:t>
      </w:r>
      <w:r>
        <w:rPr>
          <w:rFonts w:hint="cs"/>
          <w:rtl/>
        </w:rPr>
        <w:t xml:space="preserve">ח, כשהלה יכול היה לתמוך בו </w:t>
      </w:r>
      <w:r>
        <w:rPr>
          <w:rtl/>
        </w:rPr>
        <w:t>–</w:t>
      </w:r>
      <w:r>
        <w:rPr>
          <w:rFonts w:hint="cs"/>
          <w:rtl/>
        </w:rPr>
        <w:t xml:space="preserve"> כדי להשיג את מטרותיו, וכעת הוא מנצל את חולשתו של נוח, כשהלה איננו יכול לדאוג אפילו לעצמו </w:t>
      </w:r>
      <w:r>
        <w:rPr>
          <w:rtl/>
        </w:rPr>
        <w:t>–</w:t>
      </w:r>
      <w:r>
        <w:rPr>
          <w:rFonts w:hint="cs"/>
          <w:rtl/>
        </w:rPr>
        <w:t xml:space="preserve"> כדי להשיג עמדת-כוח והשפעה.</w:t>
      </w:r>
    </w:p>
    <w:p w:rsidR="00AD3555" w:rsidRDefault="00AD3555" w:rsidP="00AD3555">
      <w:pPr>
        <w:rPr>
          <w:rtl/>
        </w:rPr>
      </w:pPr>
      <w:r>
        <w:rPr>
          <w:rFonts w:hint="cs"/>
          <w:rtl/>
        </w:rPr>
        <w:t xml:space="preserve">ביסוד הדברים, תגובתו של חם מבוססת על תפיסת הסמכות של דמות האב על יסוד של ניצוּל, של צריכה וסיפוק-צרכים. </w:t>
      </w:r>
    </w:p>
    <w:p w:rsidR="00AD3555" w:rsidRDefault="00AD3555" w:rsidP="00AD3555">
      <w:pPr>
        <w:rPr>
          <w:rtl/>
        </w:rPr>
      </w:pPr>
      <w:r>
        <w:rPr>
          <w:rFonts w:hint="cs"/>
          <w:rtl/>
        </w:rPr>
        <w:t>שם ויפת, לעומת זאת, מגיבים בצורה שונה:</w:t>
      </w:r>
    </w:p>
    <w:p w:rsidR="00BD5947" w:rsidRDefault="00AD3555" w:rsidP="00BD5947">
      <w:pPr>
        <w:pStyle w:val="a9"/>
        <w:rPr>
          <w:rtl/>
        </w:rPr>
      </w:pPr>
      <w:r>
        <w:rPr>
          <w:rFonts w:hint="cs"/>
          <w:rtl/>
        </w:rPr>
        <w:t>"</w:t>
      </w:r>
      <w:proofErr w:type="spellStart"/>
      <w:r>
        <w:rPr>
          <w:rFonts w:hint="cs"/>
          <w:rtl/>
        </w:rPr>
        <w:t>ויקח</w:t>
      </w:r>
      <w:proofErr w:type="spellEnd"/>
      <w:r>
        <w:rPr>
          <w:rFonts w:hint="cs"/>
          <w:rtl/>
        </w:rPr>
        <w:t xml:space="preserve"> שם ויפת את השמלה וישימו על שכם שניהם וילכו אחורנית ויכסו את ערות אביהם, ופניהם אחורנית וערות אביהם לא ראו</w:t>
      </w:r>
      <w:r w:rsidR="00BD5947">
        <w:rPr>
          <w:rFonts w:hint="cs"/>
          <w:rtl/>
        </w:rPr>
        <w:t>.</w:t>
      </w:r>
      <w:r>
        <w:rPr>
          <w:rFonts w:hint="cs"/>
          <w:rtl/>
        </w:rPr>
        <w:t xml:space="preserve">" </w:t>
      </w:r>
    </w:p>
    <w:p w:rsidR="00AD3555" w:rsidRPr="00BD5947" w:rsidRDefault="00AD3555" w:rsidP="00BD5947">
      <w:pPr>
        <w:pStyle w:val="a9"/>
        <w:jc w:val="right"/>
        <w:rPr>
          <w:szCs w:val="20"/>
          <w:rtl/>
        </w:rPr>
      </w:pPr>
      <w:r w:rsidRPr="00BD5947">
        <w:rPr>
          <w:rFonts w:hint="cs"/>
          <w:szCs w:val="20"/>
          <w:rtl/>
        </w:rPr>
        <w:t>(</w:t>
      </w:r>
      <w:r w:rsidR="00BD5947" w:rsidRPr="00BD5947">
        <w:rPr>
          <w:rFonts w:hint="cs"/>
          <w:szCs w:val="20"/>
          <w:rtl/>
        </w:rPr>
        <w:t xml:space="preserve">שם </w:t>
      </w:r>
      <w:r w:rsidRPr="00BD5947">
        <w:rPr>
          <w:rFonts w:hint="cs"/>
          <w:szCs w:val="20"/>
          <w:rtl/>
        </w:rPr>
        <w:t xml:space="preserve">פס' </w:t>
      </w:r>
      <w:proofErr w:type="spellStart"/>
      <w:r w:rsidRPr="00BD5947">
        <w:rPr>
          <w:rFonts w:hint="cs"/>
          <w:szCs w:val="20"/>
          <w:rtl/>
        </w:rPr>
        <w:t>כג</w:t>
      </w:r>
      <w:proofErr w:type="spellEnd"/>
      <w:r w:rsidRPr="00BD5947">
        <w:rPr>
          <w:rFonts w:hint="cs"/>
          <w:szCs w:val="20"/>
          <w:rtl/>
        </w:rPr>
        <w:t>)</w:t>
      </w:r>
    </w:p>
    <w:p w:rsidR="00AD3555" w:rsidRDefault="00AD3555" w:rsidP="00BD5947">
      <w:pPr>
        <w:rPr>
          <w:rtl/>
        </w:rPr>
      </w:pPr>
      <w:r>
        <w:rPr>
          <w:rFonts w:hint="cs"/>
          <w:rtl/>
        </w:rPr>
        <w:t>שם וי</w:t>
      </w:r>
      <w:r w:rsidR="00BD5947">
        <w:rPr>
          <w:rFonts w:hint="cs"/>
          <w:rtl/>
        </w:rPr>
        <w:t>פת יודעים יפה מאד מהו מצבו של נח, אך</w:t>
      </w:r>
      <w:r>
        <w:rPr>
          <w:rFonts w:hint="cs"/>
          <w:rtl/>
        </w:rPr>
        <w:t xml:space="preserve"> הם בוחרים שלא להתמקד בכך, הם בוחרים שלא לראות את ערות אביהם, והם זוכרים לו חסד נעורים. </w:t>
      </w:r>
    </w:p>
    <w:p w:rsidR="00AD3555" w:rsidRDefault="00BD5947" w:rsidP="00AD3555">
      <w:pPr>
        <w:rPr>
          <w:rtl/>
        </w:rPr>
      </w:pPr>
      <w:r>
        <w:rPr>
          <w:rFonts w:hint="cs"/>
          <w:rtl/>
        </w:rPr>
        <w:t>לפי שם ויפת, נ</w:t>
      </w:r>
      <w:r w:rsidR="00AD3555">
        <w:rPr>
          <w:rFonts w:hint="cs"/>
          <w:rtl/>
        </w:rPr>
        <w:t xml:space="preserve">ח הוא אישיות נערצת מצד עצמו. העובדה שבעבר היה יכול להציל את העולם היא </w:t>
      </w:r>
      <w:r w:rsidR="00AD3555">
        <w:rPr>
          <w:rFonts w:hint="cs"/>
          <w:b/>
          <w:bCs/>
          <w:rtl/>
        </w:rPr>
        <w:t>ביטוי</w:t>
      </w:r>
      <w:r w:rsidR="00AD3555">
        <w:rPr>
          <w:rFonts w:hint="cs"/>
          <w:rtl/>
        </w:rPr>
        <w:t xml:space="preserve"> של גדלותו, ולא כל גדלותו. זהו ה</w:t>
      </w:r>
      <w:r w:rsidR="00AD3555" w:rsidRPr="0075799C">
        <w:rPr>
          <w:rFonts w:hint="cs"/>
          <w:b/>
          <w:bCs/>
          <w:rtl/>
        </w:rPr>
        <w:t>סימן</w:t>
      </w:r>
      <w:r w:rsidR="00AD3555">
        <w:rPr>
          <w:rFonts w:hint="cs"/>
          <w:rtl/>
        </w:rPr>
        <w:t xml:space="preserve"> לכך שמדובר בדמות שיש לדבוק בה, ולא הסיבה לכך. זהו יסודה של האהבה שאינה ת</w:t>
      </w:r>
      <w:r>
        <w:rPr>
          <w:rFonts w:hint="cs"/>
          <w:rtl/>
        </w:rPr>
        <w:t>לויה בדבר, בה התרומה של אדם מסו</w:t>
      </w:r>
      <w:r w:rsidR="00AD3555">
        <w:rPr>
          <w:rFonts w:hint="cs"/>
          <w:rtl/>
        </w:rPr>
        <w:t>ים לקשר לא מתנה את הקש</w:t>
      </w:r>
      <w:r>
        <w:rPr>
          <w:rFonts w:hint="cs"/>
          <w:rtl/>
        </w:rPr>
        <w:t>ר בתרומה זו, אלא היא מהווה טריגר</w:t>
      </w:r>
      <w:r w:rsidR="00AD3555">
        <w:rPr>
          <w:rFonts w:hint="cs"/>
          <w:rtl/>
        </w:rPr>
        <w:t xml:space="preserve"> למערכת יחסים שיש לה מעמד כשלעצמה. קשר כזה, מערכת יחסים כזו, מאריכים ימים גם לאחר שהסיבה המקורית נמחתה.</w:t>
      </w:r>
    </w:p>
    <w:p w:rsidR="00AD3555" w:rsidRDefault="00AD3555" w:rsidP="00AD3555">
      <w:pPr>
        <w:rPr>
          <w:rtl/>
        </w:rPr>
      </w:pPr>
      <w:r>
        <w:rPr>
          <w:rFonts w:hint="cs"/>
          <w:rtl/>
        </w:rPr>
        <w:t>חז"ל מלמדים אותנו:</w:t>
      </w:r>
    </w:p>
    <w:p w:rsidR="00BD5947" w:rsidRDefault="00AD3555" w:rsidP="00BD5947">
      <w:pPr>
        <w:pStyle w:val="a9"/>
        <w:rPr>
          <w:rtl/>
        </w:rPr>
      </w:pPr>
      <w:r>
        <w:rPr>
          <w:rFonts w:hint="cs"/>
          <w:rtl/>
        </w:rPr>
        <w:t xml:space="preserve">"מלמד שהלוחות ושברי לוחות </w:t>
      </w:r>
      <w:proofErr w:type="spellStart"/>
      <w:r>
        <w:rPr>
          <w:rFonts w:hint="cs"/>
          <w:rtl/>
        </w:rPr>
        <w:t>מונחין</w:t>
      </w:r>
      <w:proofErr w:type="spellEnd"/>
      <w:r>
        <w:rPr>
          <w:rFonts w:hint="cs"/>
          <w:rtl/>
        </w:rPr>
        <w:t xml:space="preserve"> בארון" </w:t>
      </w:r>
    </w:p>
    <w:p w:rsidR="00AD3555" w:rsidRPr="00BD5947" w:rsidRDefault="00AD3555" w:rsidP="00BD5947">
      <w:pPr>
        <w:ind w:firstLine="720"/>
        <w:jc w:val="right"/>
        <w:rPr>
          <w:szCs w:val="20"/>
          <w:rtl/>
        </w:rPr>
      </w:pPr>
      <w:r w:rsidRPr="00BD5947">
        <w:rPr>
          <w:rFonts w:hint="cs"/>
          <w:szCs w:val="20"/>
          <w:rtl/>
        </w:rPr>
        <w:t>(</w:t>
      </w:r>
      <w:r w:rsidR="00BD5947" w:rsidRPr="00BD5947">
        <w:rPr>
          <w:rFonts w:hint="cs"/>
          <w:szCs w:val="20"/>
          <w:rtl/>
        </w:rPr>
        <w:t xml:space="preserve">בבלי </w:t>
      </w:r>
      <w:r w:rsidRPr="00BD5947">
        <w:rPr>
          <w:rFonts w:hint="cs"/>
          <w:szCs w:val="20"/>
          <w:rtl/>
        </w:rPr>
        <w:t>מנחות</w:t>
      </w:r>
      <w:r w:rsidR="00BD5947" w:rsidRPr="00BD5947">
        <w:rPr>
          <w:rFonts w:hint="cs"/>
          <w:szCs w:val="20"/>
          <w:rtl/>
        </w:rPr>
        <w:t xml:space="preserve">, </w:t>
      </w:r>
      <w:proofErr w:type="spellStart"/>
      <w:r w:rsidR="00BD5947" w:rsidRPr="00BD5947">
        <w:rPr>
          <w:rFonts w:hint="cs"/>
          <w:szCs w:val="20"/>
          <w:rtl/>
        </w:rPr>
        <w:t>צט</w:t>
      </w:r>
      <w:proofErr w:type="spellEnd"/>
      <w:r w:rsidR="00BD5947" w:rsidRPr="00BD5947">
        <w:rPr>
          <w:rFonts w:hint="cs"/>
          <w:szCs w:val="20"/>
          <w:rtl/>
        </w:rPr>
        <w:t xml:space="preserve"> ע"א)</w:t>
      </w:r>
    </w:p>
    <w:p w:rsidR="00167E92" w:rsidRDefault="00167E92" w:rsidP="00AD3555">
      <w:pPr>
        <w:rPr>
          <w:rtl/>
        </w:rPr>
      </w:pPr>
      <w:r>
        <w:rPr>
          <w:rFonts w:hint="cs"/>
          <w:rtl/>
        </w:rPr>
        <w:lastRenderedPageBreak/>
        <w:t>חז"ל</w:t>
      </w:r>
      <w:r w:rsidR="00AD3555">
        <w:rPr>
          <w:rFonts w:hint="cs"/>
          <w:rtl/>
        </w:rPr>
        <w:t xml:space="preserve"> מסיקים מכך כי גם תלמיד חכם ששכח את תלמודו </w:t>
      </w:r>
      <w:r w:rsidR="00AD3555">
        <w:rPr>
          <w:rtl/>
        </w:rPr>
        <w:t>–</w:t>
      </w:r>
      <w:r>
        <w:rPr>
          <w:rFonts w:hint="cs"/>
          <w:rtl/>
        </w:rPr>
        <w:t xml:space="preserve"> שכבר אינו</w:t>
      </w:r>
      <w:r w:rsidR="00AD3555">
        <w:rPr>
          <w:rFonts w:hint="cs"/>
          <w:rtl/>
        </w:rPr>
        <w:t xml:space="preserve"> יכול להעביר שיעור כללי מרשים ולהגדיר באמצעות חילוקים חדים פערים בין סוגיות וראשונים </w:t>
      </w:r>
      <w:r w:rsidR="00AD3555">
        <w:rPr>
          <w:rtl/>
        </w:rPr>
        <w:t>–</w:t>
      </w:r>
      <w:r w:rsidR="00AD3555">
        <w:rPr>
          <w:rFonts w:hint="cs"/>
          <w:rtl/>
        </w:rPr>
        <w:t xml:space="preserve"> יש לנהוג בו כבוד: </w:t>
      </w:r>
    </w:p>
    <w:p w:rsidR="00167E92" w:rsidRDefault="00AD3555" w:rsidP="00167E92">
      <w:pPr>
        <w:pStyle w:val="a9"/>
        <w:rPr>
          <w:rtl/>
        </w:rPr>
      </w:pPr>
      <w:r>
        <w:rPr>
          <w:rFonts w:hint="cs"/>
          <w:rtl/>
        </w:rPr>
        <w:t xml:space="preserve">"מכאן לתלמיד חכם ששכח תלמודו שאין </w:t>
      </w:r>
      <w:proofErr w:type="spellStart"/>
      <w:r>
        <w:rPr>
          <w:rFonts w:hint="cs"/>
          <w:rtl/>
        </w:rPr>
        <w:t>נוהגין</w:t>
      </w:r>
      <w:proofErr w:type="spellEnd"/>
      <w:r>
        <w:rPr>
          <w:rFonts w:hint="cs"/>
          <w:rtl/>
        </w:rPr>
        <w:t xml:space="preserve"> בו מנהג ביזיון" </w:t>
      </w:r>
    </w:p>
    <w:p w:rsidR="00167E92" w:rsidRPr="00167E92" w:rsidRDefault="00167E92" w:rsidP="00167E92">
      <w:pPr>
        <w:jc w:val="right"/>
        <w:rPr>
          <w:szCs w:val="20"/>
          <w:rtl/>
        </w:rPr>
      </w:pPr>
      <w:r w:rsidRPr="00167E92">
        <w:rPr>
          <w:rFonts w:hint="cs"/>
          <w:szCs w:val="20"/>
          <w:rtl/>
        </w:rPr>
        <w:t>(שם)</w:t>
      </w:r>
      <w:r w:rsidR="00AD3555" w:rsidRPr="00167E92">
        <w:rPr>
          <w:rFonts w:hint="cs"/>
          <w:szCs w:val="20"/>
          <w:rtl/>
        </w:rPr>
        <w:t xml:space="preserve"> </w:t>
      </w:r>
    </w:p>
    <w:p w:rsidR="00AD3555" w:rsidRDefault="00AD3555" w:rsidP="00AD3555">
      <w:pPr>
        <w:rPr>
          <w:rtl/>
        </w:rPr>
      </w:pPr>
      <w:r>
        <w:rPr>
          <w:rFonts w:hint="cs"/>
          <w:rtl/>
        </w:rPr>
        <w:t xml:space="preserve">הדברים נכונים גם ביחסים שבין אבות וילדים: כאשר המבוגר איננו יכול יותר להוביל ולהנהיג, עדיין יש לנהוג בו כבוד. </w:t>
      </w:r>
    </w:p>
    <w:p w:rsidR="00AD3555" w:rsidRDefault="00AD3555" w:rsidP="00AD3555">
      <w:pPr>
        <w:rPr>
          <w:rtl/>
        </w:rPr>
      </w:pPr>
      <w:r>
        <w:rPr>
          <w:rFonts w:hint="cs"/>
          <w:rtl/>
        </w:rPr>
        <w:t xml:space="preserve">אף אחד לא מכחיש את המצוקה, את המשבר המתעורר מהיפוך-היחסים, בהם הנותן הופך לנצרך, והמקבל צריך לקבל אחריות. ההבדל הוא באופן בו חם מנצל את הבעיה או מתעלם ממנה, לבין האופן בו שם ויפת מנסים להתמודד </w:t>
      </w:r>
      <w:proofErr w:type="spellStart"/>
      <w:r>
        <w:rPr>
          <w:rFonts w:hint="cs"/>
          <w:rtl/>
        </w:rPr>
        <w:t>איתה</w:t>
      </w:r>
      <w:proofErr w:type="spellEnd"/>
      <w:r>
        <w:rPr>
          <w:rFonts w:hint="cs"/>
          <w:rtl/>
        </w:rPr>
        <w:t xml:space="preserve">. </w:t>
      </w:r>
    </w:p>
    <w:p w:rsidR="00AD3555" w:rsidRDefault="00167E92" w:rsidP="00AD3555">
      <w:pPr>
        <w:rPr>
          <w:rtl/>
        </w:rPr>
      </w:pPr>
      <w:r>
        <w:rPr>
          <w:rFonts w:hint="cs"/>
          <w:rtl/>
        </w:rPr>
        <w:t>כפי שכבר ציינּו, נ</w:t>
      </w:r>
      <w:r w:rsidR="00AD3555">
        <w:rPr>
          <w:rFonts w:hint="cs"/>
          <w:rtl/>
        </w:rPr>
        <w:t xml:space="preserve">ח מוצג כאן בדמות הניצול. החברה הישראלית המודרנית גם היא מתמודדת עם ניצולים: בין אם מדובר בניצולי שואת אירופה, ובין אם מדובר בגלי עלייה מאוחרים יותר, בהם אנשים שהיו בעלי-כוחות ומעמד בארץ-מוצאם עזבו את ביתם ובאו לארץ, ובה אינם מצליחים להתמודד עם קשיי ההתאקלמות. החברה צריכה ללמוד כיצד להכיל אותם ואת בעיותיהם, על כל הביטויים המעשיים לכך. יש לדעת איך להתייחס לאנשים כאלו, גם אם היום הם נגלים לעינינו במצוקתם ובחוסר-האונים שלהם. </w:t>
      </w:r>
    </w:p>
    <w:p w:rsidR="00AD3555" w:rsidRDefault="00AD3555" w:rsidP="00167E92">
      <w:pPr>
        <w:rPr>
          <w:rtl/>
        </w:rPr>
      </w:pPr>
      <w:r>
        <w:rPr>
          <w:rFonts w:hint="cs"/>
          <w:rtl/>
        </w:rPr>
        <w:t xml:space="preserve">מלבד זאת, לדילמה שבסיפורנו יש עוד יישום מעשי: המאה העשרים אולי תצטרך לתת את הדין על הרבה בעיות מוסריות שהתעוררו בה </w:t>
      </w:r>
      <w:r>
        <w:rPr>
          <w:rtl/>
        </w:rPr>
        <w:t>–</w:t>
      </w:r>
      <w:r>
        <w:rPr>
          <w:rFonts w:hint="cs"/>
          <w:rtl/>
        </w:rPr>
        <w:t xml:space="preserve"> מלחמות עולם למיניהן, חומרניות ונהנתנות. אבל אין לפקפק בתרומה יוצאת-הדופן של מאה זו לרפואה, ולאורך-החיים. אין ספק שהאנושות הגיעה להישגים יוצאים מן הכלל בכל הנוגע להצלת חיים; אך לא תמיד משיגה איכות החיים את אורכם: רבים נאלצים להתמודד עם הורים זקנים, שמצבם התפקודי כושל ומתדרדר. יש ללמוד לתמוך בהורה כמו שם, ול</w:t>
      </w:r>
      <w:r w:rsidR="00167E92">
        <w:rPr>
          <w:rFonts w:hint="cs"/>
          <w:rtl/>
        </w:rPr>
        <w:t>א להתנשא עליו ולבזותו כמו חם. נקודה זו היא שת</w:t>
      </w:r>
      <w:r>
        <w:rPr>
          <w:rFonts w:hint="cs"/>
          <w:rtl/>
        </w:rPr>
        <w:t xml:space="preserve">קבע אם החברה תיבנה על בסיס של "עבד עבדים יהיה לאחיו" </w:t>
      </w:r>
      <w:r>
        <w:rPr>
          <w:rtl/>
        </w:rPr>
        <w:t>–</w:t>
      </w:r>
      <w:r>
        <w:rPr>
          <w:rFonts w:hint="cs"/>
          <w:rtl/>
        </w:rPr>
        <w:t xml:space="preserve"> ניצול וצרכנות, או על בסיס מערכות יחסים אישיות ומתוקנות. </w:t>
      </w:r>
    </w:p>
    <w:p w:rsidR="00AD3555" w:rsidRDefault="00AD3555" w:rsidP="00AD3555">
      <w:pPr>
        <w:rPr>
          <w:rtl/>
        </w:rPr>
      </w:pPr>
      <w:proofErr w:type="spellStart"/>
      <w:r>
        <w:rPr>
          <w:rFonts w:hint="cs"/>
          <w:rtl/>
        </w:rPr>
        <w:t>יצויין</w:t>
      </w:r>
      <w:proofErr w:type="spellEnd"/>
      <w:r>
        <w:rPr>
          <w:rFonts w:hint="cs"/>
          <w:rtl/>
        </w:rPr>
        <w:t xml:space="preserve"> כי </w:t>
      </w:r>
      <w:proofErr w:type="spellStart"/>
      <w:r>
        <w:rPr>
          <w:rFonts w:hint="cs"/>
          <w:rtl/>
        </w:rPr>
        <w:t>הנצי"ב</w:t>
      </w:r>
      <w:proofErr w:type="spellEnd"/>
      <w:r>
        <w:rPr>
          <w:rFonts w:hint="cs"/>
          <w:rtl/>
        </w:rPr>
        <w:t xml:space="preserve"> מוצא פער גם בין שם ליפת ביחס לנוח, וזאת על </w:t>
      </w:r>
      <w:r w:rsidR="00167E92">
        <w:rPr>
          <w:rFonts w:hint="cs"/>
          <w:rtl/>
        </w:rPr>
        <w:t xml:space="preserve">בסיס </w:t>
      </w:r>
      <w:r>
        <w:rPr>
          <w:rFonts w:hint="cs"/>
          <w:rtl/>
        </w:rPr>
        <w:t>פסוק</w:t>
      </w:r>
      <w:r w:rsidR="00167E92">
        <w:rPr>
          <w:rFonts w:hint="cs"/>
          <w:rtl/>
        </w:rPr>
        <w:t xml:space="preserve"> כ"ג</w:t>
      </w:r>
      <w:r>
        <w:rPr>
          <w:rFonts w:hint="cs"/>
          <w:rtl/>
        </w:rPr>
        <w:t xml:space="preserve"> המייחס את המעשה לשם:</w:t>
      </w:r>
    </w:p>
    <w:p w:rsidR="00167E92" w:rsidRDefault="00167E92" w:rsidP="00167E92">
      <w:pPr>
        <w:pStyle w:val="a9"/>
        <w:rPr>
          <w:rtl/>
        </w:rPr>
      </w:pPr>
      <w:r>
        <w:rPr>
          <w:rFonts w:hint="cs"/>
          <w:rtl/>
        </w:rPr>
        <w:t>"</w:t>
      </w:r>
      <w:proofErr w:type="spellStart"/>
      <w:r w:rsidRPr="00167E92">
        <w:rPr>
          <w:rtl/>
        </w:rPr>
        <w:t>וַיִּקַּח</w:t>
      </w:r>
      <w:proofErr w:type="spellEnd"/>
      <w:r w:rsidRPr="00167E92">
        <w:rPr>
          <w:rtl/>
        </w:rPr>
        <w:t xml:space="preserve"> שֵׁם וָיֶפֶת אֶת הַשִּׂמְלָה</w:t>
      </w:r>
      <w:r>
        <w:rPr>
          <w:rFonts w:hint="cs"/>
          <w:rtl/>
        </w:rPr>
        <w:t>".</w:t>
      </w:r>
      <w:r w:rsidRPr="00167E92">
        <w:rPr>
          <w:rtl/>
        </w:rPr>
        <w:t xml:space="preserve"> </w:t>
      </w:r>
    </w:p>
    <w:p w:rsidR="00AD3555" w:rsidRDefault="00AD3555" w:rsidP="00AD3555">
      <w:pPr>
        <w:rPr>
          <w:rtl/>
        </w:rPr>
      </w:pPr>
      <w:r>
        <w:rPr>
          <w:rFonts w:hint="cs"/>
          <w:rtl/>
        </w:rPr>
        <w:t>לדעתו,</w:t>
      </w:r>
      <w:r w:rsidR="00167E92">
        <w:rPr>
          <w:rFonts w:hint="cs"/>
          <w:rtl/>
        </w:rPr>
        <w:t xml:space="preserve"> יפת היה מודע לבעיה והבין את הפ</w:t>
      </w:r>
      <w:r>
        <w:rPr>
          <w:rFonts w:hint="cs"/>
          <w:rtl/>
        </w:rPr>
        <w:t>תרון, אבל לא עסק בו ב</w:t>
      </w:r>
      <w:r w:rsidR="00167E92">
        <w:rPr>
          <w:rFonts w:hint="cs"/>
          <w:rtl/>
        </w:rPr>
        <w:t>פועל. הוא הכיר בצורך לסעוד את נ</w:t>
      </w:r>
      <w:r>
        <w:rPr>
          <w:rFonts w:hint="cs"/>
          <w:rtl/>
        </w:rPr>
        <w:t xml:space="preserve">ח, אבל יותר משרצה לפתור את הבעיה </w:t>
      </w:r>
      <w:r>
        <w:rPr>
          <w:rtl/>
        </w:rPr>
        <w:t>–</w:t>
      </w:r>
      <w:r>
        <w:rPr>
          <w:rFonts w:hint="cs"/>
          <w:rtl/>
        </w:rPr>
        <w:t xml:space="preserve"> רצה שהבעיה 'תיפתר'. שם, לעומת זאת, נקט פעולות מעשיות בשביל להגיע לפתרון. </w:t>
      </w:r>
    </w:p>
    <w:p w:rsidR="00AD3555" w:rsidRDefault="00AD3555" w:rsidP="00AD3555">
      <w:pPr>
        <w:rPr>
          <w:rtl/>
        </w:rPr>
      </w:pPr>
      <w:r>
        <w:rPr>
          <w:rFonts w:hint="cs"/>
          <w:rtl/>
        </w:rPr>
        <w:lastRenderedPageBreak/>
        <w:t>יש משמעות רבה לדרכו של יפת, ושכר מרובה מובטח לנוקט בה. אבל השאיפה צריכה להיות בכיוונו של שם, התומך באביו בעצמו, ולא מנסה להטיל את הטורח על גורם</w:t>
      </w:r>
      <w:r w:rsidR="00167E92">
        <w:rPr>
          <w:rFonts w:hint="cs"/>
          <w:rtl/>
        </w:rPr>
        <w:t xml:space="preserve"> חיצוני. את הטוב ידע לקבל מאת נ</w:t>
      </w:r>
      <w:r>
        <w:rPr>
          <w:rFonts w:hint="cs"/>
          <w:rtl/>
        </w:rPr>
        <w:t xml:space="preserve">ח, ועתה הוא יודע להחזיר אותו. הוא בונה מערכת יחסים תקינה עם אביו, וגם לאחר שהלה נגלה אליו </w:t>
      </w:r>
      <w:proofErr w:type="spellStart"/>
      <w:r>
        <w:rPr>
          <w:rFonts w:hint="cs"/>
          <w:rtl/>
        </w:rPr>
        <w:t>בשפלותו</w:t>
      </w:r>
      <w:proofErr w:type="spellEnd"/>
      <w:r>
        <w:rPr>
          <w:rFonts w:hint="cs"/>
          <w:rtl/>
        </w:rPr>
        <w:t xml:space="preserve">, נשאר </w:t>
      </w:r>
      <w:proofErr w:type="spellStart"/>
      <w:r>
        <w:rPr>
          <w:rFonts w:hint="cs"/>
          <w:rtl/>
        </w:rPr>
        <w:t>איתו</w:t>
      </w:r>
      <w:proofErr w:type="spellEnd"/>
      <w:r>
        <w:rPr>
          <w:rFonts w:hint="cs"/>
          <w:rtl/>
        </w:rPr>
        <w:t xml:space="preserve"> בקשר רציף. </w:t>
      </w:r>
    </w:p>
    <w:p w:rsidR="00645481" w:rsidRDefault="00645481" w:rsidP="00AD3555">
      <w:pPr>
        <w:rPr>
          <w:rtl/>
        </w:rPr>
      </w:pPr>
    </w:p>
    <w:p w:rsidR="00645481" w:rsidRPr="005307EA" w:rsidRDefault="00645481" w:rsidP="00AD3555"/>
    <w:tbl>
      <w:tblPr>
        <w:tblpPr w:leftFromText="180" w:rightFromText="180" w:vertAnchor="text" w:horzAnchor="margin" w:tblpY="97"/>
        <w:bidiVisual/>
        <w:tblW w:w="4678" w:type="dxa"/>
        <w:tblLayout w:type="fixed"/>
        <w:tblLook w:val="0000" w:firstRow="0" w:lastRow="0" w:firstColumn="0" w:lastColumn="0" w:noHBand="0" w:noVBand="0"/>
      </w:tblPr>
      <w:tblGrid>
        <w:gridCol w:w="283"/>
        <w:gridCol w:w="4111"/>
        <w:gridCol w:w="284"/>
      </w:tblGrid>
      <w:tr w:rsidR="00645481" w:rsidTr="00645481">
        <w:trPr>
          <w:cantSplit/>
        </w:trPr>
        <w:tc>
          <w:tcPr>
            <w:tcW w:w="283" w:type="dxa"/>
            <w:tcBorders>
              <w:top w:val="nil"/>
              <w:left w:val="nil"/>
              <w:bottom w:val="nil"/>
              <w:right w:val="nil"/>
            </w:tcBorders>
          </w:tcPr>
          <w:p w:rsidR="00645481" w:rsidRDefault="00645481" w:rsidP="00645481">
            <w:pPr>
              <w:pStyle w:val="ab"/>
              <w:rPr>
                <w:noProof w:val="0"/>
              </w:rPr>
            </w:pPr>
            <w:r>
              <w:rPr>
                <w:noProof w:val="0"/>
                <w:rtl/>
              </w:rPr>
              <w:t>*</w:t>
            </w:r>
          </w:p>
        </w:tc>
        <w:tc>
          <w:tcPr>
            <w:tcW w:w="4111" w:type="dxa"/>
            <w:tcBorders>
              <w:top w:val="nil"/>
              <w:left w:val="nil"/>
              <w:bottom w:val="nil"/>
              <w:right w:val="nil"/>
            </w:tcBorders>
          </w:tcPr>
          <w:p w:rsidR="00645481" w:rsidRDefault="00645481" w:rsidP="00645481">
            <w:pPr>
              <w:pStyle w:val="ab"/>
              <w:rPr>
                <w:noProof w:val="0"/>
              </w:rPr>
            </w:pPr>
            <w:r>
              <w:rPr>
                <w:noProof w:val="0"/>
                <w:rtl/>
              </w:rPr>
              <w:t>**********************************************************</w:t>
            </w:r>
          </w:p>
        </w:tc>
        <w:tc>
          <w:tcPr>
            <w:tcW w:w="284" w:type="dxa"/>
            <w:tcBorders>
              <w:top w:val="nil"/>
              <w:left w:val="nil"/>
              <w:bottom w:val="nil"/>
              <w:right w:val="nil"/>
            </w:tcBorders>
          </w:tcPr>
          <w:p w:rsidR="00645481" w:rsidRDefault="00645481" w:rsidP="00645481">
            <w:pPr>
              <w:pStyle w:val="ab"/>
              <w:rPr>
                <w:noProof w:val="0"/>
              </w:rPr>
            </w:pPr>
            <w:r>
              <w:rPr>
                <w:noProof w:val="0"/>
                <w:rtl/>
              </w:rPr>
              <w:t>*</w:t>
            </w:r>
          </w:p>
        </w:tc>
      </w:tr>
      <w:tr w:rsidR="00645481" w:rsidTr="00645481">
        <w:trPr>
          <w:cantSplit/>
        </w:trPr>
        <w:tc>
          <w:tcPr>
            <w:tcW w:w="283" w:type="dxa"/>
            <w:tcBorders>
              <w:top w:val="nil"/>
              <w:left w:val="nil"/>
              <w:bottom w:val="nil"/>
              <w:right w:val="nil"/>
            </w:tcBorders>
          </w:tcPr>
          <w:p w:rsidR="00645481" w:rsidRDefault="00645481" w:rsidP="00645481">
            <w:pPr>
              <w:pStyle w:val="ab"/>
              <w:rPr>
                <w:noProof w:val="0"/>
              </w:rPr>
            </w:pPr>
            <w:r>
              <w:rPr>
                <w:noProof w:val="0"/>
                <w:rtl/>
              </w:rPr>
              <w:t xml:space="preserve">* * * * * * * </w:t>
            </w:r>
          </w:p>
        </w:tc>
        <w:tc>
          <w:tcPr>
            <w:tcW w:w="4111" w:type="dxa"/>
            <w:tcBorders>
              <w:top w:val="nil"/>
              <w:left w:val="nil"/>
              <w:bottom w:val="nil"/>
              <w:right w:val="nil"/>
            </w:tcBorders>
          </w:tcPr>
          <w:p w:rsidR="00645481" w:rsidRDefault="00645481" w:rsidP="00645481">
            <w:pPr>
              <w:pStyle w:val="ab"/>
              <w:rPr>
                <w:noProof w:val="0"/>
                <w:rtl/>
              </w:rPr>
            </w:pPr>
            <w:r>
              <w:rPr>
                <w:noProof w:val="0"/>
                <w:rtl/>
              </w:rPr>
              <w:t>כל הזכויות שמורות לישיבת הר עציון</w:t>
            </w:r>
            <w:r>
              <w:rPr>
                <w:rFonts w:hint="cs"/>
                <w:noProof w:val="0"/>
                <w:rtl/>
              </w:rPr>
              <w:t xml:space="preserve"> ולרב משה ליכטנשטיין</w:t>
            </w:r>
            <w:r>
              <w:rPr>
                <w:noProof w:val="0"/>
                <w:rtl/>
              </w:rPr>
              <w:t xml:space="preserve"> </w:t>
            </w:r>
          </w:p>
          <w:p w:rsidR="00645481" w:rsidRDefault="00645481" w:rsidP="00645481">
            <w:pPr>
              <w:pStyle w:val="ab"/>
              <w:rPr>
                <w:noProof w:val="0"/>
                <w:rtl/>
              </w:rPr>
            </w:pPr>
            <w:r>
              <w:rPr>
                <w:noProof w:val="0"/>
                <w:rtl/>
              </w:rPr>
              <w:t xml:space="preserve">עורך: </w:t>
            </w:r>
            <w:r>
              <w:rPr>
                <w:rFonts w:hint="cs"/>
                <w:noProof w:val="0"/>
                <w:rtl/>
              </w:rPr>
              <w:t>אלישע אורון, תשע"ז</w:t>
            </w:r>
          </w:p>
          <w:p w:rsidR="00645481" w:rsidRDefault="00645481" w:rsidP="00645481">
            <w:pPr>
              <w:pStyle w:val="ab"/>
              <w:rPr>
                <w:noProof w:val="0"/>
                <w:rtl/>
              </w:rPr>
            </w:pPr>
            <w:r>
              <w:rPr>
                <w:noProof w:val="0"/>
                <w:rtl/>
              </w:rPr>
              <w:t>*******************************************************</w:t>
            </w:r>
          </w:p>
          <w:p w:rsidR="00645481" w:rsidRDefault="00645481" w:rsidP="00645481">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645481" w:rsidRPr="005734F1" w:rsidRDefault="00645481" w:rsidP="00645481">
            <w:pPr>
              <w:pStyle w:val="ab"/>
              <w:rPr>
                <w:noProof w:val="0"/>
                <w:rtl/>
              </w:rPr>
            </w:pPr>
            <w:r w:rsidRPr="005734F1">
              <w:rPr>
                <w:noProof w:val="0"/>
                <w:rtl/>
              </w:rPr>
              <w:t xml:space="preserve">מיסודו של </w:t>
            </w:r>
          </w:p>
          <w:p w:rsidR="00645481" w:rsidRPr="005734F1" w:rsidRDefault="00645481" w:rsidP="00645481">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rsidR="00645481" w:rsidRDefault="00645481" w:rsidP="00645481">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645481" w:rsidRDefault="00645481" w:rsidP="00645481">
            <w:pPr>
              <w:pStyle w:val="ab"/>
              <w:rPr>
                <w:noProof w:val="0"/>
                <w:rtl/>
              </w:rPr>
            </w:pPr>
            <w:r>
              <w:rPr>
                <w:noProof w:val="0"/>
                <w:rtl/>
              </w:rPr>
              <w:t>האתר באנגלית:</w:t>
            </w:r>
            <w:r>
              <w:rPr>
                <w:noProof w:val="0"/>
                <w:rtl/>
              </w:rPr>
              <w:tab/>
            </w:r>
            <w:hyperlink r:id="rId9" w:history="1">
              <w:r>
                <w:rPr>
                  <w:rStyle w:val="Hyperlink"/>
                </w:rPr>
                <w:t>http://www.vbm-torah.org</w:t>
              </w:r>
            </w:hyperlink>
          </w:p>
          <w:p w:rsidR="00645481" w:rsidRDefault="00645481" w:rsidP="00645481">
            <w:pPr>
              <w:pStyle w:val="ab"/>
              <w:rPr>
                <w:noProof w:val="0"/>
                <w:rtl/>
              </w:rPr>
            </w:pPr>
          </w:p>
          <w:p w:rsidR="00645481" w:rsidRDefault="00645481" w:rsidP="00645481">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645481" w:rsidRDefault="00645481" w:rsidP="0064548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645481" w:rsidRDefault="00645481" w:rsidP="00645481">
            <w:pPr>
              <w:pStyle w:val="ab"/>
              <w:rPr>
                <w:noProof w:val="0"/>
              </w:rPr>
            </w:pPr>
          </w:p>
        </w:tc>
        <w:tc>
          <w:tcPr>
            <w:tcW w:w="284" w:type="dxa"/>
            <w:tcBorders>
              <w:top w:val="nil"/>
              <w:left w:val="nil"/>
              <w:bottom w:val="nil"/>
              <w:right w:val="nil"/>
            </w:tcBorders>
          </w:tcPr>
          <w:p w:rsidR="00645481" w:rsidRDefault="00645481" w:rsidP="00645481">
            <w:pPr>
              <w:pStyle w:val="ab"/>
              <w:rPr>
                <w:noProof w:val="0"/>
              </w:rPr>
            </w:pPr>
            <w:r>
              <w:rPr>
                <w:noProof w:val="0"/>
                <w:rtl/>
              </w:rPr>
              <w:t xml:space="preserve">* * * * * * * </w:t>
            </w:r>
          </w:p>
        </w:tc>
      </w:tr>
    </w:tbl>
    <w:p w:rsidR="00E84C14" w:rsidRDefault="00E84C14" w:rsidP="00AD3555">
      <w:pPr>
        <w:rPr>
          <w:szCs w:val="20"/>
          <w:rtl/>
        </w:rPr>
      </w:pPr>
    </w:p>
    <w:p w:rsidR="00645481" w:rsidRPr="00AD3555" w:rsidRDefault="00645481" w:rsidP="00AD3555">
      <w:pPr>
        <w:rPr>
          <w:szCs w:val="20"/>
          <w:rtl/>
        </w:rPr>
      </w:pPr>
    </w:p>
    <w:sectPr w:rsidR="00645481" w:rsidRPr="00AD3555">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2A" w:rsidRDefault="00E4712A">
      <w:r>
        <w:separator/>
      </w:r>
    </w:p>
  </w:endnote>
  <w:endnote w:type="continuationSeparator" w:id="0">
    <w:p w:rsidR="00E4712A" w:rsidRDefault="00E4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2A" w:rsidRDefault="00E4712A">
      <w:r>
        <w:separator/>
      </w:r>
    </w:p>
  </w:footnote>
  <w:footnote w:type="continuationSeparator" w:id="0">
    <w:p w:rsidR="00E4712A" w:rsidRDefault="00E4712A">
      <w:r>
        <w:continuationSeparator/>
      </w:r>
    </w:p>
  </w:footnote>
  <w:footnote w:id="1">
    <w:p w:rsidR="00645481" w:rsidRPr="009A0FB2" w:rsidRDefault="00645481" w:rsidP="00645481">
      <w:pPr>
        <w:pStyle w:val="a3"/>
        <w:rPr>
          <w:rtl/>
        </w:rPr>
      </w:pPr>
      <w:r>
        <w:rPr>
          <w:rStyle w:val="a5"/>
          <w:rtl/>
        </w:rPr>
        <w:t>*</w:t>
      </w:r>
      <w:r w:rsidRPr="001C4E63">
        <w:rPr>
          <w:rFonts w:hint="cs"/>
          <w:rtl/>
        </w:rPr>
        <w:t xml:space="preserve"> </w:t>
      </w:r>
      <w:bookmarkStart w:id="0" w:name="_ftn1"/>
      <w:bookmarkEnd w:id="0"/>
      <w:r>
        <w:rPr>
          <w:rFonts w:hint="cs"/>
          <w:rtl/>
        </w:rPr>
        <w:tab/>
        <w:t>השיחה הועברה בסעודה שלישית פרשת נח ה'תשע"ב, סוכמה על ידי עמנואל מאייר ונערכה על ידי אלישע אורון. סיכום השיחה לא עבר את ביקורת הרב.</w:t>
      </w:r>
    </w:p>
  </w:footnote>
  <w:footnote w:id="2">
    <w:p w:rsidR="008C5609" w:rsidRDefault="008C5609">
      <w:pPr>
        <w:pStyle w:val="a3"/>
      </w:pPr>
      <w:r>
        <w:rPr>
          <w:rStyle w:val="a5"/>
        </w:rPr>
        <w:footnoteRef/>
      </w:r>
      <w:r>
        <w:rPr>
          <w:rtl/>
        </w:rPr>
        <w:t xml:space="preserve"> </w:t>
      </w:r>
      <w:r>
        <w:rPr>
          <w:rFonts w:hint="cs"/>
          <w:rtl/>
        </w:rPr>
        <w:t xml:space="preserve">בראשית ט, כ </w:t>
      </w:r>
      <w:r>
        <w:rPr>
          <w:rtl/>
        </w:rPr>
        <w:t>–</w:t>
      </w:r>
      <w:r>
        <w:rPr>
          <w:rFonts w:hint="cs"/>
          <w:rtl/>
        </w:rPr>
        <w:t xml:space="preserve"> כ"ז.</w:t>
      </w:r>
    </w:p>
  </w:footnote>
  <w:footnote w:id="3">
    <w:p w:rsidR="00616AAD" w:rsidRDefault="00616AAD">
      <w:pPr>
        <w:pStyle w:val="a3"/>
        <w:rPr>
          <w:rtl/>
        </w:rPr>
      </w:pPr>
      <w:r>
        <w:rPr>
          <w:rStyle w:val="a5"/>
        </w:rPr>
        <w:footnoteRef/>
      </w:r>
      <w:r>
        <w:rPr>
          <w:rtl/>
        </w:rPr>
        <w:t xml:space="preserve"> </w:t>
      </w:r>
      <w:r>
        <w:rPr>
          <w:rFonts w:hint="cs"/>
          <w:rtl/>
        </w:rPr>
        <w:t>כמו בפסוק בבראשית מ"ב, ט- "</w:t>
      </w:r>
      <w:proofErr w:type="spellStart"/>
      <w:r w:rsidRPr="00616AAD">
        <w:rPr>
          <w:rtl/>
        </w:rPr>
        <w:t>וַיִּזְכֹּר</w:t>
      </w:r>
      <w:proofErr w:type="spellEnd"/>
      <w:r w:rsidRPr="00616AAD">
        <w:rPr>
          <w:rtl/>
        </w:rPr>
        <w:t xml:space="preserve"> יוֹסֵף אֵת </w:t>
      </w:r>
      <w:proofErr w:type="spellStart"/>
      <w:r w:rsidRPr="00616AAD">
        <w:rPr>
          <w:rtl/>
        </w:rPr>
        <w:t>הַחֲלֹמוֹת</w:t>
      </w:r>
      <w:proofErr w:type="spellEnd"/>
      <w:r w:rsidRPr="00616AAD">
        <w:rPr>
          <w:rtl/>
        </w:rPr>
        <w:t xml:space="preserve"> אֲשֶׁר חָלַם לָהֶם וַיֹּאמֶר </w:t>
      </w:r>
      <w:proofErr w:type="spellStart"/>
      <w:r w:rsidRPr="00616AAD">
        <w:rPr>
          <w:rtl/>
        </w:rPr>
        <w:t>אֲלֵהֶם</w:t>
      </w:r>
      <w:proofErr w:type="spellEnd"/>
      <w:r w:rsidRPr="00616AAD">
        <w:rPr>
          <w:rtl/>
        </w:rPr>
        <w:t xml:space="preserve"> מְרַגְּלִים אַתֶּם לִרְאוֹת אֶת עֶרְוַת הָאָרֶץ בָּאתֶם</w:t>
      </w:r>
      <w:r>
        <w:rPr>
          <w:rFonts w:hint="cs"/>
          <w:rtl/>
        </w:rPr>
        <w:t>"</w:t>
      </w:r>
      <w:r w:rsidRPr="00616AAD">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2D" w:rsidRDefault="0019552D">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46BDA">
      <w:rPr>
        <w:b/>
        <w:bCs/>
        <w:noProof/>
        <w:sz w:val="21"/>
        <w:rtl/>
      </w:rPr>
      <w:t>2</w:t>
    </w:r>
    <w:r>
      <w:rPr>
        <w:b/>
        <w:bCs/>
        <w:sz w:val="21"/>
        <w:rtl/>
      </w:rPr>
      <w:fldChar w:fldCharType="end"/>
    </w:r>
    <w:r>
      <w:rPr>
        <w:b/>
        <w:bCs/>
        <w:sz w:val="21"/>
        <w:rtl/>
      </w:rPr>
      <w:t xml:space="preserve"> -</w:t>
    </w:r>
  </w:p>
  <w:p w:rsidR="0019552D" w:rsidRDefault="001955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19552D">
      <w:tc>
        <w:tcPr>
          <w:tcW w:w="4927" w:type="dxa"/>
          <w:tcBorders>
            <w:top w:val="nil"/>
            <w:left w:val="nil"/>
            <w:bottom w:val="double" w:sz="4" w:space="0" w:color="auto"/>
            <w:right w:val="nil"/>
          </w:tcBorders>
        </w:tcPr>
        <w:p w:rsidR="0019552D" w:rsidRDefault="0019552D">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19552D" w:rsidRDefault="0019552D">
          <w:pPr>
            <w:pStyle w:val="a6"/>
            <w:tabs>
              <w:tab w:val="clear" w:pos="4153"/>
              <w:tab w:val="clear" w:pos="8306"/>
              <w:tab w:val="center" w:pos="4818"/>
              <w:tab w:val="right" w:pos="8220"/>
            </w:tabs>
            <w:spacing w:after="0"/>
            <w:rPr>
              <w:sz w:val="21"/>
              <w:rtl/>
            </w:rPr>
          </w:pPr>
          <w:r>
            <w:rPr>
              <w:sz w:val="21"/>
              <w:rtl/>
            </w:rPr>
            <w:t>שליד ישיבת הר עציון</w:t>
          </w:r>
        </w:p>
        <w:p w:rsidR="0019552D" w:rsidRDefault="0019552D">
          <w:pPr>
            <w:pStyle w:val="a6"/>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19552D" w:rsidRDefault="0019552D">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19552D" w:rsidRDefault="0019552D">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05FB"/>
    <w:rsid w:val="00015C4E"/>
    <w:rsid w:val="00062C83"/>
    <w:rsid w:val="0006305C"/>
    <w:rsid w:val="00066F65"/>
    <w:rsid w:val="00070291"/>
    <w:rsid w:val="000773F4"/>
    <w:rsid w:val="00082272"/>
    <w:rsid w:val="000A5D16"/>
    <w:rsid w:val="001051EE"/>
    <w:rsid w:val="00130F07"/>
    <w:rsid w:val="00144BE6"/>
    <w:rsid w:val="001615CD"/>
    <w:rsid w:val="00167E92"/>
    <w:rsid w:val="001703EB"/>
    <w:rsid w:val="00186714"/>
    <w:rsid w:val="001952A0"/>
    <w:rsid w:val="0019552D"/>
    <w:rsid w:val="001B7AE8"/>
    <w:rsid w:val="001C1CAA"/>
    <w:rsid w:val="001C4E63"/>
    <w:rsid w:val="001E3883"/>
    <w:rsid w:val="00267532"/>
    <w:rsid w:val="0028575C"/>
    <w:rsid w:val="00293BED"/>
    <w:rsid w:val="002D22C4"/>
    <w:rsid w:val="002D5EDF"/>
    <w:rsid w:val="002E0D3F"/>
    <w:rsid w:val="00307245"/>
    <w:rsid w:val="003128B3"/>
    <w:rsid w:val="003403F3"/>
    <w:rsid w:val="00346BDA"/>
    <w:rsid w:val="00351974"/>
    <w:rsid w:val="00370C5A"/>
    <w:rsid w:val="0037776B"/>
    <w:rsid w:val="00383BEA"/>
    <w:rsid w:val="003B10E1"/>
    <w:rsid w:val="003C07F9"/>
    <w:rsid w:val="003E3654"/>
    <w:rsid w:val="004148C3"/>
    <w:rsid w:val="00431FA5"/>
    <w:rsid w:val="00461E1B"/>
    <w:rsid w:val="00475741"/>
    <w:rsid w:val="0049788A"/>
    <w:rsid w:val="004A7438"/>
    <w:rsid w:val="004F00B6"/>
    <w:rsid w:val="004F49E4"/>
    <w:rsid w:val="004F7707"/>
    <w:rsid w:val="00521AA6"/>
    <w:rsid w:val="00563CAD"/>
    <w:rsid w:val="0059033A"/>
    <w:rsid w:val="00603B7F"/>
    <w:rsid w:val="00616AAD"/>
    <w:rsid w:val="00622528"/>
    <w:rsid w:val="0062477E"/>
    <w:rsid w:val="00627712"/>
    <w:rsid w:val="00645481"/>
    <w:rsid w:val="00647729"/>
    <w:rsid w:val="00651A31"/>
    <w:rsid w:val="00680CBB"/>
    <w:rsid w:val="00697520"/>
    <w:rsid w:val="006D3AC2"/>
    <w:rsid w:val="00731FFA"/>
    <w:rsid w:val="007518CA"/>
    <w:rsid w:val="007738DC"/>
    <w:rsid w:val="007915D4"/>
    <w:rsid w:val="007A3EDF"/>
    <w:rsid w:val="007C0DC9"/>
    <w:rsid w:val="007C2346"/>
    <w:rsid w:val="007E07C7"/>
    <w:rsid w:val="00804038"/>
    <w:rsid w:val="00822019"/>
    <w:rsid w:val="008377E6"/>
    <w:rsid w:val="008858B2"/>
    <w:rsid w:val="00890769"/>
    <w:rsid w:val="00894B71"/>
    <w:rsid w:val="008A0C18"/>
    <w:rsid w:val="008B1E50"/>
    <w:rsid w:val="008B2511"/>
    <w:rsid w:val="008C1332"/>
    <w:rsid w:val="008C5609"/>
    <w:rsid w:val="008F30A1"/>
    <w:rsid w:val="0091659D"/>
    <w:rsid w:val="009175E2"/>
    <w:rsid w:val="0094617E"/>
    <w:rsid w:val="009565EF"/>
    <w:rsid w:val="009737F2"/>
    <w:rsid w:val="009A0FB2"/>
    <w:rsid w:val="009C1793"/>
    <w:rsid w:val="009C2C8D"/>
    <w:rsid w:val="009D0E7C"/>
    <w:rsid w:val="00A47B1D"/>
    <w:rsid w:val="00A70ABB"/>
    <w:rsid w:val="00A8284F"/>
    <w:rsid w:val="00A84424"/>
    <w:rsid w:val="00AA4FCC"/>
    <w:rsid w:val="00AB6820"/>
    <w:rsid w:val="00AD3555"/>
    <w:rsid w:val="00AE6D9C"/>
    <w:rsid w:val="00B10C64"/>
    <w:rsid w:val="00B74501"/>
    <w:rsid w:val="00BB0832"/>
    <w:rsid w:val="00BB3B92"/>
    <w:rsid w:val="00BC134D"/>
    <w:rsid w:val="00BD5947"/>
    <w:rsid w:val="00BF08BD"/>
    <w:rsid w:val="00C01926"/>
    <w:rsid w:val="00C13865"/>
    <w:rsid w:val="00C5501D"/>
    <w:rsid w:val="00C55677"/>
    <w:rsid w:val="00C5614D"/>
    <w:rsid w:val="00C72129"/>
    <w:rsid w:val="00C859AE"/>
    <w:rsid w:val="00CB2FAC"/>
    <w:rsid w:val="00CD20C7"/>
    <w:rsid w:val="00CD7181"/>
    <w:rsid w:val="00D0716C"/>
    <w:rsid w:val="00D1709C"/>
    <w:rsid w:val="00D23060"/>
    <w:rsid w:val="00D232AA"/>
    <w:rsid w:val="00D469BB"/>
    <w:rsid w:val="00D702B2"/>
    <w:rsid w:val="00D774DD"/>
    <w:rsid w:val="00D83492"/>
    <w:rsid w:val="00DA0136"/>
    <w:rsid w:val="00DB6772"/>
    <w:rsid w:val="00DC0791"/>
    <w:rsid w:val="00DD4848"/>
    <w:rsid w:val="00DE0A58"/>
    <w:rsid w:val="00E339ED"/>
    <w:rsid w:val="00E4712A"/>
    <w:rsid w:val="00E84C14"/>
    <w:rsid w:val="00ED7E69"/>
    <w:rsid w:val="00EE2098"/>
    <w:rsid w:val="00EF501E"/>
    <w:rsid w:val="00F3664E"/>
    <w:rsid w:val="00F57159"/>
    <w:rsid w:val="00F76F1B"/>
    <w:rsid w:val="00F81ED0"/>
    <w:rsid w:val="00FA1C47"/>
    <w:rsid w:val="00FC63C1"/>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4C97-ECE1-4E34-95FB-6F85DCA7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4865</Characters>
  <Application>Microsoft Office Word</Application>
  <DocSecurity>4</DocSecurity>
  <Lines>40</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5865</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דבורה ברקוביץ</cp:lastModifiedBy>
  <cp:revision>2</cp:revision>
  <cp:lastPrinted>2001-10-24T10:13:00Z</cp:lastPrinted>
  <dcterms:created xsi:type="dcterms:W3CDTF">2016-11-03T09:41:00Z</dcterms:created>
  <dcterms:modified xsi:type="dcterms:W3CDTF">2016-11-03T09:41:00Z</dcterms:modified>
</cp:coreProperties>
</file>