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bookmarkStart w:id="0" w:name="_GoBack"/>
      <w:bookmarkEnd w:id="0"/>
      <w:r>
        <w:rPr>
          <w:rFonts w:hint="cs"/>
          <w:rtl/>
        </w:rPr>
        <w:t xml:space="preserve">פרופ' </w:t>
      </w:r>
      <w:r w:rsidR="00BC5418">
        <w:rPr>
          <w:rFonts w:hint="cs"/>
          <w:rtl/>
        </w:rPr>
        <w:t>יונתן גרוסמן</w:t>
      </w:r>
    </w:p>
    <w:p w14:paraId="361FEEAD" w14:textId="50DF380E" w:rsidR="00537C4E" w:rsidRDefault="00BD0D01" w:rsidP="00BD0D01">
      <w:pPr>
        <w:pStyle w:val="1"/>
        <w:contextualSpacing/>
        <w:rPr>
          <w:rtl/>
        </w:rPr>
      </w:pPr>
      <w:bookmarkStart w:id="1" w:name="OLE_LINK1"/>
      <w:r>
        <w:rPr>
          <w:rFonts w:hint="cs"/>
          <w:rtl/>
        </w:rPr>
        <w:t>3</w:t>
      </w:r>
      <w:r w:rsidR="00043F83">
        <w:rPr>
          <w:rFonts w:hint="cs"/>
          <w:rtl/>
        </w:rPr>
        <w:t xml:space="preserve"> </w:t>
      </w:r>
      <w:r w:rsidRPr="00BD0D01">
        <w:rPr>
          <w:rtl/>
        </w:rPr>
        <w:t>שתי רשימות הקורבנות (פרשת ויקרא ופרשת צו)</w:t>
      </w:r>
    </w:p>
    <w:bookmarkEnd w:id="1"/>
    <w:p w14:paraId="1E7660BB" w14:textId="77777777" w:rsidR="00BD0D01" w:rsidRDefault="00BD0D01" w:rsidP="00BD0D01">
      <w:pPr>
        <w:rPr>
          <w:rtl/>
        </w:rPr>
      </w:pPr>
    </w:p>
    <w:p w14:paraId="0C63331B" w14:textId="43AECF9A" w:rsidR="00BD0D01" w:rsidRDefault="00BD0D01" w:rsidP="00BD0D01">
      <w:pPr>
        <w:rPr>
          <w:rFonts w:ascii="David" w:hAnsi="David" w:cs="David"/>
        </w:rPr>
      </w:pPr>
      <w:r>
        <w:rPr>
          <w:rFonts w:ascii="David" w:hAnsi="David"/>
          <w:rtl/>
        </w:rPr>
        <w:t>משום מה, דיני הקורבנות הפותחים את ספר ויקרא מובאים בכפילות, בשתי רשימות עוקבות: רשימת ה</w:t>
      </w:r>
      <w:r w:rsidR="00A7255C">
        <w:rPr>
          <w:rFonts w:ascii="David" w:hAnsi="David"/>
          <w:rtl/>
        </w:rPr>
        <w:t>קורבנ</w:t>
      </w:r>
      <w:r>
        <w:rPr>
          <w:rFonts w:ascii="David" w:hAnsi="David"/>
          <w:rtl/>
        </w:rPr>
        <w:t>ות שבפרשת ויקרא ורשימת ה</w:t>
      </w:r>
      <w:r w:rsidR="00A7255C">
        <w:rPr>
          <w:rFonts w:ascii="David" w:hAnsi="David"/>
          <w:rtl/>
        </w:rPr>
        <w:t>קורבנ</w:t>
      </w:r>
      <w:r>
        <w:rPr>
          <w:rFonts w:ascii="David" w:hAnsi="David"/>
          <w:rtl/>
        </w:rPr>
        <w:t xml:space="preserve">ות שבפרשת צו. כל רשימה מלבנת את דיני אותם הקורבנות, כך שלא מדובר בהשלמת קורבנות שזכרם לא בא ברשימה הראשונה. אומנם, יש דינים שמתחדשים ברשימה השנייה – ובלשונו של </w:t>
      </w:r>
      <w:proofErr w:type="spellStart"/>
      <w:r>
        <w:rPr>
          <w:rFonts w:ascii="David" w:hAnsi="David"/>
          <w:rtl/>
        </w:rPr>
        <w:t>רשב"ם</w:t>
      </w:r>
      <w:proofErr w:type="spellEnd"/>
      <w:r>
        <w:rPr>
          <w:rFonts w:ascii="David" w:hAnsi="David"/>
          <w:rtl/>
        </w:rPr>
        <w:t xml:space="preserve">: "כל הקרבנות האמורים בפרשת ויקרא חוזר וגומר כל דיניהם" </w:t>
      </w:r>
      <w:r w:rsidRPr="00BD0D01">
        <w:rPr>
          <w:rFonts w:ascii="David" w:hAnsi="David"/>
          <w:sz w:val="20"/>
          <w:szCs w:val="20"/>
          <w:rtl/>
        </w:rPr>
        <w:t>(ויקרא ו', ב)</w:t>
      </w:r>
      <w:r>
        <w:rPr>
          <w:rFonts w:ascii="David" w:hAnsi="David"/>
          <w:rtl/>
        </w:rPr>
        <w:t xml:space="preserve"> – אולם דבר זה דורש פשר: מדוע לא לבאר את כל דיני הקורבן יחדו, מדוע לפצל את דיניו לשתי רשימות שונות?</w:t>
      </w:r>
    </w:p>
    <w:p w14:paraId="54AC3FFD" w14:textId="77777777" w:rsidR="00BD0D01" w:rsidRDefault="00BD0D01" w:rsidP="00BD0D01">
      <w:pPr>
        <w:rPr>
          <w:rFonts w:ascii="David" w:hAnsi="David"/>
          <w:rtl/>
        </w:rPr>
      </w:pPr>
      <w:r>
        <w:rPr>
          <w:rFonts w:ascii="David" w:hAnsi="David"/>
          <w:rtl/>
        </w:rPr>
        <w:tab/>
        <w:t>בקרב הראשונים היו שהציעו שהרשימה הראשונה עוסקת בקורבנות באופן כללי בלבד, ואילו הרשימה השנייה מתחילה לפרט את הדינים המיוחדים לכל קורבן ומבארת את הרעיון הרוחני שעומד כרקע לו:</w:t>
      </w:r>
    </w:p>
    <w:p w14:paraId="6F1FBB0D" w14:textId="501E9BD8" w:rsidR="00BD0D01" w:rsidRDefault="00BD0D01" w:rsidP="00BD0D01">
      <w:pPr>
        <w:ind w:left="720"/>
        <w:rPr>
          <w:rFonts w:ascii="David" w:hAnsi="David"/>
          <w:rtl/>
        </w:rPr>
      </w:pPr>
      <w:r>
        <w:rPr>
          <w:rFonts w:ascii="David" w:hAnsi="David" w:hint="cs"/>
          <w:rtl/>
        </w:rPr>
        <w:t>"</w:t>
      </w:r>
      <w:r>
        <w:rPr>
          <w:rFonts w:ascii="David" w:hAnsi="David"/>
          <w:rtl/>
        </w:rPr>
        <w:t>אחר שהגיד מעשה הקרבנות אמר התורה הראויה לכל אחד ואחד, אשר בה רמז חלק עיוני בהם</w:t>
      </w:r>
      <w:r>
        <w:rPr>
          <w:rFonts w:ascii="David" w:hAnsi="David" w:hint="cs"/>
          <w:rtl/>
        </w:rPr>
        <w:t>"</w:t>
      </w:r>
      <w:r>
        <w:rPr>
          <w:rFonts w:ascii="David" w:hAnsi="David"/>
          <w:rtl/>
        </w:rPr>
        <w:tab/>
        <w:t xml:space="preserve"> </w:t>
      </w:r>
      <w:r w:rsidRPr="00BD0D01">
        <w:rPr>
          <w:rFonts w:ascii="David" w:hAnsi="David"/>
          <w:sz w:val="20"/>
          <w:szCs w:val="20"/>
          <w:rtl/>
        </w:rPr>
        <w:t>(</w:t>
      </w:r>
      <w:proofErr w:type="spellStart"/>
      <w:r w:rsidRPr="00BD0D01">
        <w:rPr>
          <w:rFonts w:ascii="David" w:hAnsi="David"/>
          <w:sz w:val="20"/>
          <w:szCs w:val="20"/>
          <w:rtl/>
        </w:rPr>
        <w:t>ספורנו</w:t>
      </w:r>
      <w:proofErr w:type="spellEnd"/>
      <w:r w:rsidRPr="00BD0D01">
        <w:rPr>
          <w:rFonts w:ascii="David" w:hAnsi="David"/>
          <w:sz w:val="20"/>
          <w:szCs w:val="20"/>
          <w:rtl/>
        </w:rPr>
        <w:t xml:space="preserve"> ויקרא ו', ב)</w:t>
      </w:r>
      <w:r>
        <w:rPr>
          <w:rFonts w:ascii="David" w:hAnsi="David"/>
          <w:rtl/>
        </w:rPr>
        <w:t>.</w:t>
      </w:r>
    </w:p>
    <w:p w14:paraId="2F57E260" w14:textId="77777777" w:rsidR="00BD0D01" w:rsidRDefault="00BD0D01" w:rsidP="00BD0D01">
      <w:pPr>
        <w:rPr>
          <w:rFonts w:ascii="David" w:hAnsi="David"/>
          <w:rtl/>
        </w:rPr>
      </w:pPr>
      <w:r>
        <w:rPr>
          <w:rFonts w:ascii="David" w:hAnsi="David"/>
          <w:rtl/>
        </w:rPr>
        <w:t xml:space="preserve">מעין ראיה להצעה זו יש בשילוב המונח 'תורה' שבא ברשימה השנייה שוב ושוב ('תורת העולה'; 'תורת המנחה' וכו'), מונח שיש בכוחו לרמוז להבאת פרטי ההוראות והייחודיות של כל קורבן וקורבן ולא רק עיסוק ברעיון הקורבנות כרעיון כללי. </w:t>
      </w:r>
      <w:proofErr w:type="spellStart"/>
      <w:r>
        <w:rPr>
          <w:rFonts w:ascii="David" w:hAnsi="David"/>
          <w:rtl/>
        </w:rPr>
        <w:t>ספורנו</w:t>
      </w:r>
      <w:proofErr w:type="spellEnd"/>
      <w:r>
        <w:rPr>
          <w:rFonts w:ascii="David" w:hAnsi="David"/>
          <w:rtl/>
        </w:rPr>
        <w:t xml:space="preserve"> אכן מתבסס על כך, באומרו "אמר </w:t>
      </w:r>
      <w:r>
        <w:rPr>
          <w:rFonts w:ascii="David" w:hAnsi="David"/>
          <w:b/>
          <w:bCs/>
          <w:rtl/>
        </w:rPr>
        <w:t>התורה</w:t>
      </w:r>
      <w:r>
        <w:rPr>
          <w:rFonts w:ascii="David" w:hAnsi="David"/>
          <w:rtl/>
        </w:rPr>
        <w:t xml:space="preserve"> הראויה לכל אחד ואחד".</w:t>
      </w:r>
      <w:r>
        <w:rPr>
          <w:rStyle w:val="a5"/>
          <w:rFonts w:ascii="David" w:hAnsi="David"/>
          <w:sz w:val="24"/>
          <w:rtl/>
        </w:rPr>
        <w:footnoteReference w:id="1"/>
      </w:r>
    </w:p>
    <w:p w14:paraId="59945211" w14:textId="77777777" w:rsidR="00BD0D01" w:rsidRDefault="00BD0D01" w:rsidP="00BD0D01">
      <w:pPr>
        <w:rPr>
          <w:rFonts w:ascii="David" w:hAnsi="David"/>
          <w:rtl/>
        </w:rPr>
      </w:pPr>
      <w:r>
        <w:rPr>
          <w:rFonts w:ascii="David" w:hAnsi="David"/>
          <w:rtl/>
        </w:rPr>
        <w:t xml:space="preserve">אולם, גישה זו קשה, מפני שפרטי דינים רבים נזכרים דווקא ברשימה הראשונה ולא השנייה. אדרבה: רוב דיני ההקרבה נזכרים כבר ברשימה הראשונה, וקשה לראות את הציוויים שבאים בפרשת צו כמפרטים יותר (מלבד ביחס לקורבן אשם שעוד נדון בו). כפי שנראה במהלך לימודנו, גם הרעיון המייחד כל קורבן עולה בפרשת ויקרא עוד יותר מאשר בפרשת צו. כיצד אם כן ניתן </w:t>
      </w:r>
      <w:r>
        <w:rPr>
          <w:rFonts w:ascii="David" w:hAnsi="David"/>
          <w:rtl/>
        </w:rPr>
        <w:lastRenderedPageBreak/>
        <w:t>להבין את הצורך בפיצול דיני הקורבן לשתי רשימות שונות?</w:t>
      </w:r>
    </w:p>
    <w:p w14:paraId="4AB95A38" w14:textId="77777777" w:rsidR="00113861" w:rsidRDefault="00BD0D01" w:rsidP="00BD0D01">
      <w:pPr>
        <w:rPr>
          <w:rFonts w:ascii="David" w:hAnsi="David"/>
          <w:rtl/>
        </w:rPr>
      </w:pPr>
      <w:r>
        <w:rPr>
          <w:rFonts w:ascii="David" w:hAnsi="David"/>
          <w:rtl/>
        </w:rPr>
        <w:tab/>
      </w:r>
    </w:p>
    <w:p w14:paraId="013CAFEA" w14:textId="170880E0" w:rsidR="00113861" w:rsidRDefault="00113861" w:rsidP="00113861">
      <w:pPr>
        <w:pStyle w:val="2"/>
        <w:rPr>
          <w:rtl/>
        </w:rPr>
      </w:pPr>
      <w:r>
        <w:rPr>
          <w:rFonts w:hint="cs"/>
          <w:rtl/>
        </w:rPr>
        <w:t>הרשימה בפרשת ויקרא</w:t>
      </w:r>
    </w:p>
    <w:p w14:paraId="2A1D442C" w14:textId="723FBC41" w:rsidR="00BD0D01" w:rsidRDefault="00BD0D01" w:rsidP="00BD0D01">
      <w:pPr>
        <w:rPr>
          <w:rFonts w:ascii="David" w:hAnsi="David"/>
          <w:rtl/>
        </w:rPr>
      </w:pPr>
      <w:r>
        <w:rPr>
          <w:rFonts w:ascii="David" w:hAnsi="David"/>
          <w:rtl/>
        </w:rPr>
        <w:t>הרשימה הראשונה (פרשת ויקרא) כוללת את ה</w:t>
      </w:r>
      <w:r w:rsidR="00A7255C">
        <w:rPr>
          <w:rFonts w:ascii="David" w:hAnsi="David"/>
          <w:rtl/>
        </w:rPr>
        <w:t>קורבנ</w:t>
      </w:r>
      <w:r>
        <w:rPr>
          <w:rFonts w:ascii="David" w:hAnsi="David"/>
          <w:rtl/>
        </w:rPr>
        <w:t>ות הבאים בסדר הבא:</w:t>
      </w:r>
    </w:p>
    <w:p w14:paraId="3FCD1856" w14:textId="69CB48D7" w:rsidR="00BD0D01" w:rsidRDefault="00BD0D01" w:rsidP="00BD0D01">
      <w:pPr>
        <w:ind w:left="720"/>
        <w:rPr>
          <w:rFonts w:ascii="David" w:hAnsi="David"/>
          <w:rtl/>
        </w:rPr>
      </w:pPr>
      <w:r>
        <w:rPr>
          <w:rFonts w:ascii="David" w:hAnsi="David" w:hint="cs"/>
          <w:rtl/>
        </w:rPr>
        <w:t xml:space="preserve">א. </w:t>
      </w:r>
      <w:r>
        <w:rPr>
          <w:rFonts w:ascii="David" w:hAnsi="David"/>
          <w:rtl/>
        </w:rPr>
        <w:t>קורבן עולה (פרק א)</w:t>
      </w:r>
    </w:p>
    <w:p w14:paraId="3A2B789B" w14:textId="1BD95225" w:rsidR="00BD0D01" w:rsidRDefault="00BD0D01" w:rsidP="00BD0D01">
      <w:pPr>
        <w:ind w:left="720"/>
        <w:rPr>
          <w:rFonts w:ascii="David" w:hAnsi="David"/>
        </w:rPr>
      </w:pPr>
      <w:r>
        <w:rPr>
          <w:rFonts w:ascii="David" w:hAnsi="David" w:hint="cs"/>
          <w:rtl/>
        </w:rPr>
        <w:t xml:space="preserve">ב. </w:t>
      </w:r>
      <w:r>
        <w:rPr>
          <w:rFonts w:ascii="David" w:hAnsi="David"/>
          <w:rtl/>
        </w:rPr>
        <w:t>קורבן מנחה (פרק ב)</w:t>
      </w:r>
    </w:p>
    <w:p w14:paraId="30BE9239" w14:textId="7B310880" w:rsidR="00BD0D01" w:rsidRDefault="00BD0D01" w:rsidP="00BD0D01">
      <w:pPr>
        <w:ind w:left="720"/>
        <w:rPr>
          <w:rFonts w:ascii="David" w:hAnsi="David"/>
        </w:rPr>
      </w:pPr>
      <w:r>
        <w:rPr>
          <w:rFonts w:ascii="David" w:hAnsi="David" w:hint="cs"/>
          <w:rtl/>
        </w:rPr>
        <w:t xml:space="preserve">ג. </w:t>
      </w:r>
      <w:r>
        <w:rPr>
          <w:rFonts w:ascii="David" w:hAnsi="David"/>
          <w:rtl/>
        </w:rPr>
        <w:t>קורבן זבח שלמים (פרק ג)</w:t>
      </w:r>
    </w:p>
    <w:p w14:paraId="19FC6C3A" w14:textId="232021C2" w:rsidR="00BD0D01" w:rsidRDefault="00BD0D01" w:rsidP="00BD0D01">
      <w:pPr>
        <w:ind w:left="720"/>
        <w:rPr>
          <w:rFonts w:ascii="David" w:hAnsi="David"/>
        </w:rPr>
      </w:pPr>
      <w:r>
        <w:rPr>
          <w:rFonts w:ascii="David" w:hAnsi="David" w:hint="cs"/>
          <w:rtl/>
        </w:rPr>
        <w:t xml:space="preserve">ד. </w:t>
      </w:r>
      <w:r>
        <w:rPr>
          <w:rFonts w:ascii="David" w:hAnsi="David"/>
          <w:rtl/>
        </w:rPr>
        <w:t>קורבן חטאת (פרק ד) + חטאת עולה ויורד (ה', א-יד)</w:t>
      </w:r>
    </w:p>
    <w:p w14:paraId="03D0A68B" w14:textId="0312D632" w:rsidR="00BD0D01" w:rsidRDefault="00BD0D01" w:rsidP="00BD0D01">
      <w:pPr>
        <w:ind w:left="720"/>
        <w:rPr>
          <w:rFonts w:ascii="David" w:hAnsi="David"/>
        </w:rPr>
      </w:pPr>
      <w:r>
        <w:rPr>
          <w:rFonts w:ascii="David" w:hAnsi="David" w:hint="cs"/>
          <w:rtl/>
        </w:rPr>
        <w:t xml:space="preserve">ה. </w:t>
      </w:r>
      <w:r>
        <w:rPr>
          <w:rFonts w:ascii="David" w:hAnsi="David"/>
          <w:rtl/>
        </w:rPr>
        <w:t>קורבן אשם (ה', יד-</w:t>
      </w:r>
      <w:proofErr w:type="spellStart"/>
      <w:r>
        <w:rPr>
          <w:rFonts w:ascii="David" w:hAnsi="David"/>
          <w:rtl/>
        </w:rPr>
        <w:t>כו</w:t>
      </w:r>
      <w:proofErr w:type="spellEnd"/>
      <w:r>
        <w:rPr>
          <w:rFonts w:ascii="David" w:hAnsi="David"/>
          <w:rtl/>
        </w:rPr>
        <w:t>)</w:t>
      </w:r>
    </w:p>
    <w:p w14:paraId="7691E22F" w14:textId="77777777" w:rsidR="00BD0D01" w:rsidRDefault="00BD0D01" w:rsidP="00BD0D01">
      <w:pPr>
        <w:rPr>
          <w:rFonts w:ascii="David" w:hAnsi="David"/>
        </w:rPr>
      </w:pPr>
      <w:r>
        <w:rPr>
          <w:rFonts w:ascii="David" w:hAnsi="David"/>
          <w:rtl/>
        </w:rPr>
        <w:t>עיון מהיר ברשימה זו מגלה שהיא מסודרת לפי המוטיבציה של המקריב להבאת הקורבן: שלושת הקורבנות הראשונים הם קורבנות נדבה – הרוצה להביא קורבן לה' מוזמן לעשות כן; ושני הקורבנות הסוגרים את הרשימה הם קורבנות חובה – במקרים מסוימים התורה דורשת מהאדם להביא קורבן ולכפר על חטאיו.</w:t>
      </w:r>
    </w:p>
    <w:p w14:paraId="559F0E0C" w14:textId="586A67A3" w:rsidR="00BD0D01" w:rsidRDefault="00BD0D01" w:rsidP="00113861">
      <w:pPr>
        <w:rPr>
          <w:rFonts w:ascii="David" w:hAnsi="David"/>
          <w:rtl/>
        </w:rPr>
      </w:pPr>
      <w:r>
        <w:rPr>
          <w:rFonts w:ascii="David" w:hAnsi="David"/>
          <w:rtl/>
        </w:rPr>
        <w:tab/>
        <w:t xml:space="preserve">חלוקה זו באה לידי ביטוי בחלוקת הדיבורים שבחטיבה זו. </w:t>
      </w:r>
      <w:r w:rsidR="00113861">
        <w:rPr>
          <w:rFonts w:ascii="David" w:hAnsi="David" w:hint="cs"/>
          <w:rtl/>
        </w:rPr>
        <w:t xml:space="preserve">הציווי על </w:t>
      </w:r>
      <w:r>
        <w:rPr>
          <w:rFonts w:ascii="David" w:hAnsi="David"/>
          <w:rtl/>
        </w:rPr>
        <w:t xml:space="preserve">קורבנות הנדבה </w:t>
      </w:r>
      <w:r w:rsidR="00113861">
        <w:rPr>
          <w:rFonts w:ascii="David" w:hAnsi="David" w:hint="cs"/>
          <w:rtl/>
        </w:rPr>
        <w:t>נפתח</w:t>
      </w:r>
      <w:r w:rsidR="00113861">
        <w:rPr>
          <w:rFonts w:ascii="David" w:hAnsi="David"/>
          <w:rtl/>
        </w:rPr>
        <w:t xml:space="preserve"> </w:t>
      </w:r>
      <w:r>
        <w:rPr>
          <w:rFonts w:ascii="David" w:hAnsi="David"/>
          <w:rtl/>
        </w:rPr>
        <w:t xml:space="preserve">בדיבור ה' למשה: "וַיִּקְרָא אֶל משֶׁה וַיְדַבֵּר ה' אֵלָיו מֵאֹהֶל מוֹעֵד </w:t>
      </w:r>
      <w:proofErr w:type="spellStart"/>
      <w:r>
        <w:rPr>
          <w:rFonts w:ascii="David" w:hAnsi="David"/>
          <w:rtl/>
        </w:rPr>
        <w:t>לֵאמֹר</w:t>
      </w:r>
      <w:proofErr w:type="spellEnd"/>
      <w:r>
        <w:rPr>
          <w:rFonts w:ascii="David" w:hAnsi="David"/>
          <w:rtl/>
        </w:rPr>
        <w:t xml:space="preserve">" </w:t>
      </w:r>
      <w:r w:rsidRPr="00BD0D01">
        <w:rPr>
          <w:rFonts w:ascii="David" w:hAnsi="David"/>
          <w:sz w:val="20"/>
          <w:szCs w:val="20"/>
          <w:rtl/>
        </w:rPr>
        <w:t>(א', א)</w:t>
      </w:r>
      <w:r>
        <w:rPr>
          <w:rFonts w:ascii="David" w:hAnsi="David"/>
          <w:rtl/>
        </w:rPr>
        <w:t xml:space="preserve">, ועל 'דיבור' זה נסמכים קורבנות עולה, מנחה וזבח </w:t>
      </w:r>
      <w:r w:rsidR="00113861">
        <w:rPr>
          <w:rFonts w:ascii="David" w:hAnsi="David" w:hint="cs"/>
          <w:rtl/>
        </w:rPr>
        <w:t>ה</w:t>
      </w:r>
      <w:r>
        <w:rPr>
          <w:rFonts w:ascii="David" w:hAnsi="David"/>
          <w:rtl/>
        </w:rPr>
        <w:t>שלמים</w:t>
      </w:r>
      <w:r w:rsidR="00113861">
        <w:rPr>
          <w:rFonts w:ascii="David" w:hAnsi="David" w:hint="cs"/>
          <w:rtl/>
        </w:rPr>
        <w:t>;</w:t>
      </w:r>
      <w:r>
        <w:rPr>
          <w:rFonts w:ascii="David" w:hAnsi="David"/>
          <w:rtl/>
        </w:rPr>
        <w:t xml:space="preserve"> בפתח פרק ד' משולבת כותרת חדשה של 'דיבור': "וַיְדַבֵּר ה' אֶל משֶׁה </w:t>
      </w:r>
      <w:proofErr w:type="spellStart"/>
      <w:r>
        <w:rPr>
          <w:rFonts w:ascii="David" w:hAnsi="David"/>
          <w:rtl/>
        </w:rPr>
        <w:t>לֵּאמֹר</w:t>
      </w:r>
      <w:proofErr w:type="spellEnd"/>
      <w:r>
        <w:rPr>
          <w:rFonts w:ascii="David" w:hAnsi="David"/>
          <w:rtl/>
        </w:rPr>
        <w:t xml:space="preserve">" </w:t>
      </w:r>
      <w:r w:rsidRPr="00BD0D01">
        <w:rPr>
          <w:rFonts w:ascii="David" w:hAnsi="David"/>
          <w:sz w:val="20"/>
          <w:szCs w:val="20"/>
          <w:rtl/>
        </w:rPr>
        <w:t>(ד</w:t>
      </w:r>
      <w:r>
        <w:rPr>
          <w:rFonts w:ascii="David" w:hAnsi="David" w:hint="cs"/>
          <w:sz w:val="20"/>
          <w:szCs w:val="20"/>
          <w:rtl/>
        </w:rPr>
        <w:t>'</w:t>
      </w:r>
      <w:r w:rsidRPr="00BD0D01">
        <w:rPr>
          <w:rFonts w:ascii="David" w:hAnsi="David"/>
          <w:sz w:val="20"/>
          <w:szCs w:val="20"/>
          <w:rtl/>
        </w:rPr>
        <w:t>, א)</w:t>
      </w:r>
      <w:r w:rsidR="00113861">
        <w:rPr>
          <w:rFonts w:ascii="David" w:hAnsi="David" w:hint="cs"/>
          <w:rtl/>
        </w:rPr>
        <w:t>,</w:t>
      </w:r>
      <w:r>
        <w:rPr>
          <w:rFonts w:ascii="David" w:hAnsi="David"/>
          <w:rtl/>
        </w:rPr>
        <w:t xml:space="preserve"> </w:t>
      </w:r>
      <w:r w:rsidR="00113861">
        <w:rPr>
          <w:rFonts w:ascii="David" w:hAnsi="David" w:hint="cs"/>
          <w:rtl/>
        </w:rPr>
        <w:t>ה</w:t>
      </w:r>
      <w:r w:rsidR="00113861">
        <w:rPr>
          <w:rFonts w:ascii="David" w:hAnsi="David"/>
          <w:rtl/>
        </w:rPr>
        <w:t xml:space="preserve">פותחת </w:t>
      </w:r>
      <w:r>
        <w:rPr>
          <w:rFonts w:ascii="David" w:hAnsi="David"/>
          <w:rtl/>
        </w:rPr>
        <w:t xml:space="preserve">את קורבנות החובה. חלוקה זו באה לידי ביטוי במדרש ההלכה </w:t>
      </w:r>
      <w:r w:rsidR="0030121E">
        <w:rPr>
          <w:rFonts w:ascii="David" w:hAnsi="David" w:hint="cs"/>
          <w:rtl/>
        </w:rPr>
        <w:t>לחומש</w:t>
      </w:r>
      <w:r w:rsidR="0030121E">
        <w:rPr>
          <w:rFonts w:ascii="David" w:hAnsi="David"/>
          <w:rtl/>
        </w:rPr>
        <w:t xml:space="preserve"> </w:t>
      </w:r>
      <w:r>
        <w:rPr>
          <w:rFonts w:ascii="David" w:hAnsi="David"/>
          <w:rtl/>
        </w:rPr>
        <w:t xml:space="preserve">– בספרא – שכינה את הנאום הראשון </w:t>
      </w:r>
      <w:r w:rsidR="00113861">
        <w:rPr>
          <w:rFonts w:ascii="David" w:hAnsi="David" w:hint="cs"/>
          <w:rtl/>
        </w:rPr>
        <w:t>ה</w:t>
      </w:r>
      <w:r>
        <w:rPr>
          <w:rFonts w:ascii="David" w:hAnsi="David"/>
          <w:rtl/>
        </w:rPr>
        <w:t>כולל את שלושת הקורבנות הראשונים בכינוי '</w:t>
      </w:r>
      <w:proofErr w:type="spellStart"/>
      <w:r>
        <w:rPr>
          <w:rFonts w:ascii="David" w:hAnsi="David"/>
          <w:rtl/>
        </w:rPr>
        <w:t>דיבורא</w:t>
      </w:r>
      <w:proofErr w:type="spellEnd"/>
      <w:r>
        <w:rPr>
          <w:rFonts w:ascii="David" w:hAnsi="David"/>
          <w:rtl/>
        </w:rPr>
        <w:t xml:space="preserve"> </w:t>
      </w:r>
      <w:proofErr w:type="spellStart"/>
      <w:r>
        <w:rPr>
          <w:rFonts w:ascii="David" w:hAnsi="David"/>
          <w:rtl/>
        </w:rPr>
        <w:t>דנדבה</w:t>
      </w:r>
      <w:proofErr w:type="spellEnd"/>
      <w:r>
        <w:rPr>
          <w:rFonts w:ascii="David" w:hAnsi="David"/>
          <w:rtl/>
        </w:rPr>
        <w:t xml:space="preserve">' ואילו היחידה השנייה </w:t>
      </w:r>
      <w:r w:rsidR="00113861">
        <w:rPr>
          <w:rFonts w:ascii="David" w:hAnsi="David" w:hint="cs"/>
          <w:rtl/>
        </w:rPr>
        <w:t>ה</w:t>
      </w:r>
      <w:r>
        <w:rPr>
          <w:rFonts w:ascii="David" w:hAnsi="David"/>
          <w:rtl/>
        </w:rPr>
        <w:t xml:space="preserve">כוללת את שני </w:t>
      </w:r>
      <w:r w:rsidR="00A7255C">
        <w:rPr>
          <w:rFonts w:ascii="David" w:hAnsi="David"/>
          <w:rtl/>
        </w:rPr>
        <w:t>קורבנ</w:t>
      </w:r>
      <w:r>
        <w:rPr>
          <w:rFonts w:ascii="David" w:hAnsi="David"/>
          <w:rtl/>
        </w:rPr>
        <w:t>ות החובה מכונה '</w:t>
      </w:r>
      <w:proofErr w:type="spellStart"/>
      <w:r>
        <w:rPr>
          <w:rFonts w:ascii="David" w:hAnsi="David"/>
          <w:rtl/>
        </w:rPr>
        <w:t>דיבורא</w:t>
      </w:r>
      <w:proofErr w:type="spellEnd"/>
      <w:r>
        <w:rPr>
          <w:rFonts w:ascii="David" w:hAnsi="David"/>
          <w:rtl/>
        </w:rPr>
        <w:t xml:space="preserve"> </w:t>
      </w:r>
      <w:proofErr w:type="spellStart"/>
      <w:r>
        <w:rPr>
          <w:rFonts w:ascii="David" w:hAnsi="David"/>
          <w:rtl/>
        </w:rPr>
        <w:t>דחובה</w:t>
      </w:r>
      <w:proofErr w:type="spellEnd"/>
      <w:r>
        <w:rPr>
          <w:rFonts w:ascii="David" w:hAnsi="David"/>
          <w:rtl/>
        </w:rPr>
        <w:t>', כלומר דיבור ה' למשה שכולל את קורבנות החובה.</w:t>
      </w:r>
      <w:r>
        <w:rPr>
          <w:rStyle w:val="a5"/>
          <w:rFonts w:ascii="David" w:hAnsi="David"/>
          <w:sz w:val="24"/>
          <w:rtl/>
        </w:rPr>
        <w:footnoteReference w:id="2"/>
      </w:r>
    </w:p>
    <w:p w14:paraId="3C44BD6F" w14:textId="42AF831D" w:rsidR="00113861" w:rsidRDefault="00BD0D01" w:rsidP="00113861">
      <w:pPr>
        <w:rPr>
          <w:rFonts w:ascii="David" w:hAnsi="David"/>
          <w:rtl/>
        </w:rPr>
      </w:pPr>
      <w:r>
        <w:rPr>
          <w:rFonts w:ascii="David" w:hAnsi="David"/>
          <w:rtl/>
        </w:rPr>
        <w:tab/>
        <w:t xml:space="preserve">כפי שכבר הזכרתי, רשימה זו כולה נשענת על קריאת ה' למשה, כלומר, ה' פונה אל האדם, מזמינו לביתו ופותח בפניו את אפשרויות </w:t>
      </w:r>
      <w:r w:rsidR="00113861">
        <w:rPr>
          <w:rFonts w:ascii="David" w:hAnsi="David" w:hint="cs"/>
          <w:rtl/>
        </w:rPr>
        <w:t>ההקרבה</w:t>
      </w:r>
      <w:r>
        <w:rPr>
          <w:rFonts w:ascii="David" w:hAnsi="David"/>
          <w:rtl/>
        </w:rPr>
        <w:t xml:space="preserve">. </w:t>
      </w:r>
    </w:p>
    <w:p w14:paraId="68931ADC" w14:textId="67B97124" w:rsidR="00113861" w:rsidRDefault="00113861" w:rsidP="00113861">
      <w:pPr>
        <w:pStyle w:val="2"/>
        <w:rPr>
          <w:rtl/>
        </w:rPr>
      </w:pPr>
      <w:r>
        <w:rPr>
          <w:rFonts w:hint="cs"/>
          <w:rtl/>
        </w:rPr>
        <w:lastRenderedPageBreak/>
        <w:t>הרשימה בפרשת צו</w:t>
      </w:r>
    </w:p>
    <w:p w14:paraId="51EACEA1" w14:textId="34241DAC" w:rsidR="00BD0D01" w:rsidRDefault="00BD0D01" w:rsidP="00113861">
      <w:pPr>
        <w:rPr>
          <w:rFonts w:ascii="David" w:hAnsi="David"/>
          <w:rtl/>
        </w:rPr>
      </w:pPr>
      <w:r>
        <w:rPr>
          <w:rFonts w:ascii="David" w:hAnsi="David"/>
          <w:rtl/>
        </w:rPr>
        <w:t>נשוב בהמשך לנקודה זו שמעניקה הקשר בעל משמעות לרשימה זו, אך לפני כן נפנה לרשימת הקורבנות השנייה וננסה לעמוד על הסדר שבה:</w:t>
      </w:r>
    </w:p>
    <w:p w14:paraId="3805E263" w14:textId="6D18F1C9" w:rsidR="00BD0D01" w:rsidRDefault="00BD0D01" w:rsidP="00BD0D01">
      <w:pPr>
        <w:ind w:left="720"/>
        <w:rPr>
          <w:rFonts w:ascii="David" w:hAnsi="David"/>
          <w:rtl/>
        </w:rPr>
      </w:pPr>
      <w:r>
        <w:rPr>
          <w:rFonts w:ascii="David" w:hAnsi="David" w:hint="cs"/>
          <w:rtl/>
        </w:rPr>
        <w:t xml:space="preserve">א. </w:t>
      </w:r>
      <w:r>
        <w:rPr>
          <w:rFonts w:ascii="David" w:hAnsi="David"/>
          <w:rtl/>
        </w:rPr>
        <w:t>תורת העולה (ו, א-ו)</w:t>
      </w:r>
    </w:p>
    <w:p w14:paraId="54CAB905" w14:textId="24DC6B0D" w:rsidR="00BD0D01" w:rsidRDefault="00BD0D01" w:rsidP="00BD0D01">
      <w:pPr>
        <w:ind w:left="720"/>
        <w:rPr>
          <w:rFonts w:ascii="David" w:hAnsi="David"/>
        </w:rPr>
      </w:pPr>
      <w:r>
        <w:rPr>
          <w:rFonts w:ascii="David" w:hAnsi="David" w:hint="cs"/>
          <w:rtl/>
        </w:rPr>
        <w:t xml:space="preserve">ב. </w:t>
      </w:r>
      <w:r>
        <w:rPr>
          <w:rFonts w:ascii="David" w:hAnsi="David"/>
          <w:rtl/>
        </w:rPr>
        <w:t xml:space="preserve">תורת המנחה (ו', ז-יא) + מנחת </w:t>
      </w:r>
      <w:proofErr w:type="spellStart"/>
      <w:r>
        <w:rPr>
          <w:rFonts w:ascii="David" w:hAnsi="David"/>
          <w:rtl/>
        </w:rPr>
        <w:t>חביתין</w:t>
      </w:r>
      <w:proofErr w:type="spellEnd"/>
      <w:r>
        <w:rPr>
          <w:rFonts w:ascii="David" w:hAnsi="David"/>
          <w:rtl/>
        </w:rPr>
        <w:t xml:space="preserve"> (ו', </w:t>
      </w:r>
      <w:proofErr w:type="spellStart"/>
      <w:r>
        <w:rPr>
          <w:rFonts w:ascii="David" w:hAnsi="David"/>
          <w:rtl/>
        </w:rPr>
        <w:t>יב-טז</w:t>
      </w:r>
      <w:proofErr w:type="spellEnd"/>
      <w:r>
        <w:rPr>
          <w:rFonts w:ascii="David" w:hAnsi="David"/>
          <w:rtl/>
        </w:rPr>
        <w:t>)</w:t>
      </w:r>
    </w:p>
    <w:p w14:paraId="0028D27B" w14:textId="02C38FE1" w:rsidR="00BD0D01" w:rsidRDefault="00BD0D01" w:rsidP="00BD0D01">
      <w:pPr>
        <w:ind w:left="720"/>
        <w:rPr>
          <w:rFonts w:ascii="David" w:hAnsi="David"/>
        </w:rPr>
      </w:pPr>
      <w:r>
        <w:rPr>
          <w:rFonts w:ascii="David" w:hAnsi="David" w:hint="cs"/>
          <w:rtl/>
        </w:rPr>
        <w:t xml:space="preserve">ג. </w:t>
      </w:r>
      <w:r>
        <w:rPr>
          <w:rFonts w:ascii="David" w:hAnsi="David"/>
          <w:rtl/>
        </w:rPr>
        <w:t xml:space="preserve">תורת החטאת (ו', </w:t>
      </w:r>
      <w:proofErr w:type="spellStart"/>
      <w:r>
        <w:rPr>
          <w:rFonts w:ascii="David" w:hAnsi="David"/>
          <w:rtl/>
        </w:rPr>
        <w:t>יז-כג</w:t>
      </w:r>
      <w:proofErr w:type="spellEnd"/>
      <w:r>
        <w:rPr>
          <w:rFonts w:ascii="David" w:hAnsi="David"/>
          <w:rtl/>
        </w:rPr>
        <w:t>)</w:t>
      </w:r>
    </w:p>
    <w:p w14:paraId="391F6E1C" w14:textId="1E3C1A24" w:rsidR="00BD0D01" w:rsidRDefault="00BD0D01" w:rsidP="00BD0D01">
      <w:pPr>
        <w:ind w:left="720"/>
        <w:rPr>
          <w:rFonts w:ascii="David" w:hAnsi="David"/>
        </w:rPr>
      </w:pPr>
      <w:r>
        <w:rPr>
          <w:rFonts w:ascii="David" w:hAnsi="David" w:hint="cs"/>
          <w:rtl/>
        </w:rPr>
        <w:t xml:space="preserve">ד. </w:t>
      </w:r>
      <w:r>
        <w:rPr>
          <w:rFonts w:ascii="David" w:hAnsi="David"/>
          <w:rtl/>
        </w:rPr>
        <w:t>תורת האשם (ז', א-ז)</w:t>
      </w:r>
    </w:p>
    <w:p w14:paraId="05CFEF36" w14:textId="0D1C3AD1" w:rsidR="00BD0D01" w:rsidRDefault="00BD0D01" w:rsidP="00BD0D01">
      <w:pPr>
        <w:ind w:left="720"/>
        <w:rPr>
          <w:rFonts w:ascii="David" w:hAnsi="David"/>
        </w:rPr>
      </w:pPr>
      <w:r>
        <w:rPr>
          <w:rFonts w:ascii="David" w:hAnsi="David" w:hint="cs"/>
          <w:rtl/>
        </w:rPr>
        <w:t xml:space="preserve">ה. </w:t>
      </w:r>
      <w:r>
        <w:rPr>
          <w:rFonts w:ascii="David" w:hAnsi="David"/>
          <w:rtl/>
        </w:rPr>
        <w:t>תורת זבח השלמים (ז', יא-לד</w:t>
      </w:r>
      <w:r>
        <w:rPr>
          <w:rFonts w:ascii="David" w:hAnsi="David" w:hint="cs"/>
          <w:rtl/>
        </w:rPr>
        <w:t>/</w:t>
      </w:r>
      <w:r>
        <w:rPr>
          <w:rFonts w:ascii="David" w:hAnsi="David"/>
          <w:rtl/>
        </w:rPr>
        <w:t>לו)</w:t>
      </w:r>
    </w:p>
    <w:p w14:paraId="15188D9D" w14:textId="4403CB4D" w:rsidR="00BD0D01" w:rsidRDefault="00BD0D01" w:rsidP="00113861">
      <w:pPr>
        <w:rPr>
          <w:rFonts w:ascii="David" w:hAnsi="David"/>
        </w:rPr>
      </w:pPr>
      <w:r>
        <w:rPr>
          <w:rFonts w:ascii="David" w:hAnsi="David"/>
          <w:rtl/>
        </w:rPr>
        <w:t>לצד ההפתעה שבעצם החזרה על כל רשימת הקורבנות ההבדל בסדרם בולט מיד: זבח השלמים עבר ממקומו</w:t>
      </w:r>
      <w:r w:rsidR="00113861">
        <w:rPr>
          <w:rFonts w:ascii="David" w:hAnsi="David" w:hint="cs"/>
          <w:rtl/>
        </w:rPr>
        <w:t xml:space="preserve"> באמצע אל</w:t>
      </w:r>
      <w:r>
        <w:rPr>
          <w:rFonts w:ascii="David" w:hAnsi="David"/>
          <w:rtl/>
        </w:rPr>
        <w:t xml:space="preserve"> סוף הרשימה. בכך נוצר </w:t>
      </w:r>
      <w:r w:rsidR="00113861">
        <w:rPr>
          <w:rFonts w:ascii="David" w:hAnsi="David" w:hint="cs"/>
          <w:rtl/>
        </w:rPr>
        <w:t xml:space="preserve">סידור מוזר </w:t>
      </w:r>
      <w:r>
        <w:rPr>
          <w:rFonts w:ascii="David" w:hAnsi="David"/>
          <w:rtl/>
        </w:rPr>
        <w:t>של ק</w:t>
      </w:r>
      <w:r w:rsidR="00113861">
        <w:rPr>
          <w:rFonts w:ascii="David" w:hAnsi="David" w:hint="cs"/>
          <w:rtl/>
        </w:rPr>
        <w:t>ו</w:t>
      </w:r>
      <w:r>
        <w:rPr>
          <w:rFonts w:ascii="David" w:hAnsi="David"/>
          <w:rtl/>
        </w:rPr>
        <w:t xml:space="preserve">רבנות נדבה / חובה / נדבה, וברור שלא זהו הקריטריון שמונח בבסיס סידור הקורבנות ברשימה זו. מהו אם כן הקריטריון שעל פיו מסודרים הקורבנות ברשימה השנייה? שאלה זו מושפעת כמובן מהשאלה הבסיסית יותר – מדוע התורה חוזרת על רשימת הקורבנות. </w:t>
      </w:r>
    </w:p>
    <w:p w14:paraId="69FD6CD7" w14:textId="3C98BFF5" w:rsidR="00BD0D01" w:rsidRDefault="00BD0D01" w:rsidP="007A4217">
      <w:pPr>
        <w:rPr>
          <w:rFonts w:ascii="David" w:hAnsi="David"/>
          <w:rtl/>
        </w:rPr>
      </w:pPr>
      <w:r>
        <w:rPr>
          <w:rFonts w:ascii="David" w:hAnsi="David"/>
          <w:rtl/>
        </w:rPr>
        <w:t>יש להדגיש שברשימה השנייה יש פירוט דינים שלא הופיעו ברשימה הראשונה ועל כן מוקד השאלה איננו נוגע בתוכן החוזר ונשנה אלא באופן סידור הפרשיות: מדוע לא לשלב את כל דיני החטאת למשל במרוכז, בפעם הראשונה שהקורבן עולה לדיון?</w:t>
      </w:r>
    </w:p>
    <w:p w14:paraId="1821507A" w14:textId="77777777" w:rsidR="00CA5B1B" w:rsidRDefault="00BD0D01" w:rsidP="00085CA6">
      <w:pPr>
        <w:rPr>
          <w:rFonts w:ascii="David" w:hAnsi="David"/>
          <w:rtl/>
        </w:rPr>
      </w:pPr>
      <w:r>
        <w:rPr>
          <w:rFonts w:ascii="David" w:hAnsi="David"/>
          <w:rtl/>
        </w:rPr>
        <w:t>הדבר הבולט ביותר כבר בקריאה ראשונה של דיני הקורבנות המפוצלים בין שתי הרשימות הוא שהרשימות עוסקות בשלבים שונים של ההקרבה. הרשימה הראשונה שבאה בפרשת ויקרא מתארת את מסעו של הקורבן מהבאתו אל המשכן ועד להקרבתו על גבי המזבח; הרשימה השנייה שבאה בפרשת צו מתארת את קורות הקורבן מאז הגעתו אל המזבח ועד לאכילתו על ידי הכוהנים (או הבעלים). הדבר בולט במיוחד ביוצא מן הכלל – בקורבן העולה</w:t>
      </w:r>
      <w:r w:rsidR="007A4217">
        <w:rPr>
          <w:rFonts w:ascii="David" w:hAnsi="David" w:hint="cs"/>
          <w:rtl/>
        </w:rPr>
        <w:t>;</w:t>
      </w:r>
      <w:r>
        <w:rPr>
          <w:rFonts w:ascii="David" w:hAnsi="David"/>
          <w:rtl/>
        </w:rPr>
        <w:t xml:space="preserve"> מאחר שהכוהנים </w:t>
      </w:r>
      <w:r w:rsidR="007A4217">
        <w:rPr>
          <w:rFonts w:ascii="David" w:hAnsi="David" w:hint="cs"/>
          <w:rtl/>
        </w:rPr>
        <w:t xml:space="preserve">אינם </w:t>
      </w:r>
      <w:r>
        <w:rPr>
          <w:rFonts w:ascii="David" w:hAnsi="David"/>
          <w:rtl/>
        </w:rPr>
        <w:t>אוכלים אותו כלל, תיאורו ברשימה השנייה מתמקד ב</w:t>
      </w:r>
      <w:r w:rsidR="007A4217">
        <w:rPr>
          <w:rFonts w:ascii="David" w:hAnsi="David" w:hint="cs"/>
          <w:rtl/>
        </w:rPr>
        <w:t>"</w:t>
      </w:r>
      <w:r>
        <w:rPr>
          <w:rFonts w:ascii="David" w:hAnsi="David"/>
          <w:rtl/>
        </w:rPr>
        <w:t>אכילת</w:t>
      </w:r>
      <w:r w:rsidR="007A4217">
        <w:rPr>
          <w:rFonts w:ascii="David" w:hAnsi="David" w:hint="cs"/>
          <w:rtl/>
        </w:rPr>
        <w:t>"</w:t>
      </w:r>
      <w:r>
        <w:rPr>
          <w:rFonts w:ascii="David" w:hAnsi="David"/>
          <w:rtl/>
        </w:rPr>
        <w:t xml:space="preserve"> המזבח עד הב</w:t>
      </w:r>
      <w:r w:rsidR="007A4217">
        <w:rPr>
          <w:rFonts w:ascii="David" w:hAnsi="David" w:hint="cs"/>
          <w:rtl/>
        </w:rPr>
        <w:t>ו</w:t>
      </w:r>
      <w:r>
        <w:rPr>
          <w:rFonts w:ascii="David" w:hAnsi="David"/>
          <w:rtl/>
        </w:rPr>
        <w:t xml:space="preserve">קר ובפינוי השאריות. כלומר, במקום שבו אין המשך למסעו של הקורבן לאחר המזבח, גם הרשימה השנייה מקצרת בדברים ועוסקת רק בהלכות מזבח. </w:t>
      </w:r>
    </w:p>
    <w:p w14:paraId="3A4565C6" w14:textId="5119177C" w:rsidR="00BD0D01" w:rsidRDefault="00BD0D01" w:rsidP="00085CA6">
      <w:pPr>
        <w:rPr>
          <w:rFonts w:ascii="David" w:hAnsi="David"/>
          <w:rtl/>
        </w:rPr>
      </w:pPr>
      <w:r>
        <w:rPr>
          <w:rFonts w:ascii="David" w:hAnsi="David"/>
          <w:rtl/>
        </w:rPr>
        <w:t xml:space="preserve">יש בכוחו של הסבר זה גם לבאר את ההתמקדות הגדולה בדיני זבח השלמים שזוכה ברשימה השנייה לפירוט רב. שלא כמו הקורבנות האחרים, זבח שלמים נאכל גם על ידי הבעלים, ועל כן יש לו המשך רחב </w:t>
      </w:r>
      <w:r w:rsidR="007A4217">
        <w:rPr>
          <w:rFonts w:ascii="David" w:hAnsi="David" w:hint="cs"/>
          <w:rtl/>
        </w:rPr>
        <w:t xml:space="preserve">יריעה גם </w:t>
      </w:r>
      <w:r>
        <w:rPr>
          <w:rFonts w:ascii="David" w:hAnsi="David"/>
          <w:rtl/>
        </w:rPr>
        <w:t>לאחר הקרבת החלק שהולך אל המזבח</w:t>
      </w:r>
      <w:r w:rsidR="007A4217">
        <w:rPr>
          <w:rFonts w:ascii="David" w:hAnsi="David" w:hint="cs"/>
          <w:rtl/>
        </w:rPr>
        <w:t>:</w:t>
      </w:r>
      <w:r>
        <w:rPr>
          <w:rFonts w:ascii="David" w:hAnsi="David"/>
          <w:rtl/>
        </w:rPr>
        <w:t xml:space="preserve"> דיני אכילתו על ידי הבעלים, החשש מטומאה וכד</w:t>
      </w:r>
      <w:r w:rsidR="007A4217">
        <w:rPr>
          <w:rFonts w:ascii="David" w:hAnsi="David" w:hint="cs"/>
          <w:rtl/>
        </w:rPr>
        <w:t xml:space="preserve">ומה </w:t>
      </w:r>
      <w:r w:rsidR="007A4217">
        <w:rPr>
          <w:rFonts w:ascii="David" w:hAnsi="David"/>
          <w:rtl/>
        </w:rPr>
        <w:t>–</w:t>
      </w:r>
      <w:r w:rsidR="007A4217">
        <w:rPr>
          <w:rFonts w:ascii="David" w:hAnsi="David" w:hint="cs"/>
          <w:rtl/>
        </w:rPr>
        <w:t xml:space="preserve"> אלה</w:t>
      </w:r>
      <w:r>
        <w:rPr>
          <w:rFonts w:ascii="David" w:hAnsi="David"/>
          <w:rtl/>
        </w:rPr>
        <w:t xml:space="preserve"> מלווים </w:t>
      </w:r>
      <w:r>
        <w:rPr>
          <w:rFonts w:ascii="David" w:hAnsi="David"/>
          <w:rtl/>
        </w:rPr>
        <w:lastRenderedPageBreak/>
        <w:t>את הרשימה השנייה</w:t>
      </w:r>
      <w:r w:rsidR="007A4217">
        <w:rPr>
          <w:rFonts w:ascii="David" w:hAnsi="David" w:hint="cs"/>
          <w:rtl/>
        </w:rPr>
        <w:t>,</w:t>
      </w:r>
      <w:r>
        <w:rPr>
          <w:rFonts w:ascii="David" w:hAnsi="David"/>
          <w:rtl/>
        </w:rPr>
        <w:t xml:space="preserve"> ואינם נרמזים ברשימה הראשונה שמסיימת את תיאור הקרבתו בהגעתו אל המזבח.</w:t>
      </w:r>
    </w:p>
    <w:p w14:paraId="43B1A116" w14:textId="77777777" w:rsidR="007A4217" w:rsidRDefault="007A4217" w:rsidP="00BD0D01">
      <w:pPr>
        <w:rPr>
          <w:rFonts w:ascii="David" w:hAnsi="David"/>
          <w:rtl/>
        </w:rPr>
      </w:pPr>
    </w:p>
    <w:p w14:paraId="107DB1D2" w14:textId="2D4CAAD8" w:rsidR="007A4217" w:rsidRDefault="007A4217" w:rsidP="007A4217">
      <w:pPr>
        <w:pStyle w:val="2"/>
        <w:rPr>
          <w:rtl/>
        </w:rPr>
      </w:pPr>
      <w:r>
        <w:rPr>
          <w:rFonts w:hint="cs"/>
          <w:rtl/>
        </w:rPr>
        <w:t>רמב"ן: חלוקה לפי נמנעי הרשימות</w:t>
      </w:r>
    </w:p>
    <w:p w14:paraId="135E2577" w14:textId="77777777" w:rsidR="00BD0D01" w:rsidRDefault="00BD0D01" w:rsidP="00BD0D01">
      <w:pPr>
        <w:rPr>
          <w:rFonts w:ascii="David" w:hAnsi="David"/>
          <w:rtl/>
        </w:rPr>
      </w:pPr>
      <w:r>
        <w:rPr>
          <w:rFonts w:ascii="David" w:hAnsi="David"/>
          <w:rtl/>
        </w:rPr>
        <w:t>אולם לא ניתן להסתפק בצעד זה. כפי שהראה רמב"ן לשתי הרשימות יש נמענים שונים, ודבר זה מלמד הרבה על אופי שתי הרשימות ועל תכליתן:</w:t>
      </w:r>
    </w:p>
    <w:p w14:paraId="1DCFF31D" w14:textId="45930ECF" w:rsidR="00BD0D01" w:rsidRDefault="00BD0D01" w:rsidP="00BD0D01">
      <w:pPr>
        <w:ind w:left="720"/>
        <w:rPr>
          <w:rFonts w:ascii="David" w:hAnsi="David"/>
          <w:rtl/>
        </w:rPr>
      </w:pPr>
      <w:r>
        <w:rPr>
          <w:rFonts w:ascii="David" w:hAnsi="David" w:hint="cs"/>
          <w:rtl/>
        </w:rPr>
        <w:t>"</w:t>
      </w:r>
      <w:r>
        <w:rPr>
          <w:rFonts w:ascii="David" w:hAnsi="David"/>
          <w:rtl/>
        </w:rPr>
        <w:t xml:space="preserve">אמר הכתוב בפרשת ויקרא 'דבר אל בני ישראל', כי שם </w:t>
      </w:r>
      <w:proofErr w:type="spellStart"/>
      <w:r>
        <w:rPr>
          <w:rFonts w:ascii="David" w:hAnsi="David"/>
          <w:rtl/>
        </w:rPr>
        <w:t>יצוה</w:t>
      </w:r>
      <w:proofErr w:type="spellEnd"/>
      <w:r>
        <w:rPr>
          <w:rFonts w:ascii="David" w:hAnsi="David"/>
          <w:rtl/>
        </w:rPr>
        <w:t xml:space="preserve"> בהבאת הקרבנות, וישראל מביאים אותם. וכאן [בתחילת פרשת צו] אמר 'צו את אהרן', כי ידבר במעשה הקרבנות, </w:t>
      </w:r>
      <w:proofErr w:type="spellStart"/>
      <w:r>
        <w:rPr>
          <w:rFonts w:ascii="David" w:hAnsi="David"/>
          <w:rtl/>
        </w:rPr>
        <w:t>והכהנים</w:t>
      </w:r>
      <w:proofErr w:type="spellEnd"/>
      <w:r>
        <w:rPr>
          <w:rFonts w:ascii="David" w:hAnsi="David"/>
          <w:rtl/>
        </w:rPr>
        <w:t xml:space="preserve"> יעשו אותם</w:t>
      </w:r>
      <w:r>
        <w:rPr>
          <w:rFonts w:ascii="David" w:hAnsi="David" w:hint="cs"/>
          <w:rtl/>
        </w:rPr>
        <w:t>"</w:t>
      </w:r>
      <w:r>
        <w:rPr>
          <w:rFonts w:ascii="David" w:hAnsi="David"/>
          <w:rtl/>
        </w:rPr>
        <w:t xml:space="preserve"> </w:t>
      </w:r>
      <w:r>
        <w:rPr>
          <w:rFonts w:ascii="David" w:hAnsi="David"/>
          <w:rtl/>
        </w:rPr>
        <w:tab/>
      </w:r>
      <w:r w:rsidRPr="00BD0D01">
        <w:rPr>
          <w:rFonts w:ascii="David" w:hAnsi="David"/>
          <w:sz w:val="20"/>
          <w:szCs w:val="20"/>
          <w:rtl/>
        </w:rPr>
        <w:t>(רמב"ן ויקרא ו', ב)</w:t>
      </w:r>
      <w:r>
        <w:rPr>
          <w:rFonts w:ascii="David" w:hAnsi="David"/>
          <w:rtl/>
        </w:rPr>
        <w:t>.</w:t>
      </w:r>
    </w:p>
    <w:p w14:paraId="4DAE71CE" w14:textId="4131749A" w:rsidR="00BD0D01" w:rsidRDefault="00BD0D01" w:rsidP="007A4217">
      <w:pPr>
        <w:rPr>
          <w:rFonts w:ascii="David" w:hAnsi="David"/>
          <w:rtl/>
        </w:rPr>
      </w:pPr>
      <w:r>
        <w:rPr>
          <w:rFonts w:ascii="David" w:hAnsi="David"/>
          <w:rtl/>
        </w:rPr>
        <w:t xml:space="preserve">פרשת ויקרא פונה לעם ישראל: 'אָדָם כִּי יַקְרִיב מִכֶּם קָרְבָּן לַה'', היא פונה לאיש הישראלי שמבקש להביא </w:t>
      </w:r>
      <w:r w:rsidR="00A7255C">
        <w:rPr>
          <w:rFonts w:ascii="David" w:hAnsi="David"/>
          <w:rtl/>
        </w:rPr>
        <w:t>קורבן</w:t>
      </w:r>
      <w:r>
        <w:rPr>
          <w:rFonts w:ascii="David" w:hAnsi="David"/>
          <w:rtl/>
        </w:rPr>
        <w:t xml:space="preserve">, </w:t>
      </w:r>
      <w:r w:rsidR="007A4217">
        <w:rPr>
          <w:rFonts w:ascii="David" w:hAnsi="David" w:hint="cs"/>
          <w:rtl/>
        </w:rPr>
        <w:t>ו</w:t>
      </w:r>
      <w:r>
        <w:rPr>
          <w:rFonts w:ascii="David" w:hAnsi="David"/>
          <w:rtl/>
        </w:rPr>
        <w:t xml:space="preserve">מצווה אותו כיצד לנהוג אם הוא בחר להביא עולה, אם בחר להביא מנחה או אם התחייב להביא חטאת. לעומת זאת פרשת צו פונה לאהרון ובניו הכוהנים ומצווה אותם כיצד עליהם לנהוג בקורבנות שהובאו אל המשכן. </w:t>
      </w:r>
    </w:p>
    <w:p w14:paraId="3850D69C" w14:textId="056C8944" w:rsidR="00BD0D01" w:rsidRDefault="00BD0D01" w:rsidP="007A4217">
      <w:pPr>
        <w:rPr>
          <w:rFonts w:ascii="David" w:hAnsi="David"/>
          <w:rtl/>
        </w:rPr>
      </w:pPr>
      <w:r>
        <w:rPr>
          <w:rFonts w:ascii="David" w:hAnsi="David"/>
          <w:rtl/>
        </w:rPr>
        <w:t>יושם לב שגם רמב"ן מעיר</w:t>
      </w:r>
      <w:r w:rsidR="007A4217">
        <w:rPr>
          <w:rFonts w:ascii="David" w:hAnsi="David" w:hint="cs"/>
          <w:rtl/>
        </w:rPr>
        <w:t xml:space="preserve"> כי </w:t>
      </w:r>
      <w:r>
        <w:rPr>
          <w:rFonts w:ascii="David" w:hAnsi="David"/>
          <w:rtl/>
        </w:rPr>
        <w:t>פרשת ויקרא מתארת את 'הבאת ה</w:t>
      </w:r>
      <w:r w:rsidR="00A7255C">
        <w:rPr>
          <w:rFonts w:ascii="David" w:hAnsi="David"/>
          <w:rtl/>
        </w:rPr>
        <w:t>קורבנ</w:t>
      </w:r>
      <w:r>
        <w:rPr>
          <w:rFonts w:ascii="David" w:hAnsi="David"/>
          <w:rtl/>
        </w:rPr>
        <w:t>ות', ואילו פרשת צו מתארת את 'מעשה ה</w:t>
      </w:r>
      <w:r w:rsidR="00A7255C">
        <w:rPr>
          <w:rFonts w:ascii="David" w:hAnsi="David"/>
          <w:rtl/>
        </w:rPr>
        <w:t>קורבנ</w:t>
      </w:r>
      <w:r>
        <w:rPr>
          <w:rFonts w:ascii="David" w:hAnsi="David"/>
          <w:rtl/>
        </w:rPr>
        <w:t>ות', בדומה לחלוקה שהצענו לעיל. דבר זה יכול לבאר גם את הסדר הכרונולוגי של שתי הרשימות: תחילה אדם מישראל מביא קורבן למשכן, ושם הכוהנים מקבלים מידיו את קורבנו ועליהם לנהוג בו על פי הדינים הכתובים בפרשת צו. כפי שנראה בהמשך</w:t>
      </w:r>
      <w:r w:rsidR="007A4217">
        <w:rPr>
          <w:rFonts w:ascii="David" w:hAnsi="David" w:hint="cs"/>
          <w:rtl/>
        </w:rPr>
        <w:t>,</w:t>
      </w:r>
      <w:r>
        <w:rPr>
          <w:rFonts w:ascii="David" w:hAnsi="David"/>
          <w:rtl/>
        </w:rPr>
        <w:t xml:space="preserve"> סוגיה זו מורכבת יותר (די להזכיר שדיני ההקרבה מפורטים דווקא בפרשת ויקרא ולא בפרשת צו), אך כבסיס לדיון דומה שחלוקה זו מבוססת היטב.</w:t>
      </w:r>
    </w:p>
    <w:p w14:paraId="1045F24C" w14:textId="1E57CFAA" w:rsidR="00BD0D01" w:rsidRDefault="00BD0D01" w:rsidP="00BD0D01">
      <w:pPr>
        <w:rPr>
          <w:rFonts w:ascii="David" w:hAnsi="David"/>
          <w:rtl/>
        </w:rPr>
      </w:pPr>
      <w:r>
        <w:rPr>
          <w:rFonts w:ascii="David" w:hAnsi="David"/>
          <w:rtl/>
        </w:rPr>
        <w:t>חלוקה זו הובילה את רמב</w:t>
      </w:r>
      <w:r>
        <w:rPr>
          <w:rFonts w:ascii="David" w:hAnsi="David" w:hint="cs"/>
          <w:rtl/>
        </w:rPr>
        <w:t xml:space="preserve">"ן </w:t>
      </w:r>
      <w:r>
        <w:rPr>
          <w:rFonts w:ascii="David" w:hAnsi="David"/>
          <w:rtl/>
        </w:rPr>
        <w:t xml:space="preserve">להציע גם את פשר הסדר השונה של הקורבנות בשתי הרשימות: </w:t>
      </w:r>
    </w:p>
    <w:p w14:paraId="56EF6919" w14:textId="77777777" w:rsidR="00BD0D01" w:rsidRDefault="00BD0D01" w:rsidP="00BD0D01">
      <w:pPr>
        <w:ind w:left="720"/>
        <w:rPr>
          <w:rFonts w:ascii="David" w:hAnsi="David"/>
          <w:rtl/>
        </w:rPr>
      </w:pPr>
      <w:r>
        <w:rPr>
          <w:rFonts w:ascii="David" w:hAnsi="David" w:hint="cs"/>
          <w:rtl/>
        </w:rPr>
        <w:t>"</w:t>
      </w:r>
      <w:r>
        <w:rPr>
          <w:rFonts w:ascii="David" w:hAnsi="David"/>
          <w:rtl/>
        </w:rPr>
        <w:t xml:space="preserve">היה הציווי בסדר ויקרא: עולה ומנחה וזבח השלמים והחטאת והאשם, כי בתחילה דיבר בקרבנות הנדבה, ואחרי כן בקרבנות החובה על חטא. אבל </w:t>
      </w:r>
      <w:proofErr w:type="spellStart"/>
      <w:r>
        <w:rPr>
          <w:rFonts w:ascii="David" w:hAnsi="David"/>
          <w:rtl/>
        </w:rPr>
        <w:t>בכאן</w:t>
      </w:r>
      <w:proofErr w:type="spellEnd"/>
      <w:r>
        <w:rPr>
          <w:rFonts w:ascii="David" w:hAnsi="David"/>
          <w:rtl/>
        </w:rPr>
        <w:t xml:space="preserve"> [=בפרשת צו] היה הביאור לעולה ולמנחה ואח"כ בחטאת ואשם, כי רצה לבאר דיני קדשי קדשים, כי המשפט אחד להם, כמו שאמר במנחה 'קדש קדשים היא כחטאת וכאשם', ואחרי כן יבאר דין קדשים קלים</w:t>
      </w:r>
      <w:r>
        <w:rPr>
          <w:rFonts w:ascii="David" w:hAnsi="David" w:hint="cs"/>
          <w:rtl/>
        </w:rPr>
        <w:t>"</w:t>
      </w:r>
    </w:p>
    <w:p w14:paraId="666CF5FE" w14:textId="120A8B9C" w:rsidR="00BD0D01" w:rsidRDefault="00BD0D01" w:rsidP="00BD0D01">
      <w:pPr>
        <w:ind w:left="720"/>
        <w:rPr>
          <w:rFonts w:ascii="David" w:hAnsi="David"/>
          <w:rtl/>
        </w:rPr>
      </w:pPr>
      <w:r>
        <w:rPr>
          <w:rFonts w:ascii="David" w:hAnsi="David"/>
          <w:rtl/>
        </w:rPr>
        <w:tab/>
      </w:r>
      <w:r w:rsidRPr="00BD0D01">
        <w:rPr>
          <w:rFonts w:ascii="David" w:hAnsi="David"/>
          <w:sz w:val="20"/>
          <w:szCs w:val="20"/>
          <w:rtl/>
        </w:rPr>
        <w:t xml:space="preserve">(רמב"ן ויקרא ו', </w:t>
      </w:r>
      <w:proofErr w:type="spellStart"/>
      <w:r w:rsidRPr="00BD0D01">
        <w:rPr>
          <w:rFonts w:ascii="David" w:hAnsi="David"/>
          <w:sz w:val="20"/>
          <w:szCs w:val="20"/>
          <w:rtl/>
        </w:rPr>
        <w:t>יח</w:t>
      </w:r>
      <w:proofErr w:type="spellEnd"/>
      <w:r w:rsidRPr="00BD0D01">
        <w:rPr>
          <w:rFonts w:ascii="David" w:hAnsi="David"/>
          <w:sz w:val="20"/>
          <w:szCs w:val="20"/>
          <w:rtl/>
        </w:rPr>
        <w:t>)</w:t>
      </w:r>
      <w:r>
        <w:rPr>
          <w:rFonts w:ascii="David" w:hAnsi="David"/>
          <w:rtl/>
        </w:rPr>
        <w:t>.</w:t>
      </w:r>
    </w:p>
    <w:p w14:paraId="7D260DCD" w14:textId="744847FB" w:rsidR="00BD0D01" w:rsidRDefault="00BD0D01" w:rsidP="00BD0D01">
      <w:pPr>
        <w:rPr>
          <w:rFonts w:ascii="David" w:hAnsi="David"/>
        </w:rPr>
      </w:pPr>
      <w:r>
        <w:rPr>
          <w:rFonts w:ascii="David" w:hAnsi="David"/>
          <w:rtl/>
        </w:rPr>
        <w:t xml:space="preserve">בדברים אלו חושף רמב"ן את הקריטריון שעל פיו מסודרים הקורבנות ברשימה השנייה שבפרשת צו. שלא כמו בפרשת ויקרא שבה סודרו הקורבנות לפי המוטיבציה להבאתם, ברשימה השנייה הקורבנות מובאים על פי רמת קדושתם: תחילה באים הקורבנות </w:t>
      </w:r>
      <w:r>
        <w:rPr>
          <w:rFonts w:ascii="David" w:hAnsi="David"/>
          <w:rtl/>
        </w:rPr>
        <w:lastRenderedPageBreak/>
        <w:t xml:space="preserve">שהם 'קודש קודשים' ולבסוף בא קורבן זבח השלמים שהוא 'קודשים קלים' (כמו למשל גם הבכור, המעשר והחרם שאינם מוזכרים ברשימת </w:t>
      </w:r>
      <w:r w:rsidR="00A7255C">
        <w:rPr>
          <w:rFonts w:ascii="David" w:hAnsi="David"/>
          <w:rtl/>
        </w:rPr>
        <w:t>קורבנ</w:t>
      </w:r>
      <w:r>
        <w:rPr>
          <w:rFonts w:ascii="David" w:hAnsi="David"/>
          <w:rtl/>
        </w:rPr>
        <w:t>ות זו כלל).</w:t>
      </w:r>
      <w:r>
        <w:rPr>
          <w:rStyle w:val="a5"/>
          <w:rFonts w:ascii="David" w:hAnsi="David"/>
          <w:sz w:val="24"/>
          <w:rtl/>
        </w:rPr>
        <w:footnoteReference w:id="3"/>
      </w:r>
    </w:p>
    <w:p w14:paraId="37EC6D54" w14:textId="653BFE5D" w:rsidR="00BD0D01" w:rsidRDefault="00BD0D01" w:rsidP="007A4217">
      <w:pPr>
        <w:rPr>
          <w:rFonts w:ascii="David" w:hAnsi="David"/>
          <w:rtl/>
        </w:rPr>
      </w:pPr>
      <w:r>
        <w:rPr>
          <w:rFonts w:ascii="David" w:hAnsi="David"/>
          <w:rtl/>
        </w:rPr>
        <w:tab/>
        <w:t xml:space="preserve">סדר זה מותאם לנמענים השונים של הרשימות: הרשימה שפונה אל האדם הישראלי שמביא את הקורבנות מסודרת </w:t>
      </w:r>
      <w:r w:rsidR="007A4217">
        <w:rPr>
          <w:rFonts w:ascii="David" w:hAnsi="David" w:hint="cs"/>
          <w:rtl/>
        </w:rPr>
        <w:t>ל</w:t>
      </w:r>
      <w:r w:rsidR="007A4217">
        <w:rPr>
          <w:rFonts w:ascii="David" w:hAnsi="David"/>
          <w:rtl/>
        </w:rPr>
        <w:t xml:space="preserve">פי </w:t>
      </w:r>
      <w:r>
        <w:rPr>
          <w:rFonts w:ascii="David" w:hAnsi="David"/>
          <w:rtl/>
        </w:rPr>
        <w:t xml:space="preserve">הפרמטר המשמעותי ביותר מבחינתו: מדוע הוא בא למשכן </w:t>
      </w:r>
      <w:r w:rsidR="007A4217">
        <w:rPr>
          <w:rFonts w:ascii="David" w:hAnsi="David" w:hint="cs"/>
          <w:rtl/>
        </w:rPr>
        <w:t>ו</w:t>
      </w:r>
      <w:r>
        <w:rPr>
          <w:rFonts w:ascii="David" w:hAnsi="David"/>
          <w:rtl/>
        </w:rPr>
        <w:t>מדוע בחר להביא קורבן? האם הדבר נעשה מיוזמתו החופשית ומהתנדבותו, או שמא מדובר בצורך בכפרה בשל חטא שעשה</w:t>
      </w:r>
      <w:r w:rsidR="007A4217">
        <w:rPr>
          <w:rFonts w:ascii="David" w:hAnsi="David" w:hint="cs"/>
          <w:rtl/>
        </w:rPr>
        <w:t>?</w:t>
      </w:r>
      <w:r>
        <w:rPr>
          <w:rFonts w:ascii="David" w:hAnsi="David"/>
          <w:rtl/>
        </w:rPr>
        <w:t xml:space="preserve"> </w:t>
      </w:r>
      <w:r w:rsidR="007A4217">
        <w:rPr>
          <w:rFonts w:ascii="David" w:hAnsi="David" w:hint="cs"/>
          <w:rtl/>
        </w:rPr>
        <w:t xml:space="preserve">אלו </w:t>
      </w:r>
      <w:r>
        <w:rPr>
          <w:rFonts w:ascii="David" w:hAnsi="David"/>
          <w:rtl/>
        </w:rPr>
        <w:t>שני מסעות שונים לחלוטין לבית ה', והרשימה הראשונה משקפת הבדל זה. מבחינתו של האדם מישראל</w:t>
      </w:r>
      <w:r w:rsidR="007A4217">
        <w:rPr>
          <w:rFonts w:ascii="David" w:hAnsi="David" w:hint="cs"/>
          <w:rtl/>
        </w:rPr>
        <w:t>,</w:t>
      </w:r>
      <w:r>
        <w:rPr>
          <w:rFonts w:ascii="David" w:hAnsi="David"/>
          <w:rtl/>
        </w:rPr>
        <w:t xml:space="preserve"> פחות משנה באיזה מקום הכוהנים צריכים לאכול את חלקם (דבר שנדון ברשימה השנייה). שאלה זו אינה מעלה ואינה מורידה מחווייתו ועמידתו מול ה'.</w:t>
      </w:r>
    </w:p>
    <w:p w14:paraId="042B1319" w14:textId="77777777" w:rsidR="00BD0D01" w:rsidRDefault="00BD0D01" w:rsidP="00BD0D01">
      <w:pPr>
        <w:rPr>
          <w:rFonts w:ascii="David" w:hAnsi="David"/>
          <w:rtl/>
        </w:rPr>
      </w:pPr>
      <w:r>
        <w:rPr>
          <w:rFonts w:ascii="David" w:hAnsi="David"/>
          <w:rtl/>
        </w:rPr>
        <w:t xml:space="preserve">לעומת זאת, הרשימה השנייה שפונה אל הכוהנים אינה משקפת את ההבדל התהומי שבין קורבנות נדבה וקורבנות חובה, כי מבחינתו של הכוהן זו שאלה שולית. בסופו של דבר, עליו לנהוג בקדושה דומה לקורבן המנחה ולקורבן החטאת, גם אם זה בא בנדבה וזה בא בחובה. עליו לאכול את שניהם באותה היממה שבה הם הוקרבו; עליו לאוכלם במקום קדוש; ומשניהם הוא יכול לתת לבניו הזכרים אך לא לבנותיו. </w:t>
      </w:r>
    </w:p>
    <w:p w14:paraId="038868EC" w14:textId="7B2B5D8A" w:rsidR="00BD0D01" w:rsidRDefault="00BD0D01" w:rsidP="00BD0D01">
      <w:pPr>
        <w:rPr>
          <w:rFonts w:ascii="David" w:hAnsi="David"/>
          <w:rtl/>
        </w:rPr>
      </w:pPr>
      <w:r>
        <w:rPr>
          <w:rFonts w:ascii="David" w:hAnsi="David"/>
          <w:rtl/>
        </w:rPr>
        <w:t>ראיה טובה לטענת רמב"ן היא שילוב פסוקי חתימה בסוף תיאור קורבן האשם, לפני תיאור קורבן זבח שלמים, כלומר לפני שעובר הכתוב לקודשים הקלים:</w:t>
      </w:r>
    </w:p>
    <w:p w14:paraId="232DDA1D" w14:textId="49B080C7" w:rsidR="00BD0D01" w:rsidRDefault="00BD0D01" w:rsidP="00BD0D01">
      <w:pPr>
        <w:ind w:left="720"/>
        <w:rPr>
          <w:rFonts w:ascii="David" w:hAnsi="David"/>
          <w:rtl/>
        </w:rPr>
      </w:pPr>
      <w:r>
        <w:rPr>
          <w:rFonts w:ascii="David" w:hAnsi="David" w:hint="cs"/>
          <w:rtl/>
        </w:rPr>
        <w:t>"</w:t>
      </w:r>
      <w:r>
        <w:rPr>
          <w:rFonts w:ascii="David" w:hAnsi="David"/>
          <w:rtl/>
        </w:rPr>
        <w:t>כַּחַטָּאת כָּאָשָׁם תּוֹרָה אַחַת לָהֶם הַכֹּהֵן אֲשֶׁר יְכַפֶּר בּוֹ לוֹ יִהְיֶה.</w:t>
      </w:r>
    </w:p>
    <w:p w14:paraId="31153CBD" w14:textId="13491FB2" w:rsidR="00BD0D01" w:rsidRDefault="00BD0D01" w:rsidP="00BD0D01">
      <w:pPr>
        <w:ind w:left="720"/>
        <w:rPr>
          <w:rFonts w:ascii="David" w:hAnsi="David"/>
        </w:rPr>
      </w:pPr>
      <w:r>
        <w:rPr>
          <w:rFonts w:ascii="David" w:hAnsi="David" w:hint="cs"/>
          <w:rtl/>
        </w:rPr>
        <w:t>"</w:t>
      </w:r>
      <w:r>
        <w:rPr>
          <w:rFonts w:ascii="David" w:hAnsi="David"/>
          <w:rtl/>
        </w:rPr>
        <w:t xml:space="preserve">וְהַכֹּהֵן הַמַּקְרִיב אֶת </w:t>
      </w:r>
      <w:proofErr w:type="spellStart"/>
      <w:r>
        <w:rPr>
          <w:rFonts w:ascii="David" w:hAnsi="David"/>
          <w:rtl/>
        </w:rPr>
        <w:t>עֹלַת</w:t>
      </w:r>
      <w:proofErr w:type="spellEnd"/>
      <w:r>
        <w:rPr>
          <w:rFonts w:ascii="David" w:hAnsi="David"/>
          <w:rtl/>
        </w:rPr>
        <w:t xml:space="preserve"> אִישׁ עוֹר הָעֹלָה אֲשֶׁר הִקְרִיב לַכֹּהֵן לוֹ יִהְיֶה.</w:t>
      </w:r>
    </w:p>
    <w:p w14:paraId="16C7ECF7" w14:textId="48CA3D13" w:rsidR="00BD0D01" w:rsidRDefault="00BD0D01" w:rsidP="00BD0D01">
      <w:pPr>
        <w:ind w:left="720"/>
        <w:rPr>
          <w:rFonts w:ascii="David" w:hAnsi="David"/>
        </w:rPr>
      </w:pPr>
      <w:r>
        <w:rPr>
          <w:rFonts w:ascii="David" w:hAnsi="David" w:hint="cs"/>
          <w:rtl/>
        </w:rPr>
        <w:t>"</w:t>
      </w:r>
      <w:r>
        <w:rPr>
          <w:rFonts w:ascii="David" w:hAnsi="David"/>
          <w:rtl/>
        </w:rPr>
        <w:t>וְכָל מִנְחָה אֲשֶׁר תֵּאָפֶה בַּתַּנּוּר וְכָל נַעֲשָׂה בַמַּרְחֶשֶׁת וְעַל מַחֲבַת לַכֹּהֵן הַמַּקְרִיב אֹתָהּ לוֹ תִהְיֶה. וְכָל מִנְחָה בְלוּלָה בַשֶּׁמֶן וַחֲרֵבָה לְכָל בְּנֵי אַהֲרֹן תִּהְיֶה אִישׁ כְּאָחִיו</w:t>
      </w:r>
      <w:r>
        <w:rPr>
          <w:rFonts w:ascii="David" w:hAnsi="David" w:hint="cs"/>
          <w:rtl/>
        </w:rPr>
        <w:t>"</w:t>
      </w:r>
      <w:r>
        <w:rPr>
          <w:rFonts w:ascii="David" w:hAnsi="David"/>
          <w:rtl/>
        </w:rPr>
        <w:tab/>
      </w:r>
      <w:r w:rsidRPr="00BD0D01">
        <w:rPr>
          <w:rFonts w:ascii="David" w:hAnsi="David"/>
          <w:sz w:val="20"/>
          <w:szCs w:val="20"/>
          <w:rtl/>
        </w:rPr>
        <w:t>(ז', ז-י)</w:t>
      </w:r>
      <w:r>
        <w:rPr>
          <w:rFonts w:ascii="David" w:hAnsi="David"/>
          <w:rtl/>
        </w:rPr>
        <w:t>.</w:t>
      </w:r>
    </w:p>
    <w:p w14:paraId="0EDA6C17" w14:textId="7DD76B9D" w:rsidR="00BD0D01" w:rsidRDefault="00BD0D01" w:rsidP="007A4217">
      <w:pPr>
        <w:rPr>
          <w:rFonts w:ascii="David" w:hAnsi="David"/>
          <w:rtl/>
        </w:rPr>
      </w:pPr>
      <w:r>
        <w:rPr>
          <w:rFonts w:ascii="David" w:hAnsi="David"/>
          <w:rtl/>
        </w:rPr>
        <w:t>פסוקים אלו מתארים מיהו הכהן הספציפי שמקבל את החלק המגיע לכוהנים מהקורבנות</w:t>
      </w:r>
      <w:r w:rsidR="007A4217">
        <w:rPr>
          <w:rFonts w:ascii="David" w:hAnsi="David" w:hint="cs"/>
          <w:rtl/>
        </w:rPr>
        <w:t>, והם</w:t>
      </w:r>
      <w:r>
        <w:rPr>
          <w:rFonts w:ascii="David" w:hAnsi="David"/>
          <w:rtl/>
        </w:rPr>
        <w:t xml:space="preserve"> משולבים דווקא כאן, </w:t>
      </w:r>
      <w:r w:rsidR="007A4217">
        <w:rPr>
          <w:rFonts w:ascii="David" w:hAnsi="David" w:hint="cs"/>
          <w:rtl/>
        </w:rPr>
        <w:t xml:space="preserve">אף </w:t>
      </w:r>
      <w:r>
        <w:rPr>
          <w:rFonts w:ascii="David" w:hAnsi="David"/>
          <w:rtl/>
        </w:rPr>
        <w:t xml:space="preserve">שניתן היה לשלב את חלוקת עור העולה </w:t>
      </w:r>
      <w:r w:rsidR="007A4217">
        <w:rPr>
          <w:rFonts w:ascii="David" w:hAnsi="David" w:hint="cs"/>
          <w:rtl/>
        </w:rPr>
        <w:t xml:space="preserve">לצד </w:t>
      </w:r>
      <w:r>
        <w:rPr>
          <w:rFonts w:ascii="David" w:hAnsi="David"/>
          <w:rtl/>
        </w:rPr>
        <w:t xml:space="preserve">תורת העולה שפתחה את הרשימה השנייה, כמו גם את חלוקת הנותרת מן המנחה בתיאור אכילת המנחה. התחושה היא, שיש כאן מעין עצירה בשטף הבאת הקורבנות, מעין סיכום. רגע לפני שעובר הכתוב </w:t>
      </w:r>
      <w:r>
        <w:rPr>
          <w:rFonts w:ascii="David" w:hAnsi="David"/>
          <w:rtl/>
        </w:rPr>
        <w:lastRenderedPageBreak/>
        <w:t>לזבח שלמים הוא מסכם את הקורבנות שהם קודשי קודשים.</w:t>
      </w:r>
    </w:p>
    <w:p w14:paraId="7F409F91" w14:textId="447DFA73" w:rsidR="00E911A1" w:rsidRPr="007A4217" w:rsidRDefault="00E911A1" w:rsidP="00E911A1">
      <w:pPr>
        <w:rPr>
          <w:rFonts w:ascii="David" w:hAnsi="David"/>
          <w:rtl/>
        </w:rPr>
      </w:pPr>
      <w:r w:rsidRPr="007A4217">
        <w:rPr>
          <w:rFonts w:ascii="David" w:hAnsi="David"/>
          <w:rtl/>
        </w:rPr>
        <w:t>על ההבדלים הללו בין שתי הרשימות ראוי להזכיר גם את מה שהראה הרב ברוך קהת, שבפרשת ויקרא "הנושא התחבירי של פסוקי הפתיחה של חוקי ה</w:t>
      </w:r>
      <w:r w:rsidR="00A7255C">
        <w:rPr>
          <w:rFonts w:ascii="David" w:hAnsi="David"/>
          <w:rtl/>
        </w:rPr>
        <w:t>קורבנ</w:t>
      </w:r>
      <w:r w:rsidRPr="007A4217">
        <w:rPr>
          <w:rFonts w:ascii="David" w:hAnsi="David"/>
          <w:rtl/>
        </w:rPr>
        <w:t>ות הוא המקריב: 'אדם', 'נפש' וכדומה. לעומת זאת, הכותרות של חוקי ה</w:t>
      </w:r>
      <w:r w:rsidR="00A7255C">
        <w:rPr>
          <w:rFonts w:ascii="David" w:hAnsi="David"/>
          <w:rtl/>
        </w:rPr>
        <w:t>קורבנ</w:t>
      </w:r>
      <w:r w:rsidRPr="007A4217">
        <w:rPr>
          <w:rFonts w:ascii="David" w:hAnsi="David"/>
          <w:rtl/>
        </w:rPr>
        <w:t>ות שבפרשת צו מתמקדות ב</w:t>
      </w:r>
      <w:r w:rsidR="00A7255C">
        <w:rPr>
          <w:rFonts w:ascii="David" w:hAnsi="David"/>
          <w:rtl/>
        </w:rPr>
        <w:t>קורבן</w:t>
      </w:r>
      <w:r w:rsidRPr="007A4217">
        <w:rPr>
          <w:rFonts w:ascii="David" w:hAnsi="David"/>
          <w:rtl/>
        </w:rPr>
        <w:t xml:space="preserve"> עצמו: 'תורת העולה', 'תורת המנחה' </w:t>
      </w:r>
      <w:proofErr w:type="spellStart"/>
      <w:r w:rsidRPr="007A4217">
        <w:rPr>
          <w:rFonts w:ascii="David" w:hAnsi="David"/>
          <w:rtl/>
        </w:rPr>
        <w:t>וכו</w:t>
      </w:r>
      <w:proofErr w:type="spellEnd"/>
      <w:r w:rsidRPr="007A4217">
        <w:rPr>
          <w:rFonts w:ascii="David" w:hAnsi="David"/>
          <w:rtl/>
        </w:rPr>
        <w:t>'".</w:t>
      </w:r>
      <w:r w:rsidRPr="007A4217">
        <w:rPr>
          <w:rStyle w:val="a5"/>
          <w:rFonts w:ascii="David" w:hAnsi="David"/>
          <w:sz w:val="24"/>
          <w:rtl/>
        </w:rPr>
        <w:footnoteReference w:id="4"/>
      </w:r>
      <w:r w:rsidRPr="007A4217">
        <w:rPr>
          <w:rFonts w:ascii="David" w:hAnsi="David"/>
          <w:rtl/>
        </w:rPr>
        <w:t xml:space="preserve"> כאמור, פרשת ויקרא רואה מול עיניה את האדם המקריב בעוד פרשת צו רואה מול עיניה את דיני ה</w:t>
      </w:r>
      <w:r w:rsidR="00A7255C">
        <w:rPr>
          <w:rFonts w:ascii="David" w:hAnsi="David"/>
          <w:rtl/>
        </w:rPr>
        <w:t>קורבן</w:t>
      </w:r>
      <w:r w:rsidRPr="007A4217">
        <w:rPr>
          <w:rFonts w:ascii="David" w:hAnsi="David"/>
          <w:rtl/>
        </w:rPr>
        <w:t>.</w:t>
      </w:r>
    </w:p>
    <w:p w14:paraId="54200C96" w14:textId="77777777" w:rsidR="007A4217" w:rsidRDefault="007A4217" w:rsidP="007A4217">
      <w:pPr>
        <w:rPr>
          <w:rFonts w:ascii="David" w:hAnsi="David"/>
          <w:rtl/>
        </w:rPr>
      </w:pPr>
    </w:p>
    <w:p w14:paraId="6C8FB234" w14:textId="700F94C3" w:rsidR="007A4217" w:rsidRDefault="007A4217" w:rsidP="007A4217">
      <w:pPr>
        <w:pStyle w:val="2"/>
        <w:rPr>
          <w:rtl/>
        </w:rPr>
      </w:pPr>
      <w:r>
        <w:rPr>
          <w:rFonts w:hint="cs"/>
          <w:rtl/>
        </w:rPr>
        <w:t>'קודשים קלים' ו'קודשי קודשים'</w:t>
      </w:r>
    </w:p>
    <w:p w14:paraId="6C717636" w14:textId="2EA26026" w:rsidR="00BD0D01" w:rsidRDefault="00BD0D01" w:rsidP="007A4217">
      <w:pPr>
        <w:rPr>
          <w:rFonts w:ascii="David" w:hAnsi="David"/>
          <w:rtl/>
        </w:rPr>
      </w:pPr>
      <w:r>
        <w:rPr>
          <w:rFonts w:ascii="David" w:hAnsi="David"/>
          <w:rtl/>
        </w:rPr>
        <w:t xml:space="preserve">אבל יש לדייק יותר בדברים: אילו קורבנות מוגדרים קודש-קדשים? המונח 'קודשים קלים' איננו מונח מקראי והוא כינוי </w:t>
      </w:r>
      <w:proofErr w:type="spellStart"/>
      <w:r>
        <w:rPr>
          <w:rFonts w:ascii="David" w:hAnsi="David"/>
          <w:rtl/>
        </w:rPr>
        <w:t>חז"לי</w:t>
      </w:r>
      <w:proofErr w:type="spellEnd"/>
      <w:r>
        <w:rPr>
          <w:rFonts w:ascii="David" w:hAnsi="David"/>
          <w:rtl/>
        </w:rPr>
        <w:t xml:space="preserve"> לזבח השלמים ולעוד כמה קורבנות בכדי להנגיד אותם לקורבנות שהם 'קודשי-ק</w:t>
      </w:r>
      <w:r w:rsidR="007A4217">
        <w:rPr>
          <w:rFonts w:ascii="David" w:hAnsi="David" w:hint="cs"/>
          <w:rtl/>
        </w:rPr>
        <w:t>ו</w:t>
      </w:r>
      <w:r>
        <w:rPr>
          <w:rFonts w:ascii="David" w:hAnsi="David"/>
          <w:rtl/>
        </w:rPr>
        <w:t>דשים'. אולם הגדרת קורבן כ'קודש ק</w:t>
      </w:r>
      <w:r w:rsidR="007A4217">
        <w:rPr>
          <w:rFonts w:ascii="David" w:hAnsi="David" w:hint="cs"/>
          <w:rtl/>
        </w:rPr>
        <w:t>ו</w:t>
      </w:r>
      <w:r>
        <w:rPr>
          <w:rFonts w:ascii="David" w:hAnsi="David"/>
          <w:rtl/>
        </w:rPr>
        <w:t>דשים' היא הגדרה מקראית וכינוי זה נזכר לצד כמה מן הקורבנות. על המשמעות הספציפית ועל ההשלכות של הגדרת קורבן כקודש-ק</w:t>
      </w:r>
      <w:r w:rsidR="007A4217">
        <w:rPr>
          <w:rFonts w:ascii="David" w:hAnsi="David" w:hint="cs"/>
          <w:rtl/>
        </w:rPr>
        <w:t>ו</w:t>
      </w:r>
      <w:r>
        <w:rPr>
          <w:rFonts w:ascii="David" w:hAnsi="David"/>
          <w:rtl/>
        </w:rPr>
        <w:t>דשים נעמוד בהמשך, בדיוננו באפשרות של 'קדושה מדבקת'. כעת ברצוני לבחון מהם הקורבנות המוגדרים בכתוב בפירוש קודש קודשים. נפנה לפרשת צו – רשימת הקורבנות השנייה – שבה אפיון זה נזכר ביחס לקורבנות וכאמור, הוא כנראה הבסיס לסידור הקורבנות ברשימה זו.</w:t>
      </w:r>
    </w:p>
    <w:p w14:paraId="57D0D6DF" w14:textId="4004712F" w:rsidR="00BD0D01" w:rsidRDefault="00BD0D01" w:rsidP="007A4217">
      <w:pPr>
        <w:rPr>
          <w:rFonts w:ascii="David" w:hAnsi="David"/>
          <w:rtl/>
        </w:rPr>
      </w:pPr>
      <w:r>
        <w:rPr>
          <w:rFonts w:ascii="David" w:hAnsi="David"/>
          <w:rtl/>
        </w:rPr>
        <w:t xml:space="preserve">על </w:t>
      </w:r>
      <w:r w:rsidR="00A7255C">
        <w:rPr>
          <w:rFonts w:ascii="David" w:hAnsi="David"/>
          <w:rtl/>
        </w:rPr>
        <w:t>קורבן</w:t>
      </w:r>
      <w:r>
        <w:rPr>
          <w:rFonts w:ascii="David" w:hAnsi="David"/>
          <w:rtl/>
        </w:rPr>
        <w:t xml:space="preserve"> המנחה נאמר במפורש שהוא קודש ק</w:t>
      </w:r>
      <w:r w:rsidR="007A4217">
        <w:rPr>
          <w:rFonts w:ascii="David" w:hAnsi="David" w:hint="cs"/>
          <w:rtl/>
        </w:rPr>
        <w:t>ו</w:t>
      </w:r>
      <w:r>
        <w:rPr>
          <w:rFonts w:ascii="David" w:hAnsi="David"/>
          <w:rtl/>
        </w:rPr>
        <w:t xml:space="preserve">דשים: </w:t>
      </w:r>
      <w:r w:rsidR="007A4217">
        <w:rPr>
          <w:rFonts w:ascii="David" w:hAnsi="David" w:hint="cs"/>
          <w:rtl/>
        </w:rPr>
        <w:t>"</w:t>
      </w:r>
      <w:r>
        <w:rPr>
          <w:rFonts w:ascii="David" w:hAnsi="David"/>
          <w:rtl/>
        </w:rPr>
        <w:t>לֹא תֵאָפֶה חָמֵץ חֶלְקָם נָתַתִּי אֹתָהּ מֵאִשָּׁי קֹדֶשׁ קָדָשִׁים הִוא כַּחַטָּאת וְכָאָשָׁם</w:t>
      </w:r>
      <w:r w:rsidR="007A4217">
        <w:rPr>
          <w:rFonts w:ascii="David" w:hAnsi="David" w:hint="cs"/>
          <w:rtl/>
        </w:rPr>
        <w:t>"</w:t>
      </w:r>
      <w:r>
        <w:rPr>
          <w:rFonts w:ascii="David" w:hAnsi="David"/>
          <w:rtl/>
        </w:rPr>
        <w:t xml:space="preserve"> </w:t>
      </w:r>
      <w:r w:rsidRPr="00BD0D01">
        <w:rPr>
          <w:rFonts w:ascii="David" w:hAnsi="David"/>
          <w:sz w:val="20"/>
          <w:szCs w:val="20"/>
          <w:rtl/>
        </w:rPr>
        <w:t>(ו', י)</w:t>
      </w:r>
      <w:r>
        <w:rPr>
          <w:rFonts w:ascii="David" w:hAnsi="David"/>
          <w:rtl/>
        </w:rPr>
        <w:t>.</w:t>
      </w:r>
      <w:r>
        <w:rPr>
          <w:rFonts w:ascii="David" w:hAnsi="David"/>
        </w:rPr>
        <w:t xml:space="preserve"> </w:t>
      </w:r>
      <w:r>
        <w:rPr>
          <w:rFonts w:ascii="David" w:hAnsi="David"/>
          <w:rtl/>
        </w:rPr>
        <w:t xml:space="preserve">כבר מלשון זו ניכר שגם החטאת וגם האשם מוגדרים קודש-קודשים, ואכן הגדרות אלו נאמרות בפירוש בפירוט דיניהם. כך לגבי החטאת: "דַּבֵּר אֶל אַהֲרֹן וְאֶל בָּנָיו </w:t>
      </w:r>
      <w:proofErr w:type="spellStart"/>
      <w:r>
        <w:rPr>
          <w:rFonts w:ascii="David" w:hAnsi="David"/>
          <w:rtl/>
        </w:rPr>
        <w:t>לֵאמֹר</w:t>
      </w:r>
      <w:proofErr w:type="spellEnd"/>
      <w:r>
        <w:rPr>
          <w:rFonts w:ascii="David" w:hAnsi="David"/>
          <w:rtl/>
        </w:rPr>
        <w:t xml:space="preserve"> זֹאת תּוֹרַת הַחַטָּאת בִּמְקוֹם אֲשֶׁר תִּשָּׁחֵט הָעֹלָה תִּשָּׁחֵט הַחַטָּאת לִפְנֵי ה' קֹדֶשׁ קָדָשִׁים הִוא'" </w:t>
      </w:r>
      <w:r w:rsidRPr="00BD0D01">
        <w:rPr>
          <w:rFonts w:ascii="David" w:hAnsi="David"/>
          <w:sz w:val="20"/>
          <w:szCs w:val="20"/>
          <w:rtl/>
        </w:rPr>
        <w:t>(ו</w:t>
      </w:r>
      <w:r w:rsidRPr="00BD0D01">
        <w:rPr>
          <w:rFonts w:ascii="David" w:hAnsi="David" w:hint="cs"/>
          <w:sz w:val="20"/>
          <w:szCs w:val="20"/>
          <w:rtl/>
        </w:rPr>
        <w:t>'</w:t>
      </w:r>
      <w:r w:rsidRPr="00BD0D01">
        <w:rPr>
          <w:rFonts w:ascii="David" w:hAnsi="David"/>
          <w:sz w:val="20"/>
          <w:szCs w:val="20"/>
          <w:rtl/>
        </w:rPr>
        <w:t xml:space="preserve">, </w:t>
      </w:r>
      <w:proofErr w:type="spellStart"/>
      <w:r w:rsidRPr="00BD0D01">
        <w:rPr>
          <w:rFonts w:ascii="David" w:hAnsi="David"/>
          <w:sz w:val="20"/>
          <w:szCs w:val="20"/>
          <w:rtl/>
        </w:rPr>
        <w:t>יח</w:t>
      </w:r>
      <w:proofErr w:type="spellEnd"/>
      <w:r w:rsidRPr="00BD0D01">
        <w:rPr>
          <w:rFonts w:ascii="David" w:hAnsi="David"/>
          <w:sz w:val="20"/>
          <w:szCs w:val="20"/>
          <w:rtl/>
        </w:rPr>
        <w:t>)</w:t>
      </w:r>
      <w:r>
        <w:rPr>
          <w:rFonts w:ascii="David" w:hAnsi="David"/>
          <w:rtl/>
        </w:rPr>
        <w:t xml:space="preserve">, וגם ביחס לאשם: "וְזֹאת תּוֹרַת הָאָשָׁם קֹדֶשׁ קָדָשִׁים הוּא" </w:t>
      </w:r>
      <w:r w:rsidRPr="00BD0D01">
        <w:rPr>
          <w:rFonts w:ascii="David" w:hAnsi="David"/>
          <w:sz w:val="20"/>
          <w:szCs w:val="20"/>
          <w:rtl/>
        </w:rPr>
        <w:t>(ז</w:t>
      </w:r>
      <w:r>
        <w:rPr>
          <w:rFonts w:ascii="David" w:hAnsi="David" w:hint="cs"/>
          <w:sz w:val="20"/>
          <w:szCs w:val="20"/>
          <w:rtl/>
        </w:rPr>
        <w:t>'</w:t>
      </w:r>
      <w:r w:rsidRPr="00BD0D01">
        <w:rPr>
          <w:rFonts w:ascii="David" w:hAnsi="David"/>
          <w:sz w:val="20"/>
          <w:szCs w:val="20"/>
          <w:rtl/>
        </w:rPr>
        <w:t>, א)</w:t>
      </w:r>
      <w:r>
        <w:rPr>
          <w:rFonts w:ascii="David" w:hAnsi="David"/>
          <w:rtl/>
        </w:rPr>
        <w:t xml:space="preserve">. </w:t>
      </w:r>
    </w:p>
    <w:p w14:paraId="01D02087" w14:textId="171B7A5D" w:rsidR="00BD0D01" w:rsidRDefault="00BD0D01" w:rsidP="007A4217">
      <w:pPr>
        <w:rPr>
          <w:rFonts w:ascii="David" w:hAnsi="David"/>
          <w:rtl/>
        </w:rPr>
      </w:pPr>
      <w:r>
        <w:rPr>
          <w:rFonts w:ascii="David" w:hAnsi="David"/>
          <w:rtl/>
        </w:rPr>
        <w:t xml:space="preserve">כלומר, ביחס לשני קורבנות </w:t>
      </w:r>
      <w:r w:rsidR="007A4217">
        <w:rPr>
          <w:rFonts w:ascii="David" w:hAnsi="David" w:hint="cs"/>
          <w:rtl/>
        </w:rPr>
        <w:t>ה</w:t>
      </w:r>
      <w:r>
        <w:rPr>
          <w:rFonts w:ascii="David" w:hAnsi="David"/>
          <w:rtl/>
        </w:rPr>
        <w:t xml:space="preserve">משולבים ברשימה שלפנינו לא נאמר שהם 'קודש-קודשים'. הבולט ביותר הוא כמובן זבח שלמים, שבאמת איננו 'קודש-קודשים'. הדבר ניכר מתוך דיניו: ניתן לאכול אותו בכל מקום טהור ואין צורך במקום קדוש דווקא; גם נשים משתתפות באכילתו ואפילו מי שאיננו כוהן יכול לאוכלו. אולם, הגדרה זו חסרה גם ביחס לקורבן עולה, </w:t>
      </w:r>
      <w:r>
        <w:rPr>
          <w:rFonts w:ascii="David" w:hAnsi="David"/>
          <w:rtl/>
        </w:rPr>
        <w:lastRenderedPageBreak/>
        <w:t xml:space="preserve">וחיסרון זה מפתיע למדי. דווקא קורבן העולה – אשר </w:t>
      </w:r>
      <w:proofErr w:type="spellStart"/>
      <w:r>
        <w:rPr>
          <w:rFonts w:ascii="David" w:hAnsi="David"/>
          <w:rtl/>
        </w:rPr>
        <w:t>מוקטר</w:t>
      </w:r>
      <w:proofErr w:type="spellEnd"/>
      <w:r>
        <w:rPr>
          <w:rFonts w:ascii="David" w:hAnsi="David"/>
          <w:rtl/>
        </w:rPr>
        <w:t xml:space="preserve"> כולו על גבי המזבח ואשר פותח את שתי הרשימות – נדמה כבעל קדושה יתירה, ובוודאי שאיננו נופל מקורבן מנחה או החטאת.</w:t>
      </w:r>
    </w:p>
    <w:p w14:paraId="287C83A8" w14:textId="1432097F" w:rsidR="00BD0D01" w:rsidRDefault="00BD0D01" w:rsidP="007A4217">
      <w:pPr>
        <w:rPr>
          <w:rFonts w:ascii="David" w:hAnsi="David"/>
          <w:rtl/>
        </w:rPr>
      </w:pPr>
      <w:r>
        <w:rPr>
          <w:rFonts w:ascii="David" w:hAnsi="David"/>
          <w:rtl/>
        </w:rPr>
        <w:t xml:space="preserve">סביר שמבחינה משפטית-הלכתית גם התורה רואה את קורבן העולה כבעל קדושה יתירה, שהרי אחת ההשלכות של הגדרת קורבן כקודש-קודשים </w:t>
      </w:r>
      <w:r w:rsidR="007A4217">
        <w:rPr>
          <w:rFonts w:ascii="David" w:hAnsi="David" w:hint="cs"/>
          <w:rtl/>
        </w:rPr>
        <w:t xml:space="preserve">היא </w:t>
      </w:r>
      <w:r>
        <w:rPr>
          <w:rFonts w:ascii="David" w:hAnsi="David"/>
          <w:rtl/>
        </w:rPr>
        <w:t xml:space="preserve">מקום שחיטתו (לצד צדו הצפוני של המזבח), ובהקשר זה הקורבנות האחרים מדומים לקורבן עולה. כך למשל נאמר ביחס לחטאת: "בִּמְקוֹם אֲשֶׁר תִּשָּׁחֵט הָעֹלָה תִּשָּׁחֵט הַחַטָּאת לִפְנֵי ה' קֹדֶשׁ קָדָשִׁים הִוא" </w:t>
      </w:r>
      <w:r w:rsidRPr="00BD0D01">
        <w:rPr>
          <w:rFonts w:ascii="David" w:hAnsi="David"/>
          <w:sz w:val="20"/>
          <w:szCs w:val="20"/>
          <w:rtl/>
        </w:rPr>
        <w:t xml:space="preserve">(ו', </w:t>
      </w:r>
      <w:proofErr w:type="spellStart"/>
      <w:r w:rsidRPr="00BD0D01">
        <w:rPr>
          <w:rFonts w:ascii="David" w:hAnsi="David"/>
          <w:sz w:val="20"/>
          <w:szCs w:val="20"/>
          <w:rtl/>
        </w:rPr>
        <w:t>יח</w:t>
      </w:r>
      <w:proofErr w:type="spellEnd"/>
      <w:r w:rsidRPr="00BD0D01">
        <w:rPr>
          <w:rFonts w:ascii="David" w:hAnsi="David"/>
          <w:sz w:val="20"/>
          <w:szCs w:val="20"/>
          <w:rtl/>
        </w:rPr>
        <w:t>)</w:t>
      </w:r>
      <w:r>
        <w:rPr>
          <w:rFonts w:ascii="David" w:hAnsi="David"/>
          <w:rtl/>
        </w:rPr>
        <w:t xml:space="preserve">. כלומר, הדיון בחסרון הגדרת העולה כקורבן שהוא קודש-קודשים איננו מתנהל בעולם המשפטי אלא בעולם הספרותי: מדוע התורה לא מכנה אותו באופן זה בפירוש, למרות שמתוך דיניו ניכר שגם הוא ברמת קדושה גבוהה? </w:t>
      </w:r>
    </w:p>
    <w:p w14:paraId="4BD388BE" w14:textId="4CDB9FFB" w:rsidR="00BD0D01" w:rsidRDefault="00BD0D01" w:rsidP="007A4217">
      <w:pPr>
        <w:rPr>
          <w:rFonts w:ascii="David" w:hAnsi="David"/>
          <w:rtl/>
        </w:rPr>
      </w:pPr>
      <w:r>
        <w:rPr>
          <w:rFonts w:ascii="David" w:hAnsi="David"/>
          <w:rtl/>
        </w:rPr>
        <w:t xml:space="preserve">בדיון להלן בקדושה מדבקת יעלה שההשלכה המרכזית להיות קורבן 'קודש-קדשים' היא העובדה שהוא יכול להדביק אחרים בקדושתו, ועל כן יש להישמר שאכילתו תהיה במקום קדוש על ידי כוהנים שהם כבר קדושים ממילא. עוד נדון בכך בהרחבה להלן, לעת עתה רק ברצוני להצביע </w:t>
      </w:r>
      <w:r w:rsidR="007A4217">
        <w:rPr>
          <w:rFonts w:ascii="David" w:hAnsi="David" w:hint="cs"/>
          <w:rtl/>
        </w:rPr>
        <w:t xml:space="preserve">שאכן </w:t>
      </w:r>
      <w:r>
        <w:rPr>
          <w:rFonts w:ascii="David" w:hAnsi="David"/>
          <w:rtl/>
        </w:rPr>
        <w:t>לצד הגדר</w:t>
      </w:r>
      <w:r w:rsidR="007A4217">
        <w:rPr>
          <w:rFonts w:ascii="David" w:hAnsi="David" w:hint="cs"/>
          <w:rtl/>
        </w:rPr>
        <w:t>ת</w:t>
      </w:r>
      <w:r>
        <w:rPr>
          <w:rFonts w:ascii="David" w:hAnsi="David"/>
          <w:rtl/>
        </w:rPr>
        <w:t xml:space="preserve"> </w:t>
      </w:r>
      <w:r w:rsidR="007A4217">
        <w:rPr>
          <w:rFonts w:ascii="David" w:hAnsi="David" w:hint="cs"/>
          <w:rtl/>
        </w:rPr>
        <w:t>ה</w:t>
      </w:r>
      <w:r>
        <w:rPr>
          <w:rFonts w:ascii="David" w:hAnsi="David"/>
          <w:rtl/>
        </w:rPr>
        <w:t xml:space="preserve">קורבן </w:t>
      </w:r>
      <w:r w:rsidR="007A4217">
        <w:rPr>
          <w:rFonts w:ascii="David" w:hAnsi="David" w:hint="cs"/>
          <w:rtl/>
        </w:rPr>
        <w:t>כ</w:t>
      </w:r>
      <w:r>
        <w:rPr>
          <w:rFonts w:ascii="David" w:hAnsi="David"/>
          <w:rtl/>
        </w:rPr>
        <w:t>'קודש-קדשים'</w:t>
      </w:r>
      <w:r w:rsidR="007A4217">
        <w:rPr>
          <w:rFonts w:ascii="David" w:hAnsi="David" w:hint="cs"/>
          <w:rtl/>
        </w:rPr>
        <w:t>,</w:t>
      </w:r>
      <w:r>
        <w:rPr>
          <w:rFonts w:ascii="David" w:hAnsi="David"/>
          <w:rtl/>
        </w:rPr>
        <w:t xml:space="preserve"> </w:t>
      </w:r>
      <w:r w:rsidR="007A4217">
        <w:rPr>
          <w:rFonts w:ascii="David" w:hAnsi="David" w:hint="cs"/>
          <w:rtl/>
        </w:rPr>
        <w:t xml:space="preserve">מופיעים </w:t>
      </w:r>
      <w:r>
        <w:rPr>
          <w:rFonts w:ascii="David" w:hAnsi="David"/>
          <w:rtl/>
        </w:rPr>
        <w:t>דיני אכילתו המוקפדת. כך למשל ביחס ל</w:t>
      </w:r>
      <w:r w:rsidR="00A7255C">
        <w:rPr>
          <w:rFonts w:ascii="David" w:hAnsi="David"/>
          <w:rtl/>
        </w:rPr>
        <w:t>קורבן</w:t>
      </w:r>
      <w:r>
        <w:rPr>
          <w:rFonts w:ascii="David" w:hAnsi="David"/>
          <w:rtl/>
        </w:rPr>
        <w:t xml:space="preserve"> מנחה נאמר: "וְהַנּוֹתֶרֶת מִמֶּנָּה יֹאכְלוּ אַהֲרֹן וּבָנָיו מַצּוֹת תֵּאָכֵל בְּמָקוֹם קָדֹשׁ בַּחֲצַר אֹהֶל מוֹעֵד יֹאכְלוּהָ. לֹא תֵאָפֶה חָמֵץ חֶלְקָם נָתַתִּי אֹתָהּ מֵאִשָּׁי קֹדֶשׁ קָדָשִׁים הִוא כַּחַטָּאת וְכָאָשָׁם. כָּל זָכָר בִּבְנֵי אַהֲרֹן </w:t>
      </w:r>
      <w:proofErr w:type="spellStart"/>
      <w:r>
        <w:rPr>
          <w:rFonts w:ascii="David" w:hAnsi="David"/>
          <w:rtl/>
        </w:rPr>
        <w:t>יֹאכֲלֶנָּה</w:t>
      </w:r>
      <w:proofErr w:type="spellEnd"/>
      <w:r>
        <w:rPr>
          <w:rFonts w:ascii="David" w:hAnsi="David"/>
          <w:rtl/>
        </w:rPr>
        <w:t xml:space="preserve"> </w:t>
      </w:r>
      <w:proofErr w:type="spellStart"/>
      <w:r>
        <w:rPr>
          <w:rFonts w:ascii="David" w:hAnsi="David"/>
          <w:rtl/>
        </w:rPr>
        <w:t>חָק</w:t>
      </w:r>
      <w:proofErr w:type="spellEnd"/>
      <w:r>
        <w:rPr>
          <w:rFonts w:ascii="David" w:hAnsi="David"/>
          <w:rtl/>
        </w:rPr>
        <w:t xml:space="preserve"> עוֹלָם </w:t>
      </w:r>
      <w:proofErr w:type="spellStart"/>
      <w:r>
        <w:rPr>
          <w:rFonts w:ascii="David" w:hAnsi="David"/>
          <w:rtl/>
        </w:rPr>
        <w:t>לְדֹרֹתֵיכֶם</w:t>
      </w:r>
      <w:proofErr w:type="spellEnd"/>
      <w:r>
        <w:rPr>
          <w:rFonts w:ascii="David" w:hAnsi="David"/>
          <w:rtl/>
        </w:rPr>
        <w:t xml:space="preserve"> מֵאִשֵּׁי ה' כֹּל אֲשֶׁר יִגַּע בָּהֶם יִקְדָּשׁ" </w:t>
      </w:r>
      <w:r w:rsidRPr="00BD0D01">
        <w:rPr>
          <w:rFonts w:ascii="David" w:hAnsi="David"/>
          <w:sz w:val="20"/>
          <w:szCs w:val="20"/>
          <w:rtl/>
        </w:rPr>
        <w:t>(ו</w:t>
      </w:r>
      <w:r w:rsidRPr="00BD0D01">
        <w:rPr>
          <w:rFonts w:ascii="David" w:hAnsi="David" w:hint="cs"/>
          <w:sz w:val="20"/>
          <w:szCs w:val="20"/>
          <w:rtl/>
        </w:rPr>
        <w:t>'</w:t>
      </w:r>
      <w:r w:rsidRPr="00BD0D01">
        <w:rPr>
          <w:rFonts w:ascii="David" w:hAnsi="David"/>
          <w:sz w:val="20"/>
          <w:szCs w:val="20"/>
          <w:rtl/>
        </w:rPr>
        <w:t>,</w:t>
      </w:r>
      <w:r w:rsidRPr="00BD0D01">
        <w:rPr>
          <w:rFonts w:ascii="David" w:hAnsi="David" w:hint="cs"/>
          <w:sz w:val="20"/>
          <w:szCs w:val="20"/>
          <w:rtl/>
        </w:rPr>
        <w:t xml:space="preserve"> </w:t>
      </w:r>
      <w:r w:rsidRPr="00BD0D01">
        <w:rPr>
          <w:rFonts w:ascii="David" w:hAnsi="David"/>
          <w:sz w:val="20"/>
          <w:szCs w:val="20"/>
          <w:rtl/>
        </w:rPr>
        <w:t>ט-יא)</w:t>
      </w:r>
      <w:r>
        <w:rPr>
          <w:rFonts w:ascii="David" w:hAnsi="David"/>
          <w:rtl/>
        </w:rPr>
        <w:t>.</w:t>
      </w:r>
    </w:p>
    <w:p w14:paraId="0D31C129" w14:textId="239180D1" w:rsidR="00BD0D01" w:rsidRDefault="00BD0D01" w:rsidP="00BD0D01">
      <w:pPr>
        <w:rPr>
          <w:rFonts w:ascii="David" w:hAnsi="David"/>
          <w:rtl/>
        </w:rPr>
      </w:pPr>
      <w:r>
        <w:rPr>
          <w:rFonts w:ascii="David" w:hAnsi="David"/>
          <w:rtl/>
        </w:rPr>
        <w:t xml:space="preserve">ניכר, שהמשמעויות שנגזרות מהיות המנחה קודש-קודשים, הן דיני אכילתה שצריכה להיעשות בקדושה: במקום קדוש, ועל ידי זכרי כהונה שהתקדשו. אלו הדינים המובאים גם ביחס להגדרת החטאת כקורבן שהוא קודש-קודשים </w:t>
      </w:r>
      <w:r w:rsidRPr="00BD0D01">
        <w:rPr>
          <w:rFonts w:ascii="David" w:hAnsi="David"/>
          <w:sz w:val="20"/>
          <w:szCs w:val="20"/>
          <w:rtl/>
        </w:rPr>
        <w:t xml:space="preserve">(ו', </w:t>
      </w:r>
      <w:proofErr w:type="spellStart"/>
      <w:r w:rsidRPr="00BD0D01">
        <w:rPr>
          <w:rFonts w:ascii="David" w:hAnsi="David"/>
          <w:sz w:val="20"/>
          <w:szCs w:val="20"/>
          <w:rtl/>
        </w:rPr>
        <w:t>יט-כב</w:t>
      </w:r>
      <w:proofErr w:type="spellEnd"/>
      <w:r w:rsidRPr="00BD0D01">
        <w:rPr>
          <w:rFonts w:ascii="David" w:hAnsi="David"/>
          <w:sz w:val="20"/>
          <w:szCs w:val="20"/>
          <w:rtl/>
        </w:rPr>
        <w:t>)</w:t>
      </w:r>
      <w:r>
        <w:rPr>
          <w:rFonts w:ascii="David" w:hAnsi="David"/>
          <w:rtl/>
        </w:rPr>
        <w:t xml:space="preserve">, אולם ביחס לחטאת נוספו שני דינים שלא הוזכרו במנחה. האחד קשור בדם החטאת שעלול לקדש אחרים שיגעו בו. דין זה משולב באופן טבעי בהקשר הרחב של הקורבן שיכול לקדש אחרים מפני שהוא קודש-קודשים. הדין השני, כאמור לעיל, נוגע במקום השחיטה: "בִּמְקוֹם אֲשֶׁר תִּשָּׁחֵט הָעֹלָה תִּשָּׁחֵט הַחַטָּאת לִפְנֵי ה' קֹדֶשׁ קָדָשִׁים הִוא' </w:t>
      </w:r>
      <w:r w:rsidRPr="00BD0D01">
        <w:rPr>
          <w:rFonts w:ascii="David" w:hAnsi="David"/>
          <w:sz w:val="20"/>
          <w:szCs w:val="20"/>
          <w:rtl/>
        </w:rPr>
        <w:t>(ו</w:t>
      </w:r>
      <w:r w:rsidRPr="00BD0D01">
        <w:rPr>
          <w:rFonts w:ascii="David" w:hAnsi="David" w:hint="cs"/>
          <w:sz w:val="20"/>
          <w:szCs w:val="20"/>
          <w:rtl/>
        </w:rPr>
        <w:t>'</w:t>
      </w:r>
      <w:r w:rsidRPr="00BD0D01">
        <w:rPr>
          <w:rFonts w:ascii="David" w:hAnsi="David"/>
          <w:sz w:val="20"/>
          <w:szCs w:val="20"/>
          <w:rtl/>
        </w:rPr>
        <w:t>,</w:t>
      </w:r>
      <w:r>
        <w:rPr>
          <w:rFonts w:ascii="David" w:hAnsi="David" w:hint="cs"/>
          <w:sz w:val="20"/>
          <w:szCs w:val="20"/>
          <w:rtl/>
        </w:rPr>
        <w:t xml:space="preserve"> </w:t>
      </w:r>
      <w:proofErr w:type="spellStart"/>
      <w:r w:rsidRPr="00BD0D01">
        <w:rPr>
          <w:rFonts w:ascii="David" w:hAnsi="David"/>
          <w:sz w:val="20"/>
          <w:szCs w:val="20"/>
          <w:rtl/>
        </w:rPr>
        <w:t>יח</w:t>
      </w:r>
      <w:proofErr w:type="spellEnd"/>
      <w:r w:rsidRPr="00BD0D01">
        <w:rPr>
          <w:rFonts w:ascii="David" w:hAnsi="David"/>
          <w:sz w:val="20"/>
          <w:szCs w:val="20"/>
          <w:rtl/>
        </w:rPr>
        <w:t>)</w:t>
      </w:r>
      <w:r>
        <w:rPr>
          <w:rFonts w:ascii="David" w:hAnsi="David"/>
          <w:rtl/>
        </w:rPr>
        <w:t xml:space="preserve">. גם בשחיטת האשם מובא שיש לשחטו במקום שחיטת העולה בשל היותו קודש-קודשים: "וְזֹאת תּוֹרַת הָאָשָׁם קֹדֶשׁ קָדָשִׁים הוּא. בִּמְקוֹם אֲשֶׁר יִשְׁחֲטוּ אֶת הָעֹלָה יִשְׁחֲטוּ אֶת הָאָשָׁם" </w:t>
      </w:r>
      <w:r w:rsidRPr="00BD0D01">
        <w:rPr>
          <w:rFonts w:ascii="David" w:hAnsi="David"/>
          <w:sz w:val="20"/>
          <w:szCs w:val="20"/>
          <w:rtl/>
        </w:rPr>
        <w:t>(ז', א-ב)</w:t>
      </w:r>
      <w:r>
        <w:rPr>
          <w:rFonts w:ascii="David" w:hAnsi="David"/>
          <w:rtl/>
        </w:rPr>
        <w:t xml:space="preserve">. במבט ראשון, קשה לראות מדוע מקום השחיטה מושפע מהגדרת הקדושה של הקורבן, אולם עוד נראה בדיון בקדושה מדבקת להלן, שייתכן שהרציונל העומד מבעד לדרישה לשחוט לצד המזבח הוא החשש שמא הקורבן יבוא במגע עם דבר מה בין </w:t>
      </w:r>
      <w:r>
        <w:rPr>
          <w:rFonts w:ascii="David" w:hAnsi="David"/>
          <w:rtl/>
        </w:rPr>
        <w:lastRenderedPageBreak/>
        <w:t xml:space="preserve">שחיטתו להקרבתו. חשש זה אינו קיים בקודשים קלים, כי הם אינם מקדשים אחרים. </w:t>
      </w:r>
    </w:p>
    <w:p w14:paraId="48CBF718" w14:textId="18E83DF5" w:rsidR="00BD0D01" w:rsidRDefault="00BD0D01" w:rsidP="00BD0D01">
      <w:pPr>
        <w:rPr>
          <w:rFonts w:ascii="David" w:hAnsi="David"/>
          <w:rtl/>
        </w:rPr>
      </w:pPr>
      <w:r>
        <w:rPr>
          <w:rFonts w:ascii="David" w:hAnsi="David"/>
          <w:rtl/>
        </w:rPr>
        <w:t xml:space="preserve">נמצאנו למדים שיש שלוש השלכות להגדרת </w:t>
      </w:r>
      <w:r w:rsidR="00A7255C">
        <w:rPr>
          <w:rFonts w:ascii="David" w:hAnsi="David"/>
          <w:rtl/>
        </w:rPr>
        <w:t>קורבן</w:t>
      </w:r>
      <w:r>
        <w:rPr>
          <w:rFonts w:ascii="David" w:hAnsi="David"/>
          <w:rtl/>
        </w:rPr>
        <w:t xml:space="preserve"> כק</w:t>
      </w:r>
      <w:r w:rsidR="007A4217">
        <w:rPr>
          <w:rFonts w:ascii="David" w:hAnsi="David" w:hint="cs"/>
          <w:rtl/>
        </w:rPr>
        <w:t>ו</w:t>
      </w:r>
      <w:r>
        <w:rPr>
          <w:rFonts w:ascii="David" w:hAnsi="David"/>
          <w:rtl/>
        </w:rPr>
        <w:t>דש-ק</w:t>
      </w:r>
      <w:r w:rsidR="007A4217">
        <w:rPr>
          <w:rFonts w:ascii="David" w:hAnsi="David" w:hint="cs"/>
          <w:rtl/>
        </w:rPr>
        <w:t>ו</w:t>
      </w:r>
      <w:r>
        <w:rPr>
          <w:rFonts w:ascii="David" w:hAnsi="David"/>
          <w:rtl/>
        </w:rPr>
        <w:t>דשים, ושתיים מרכזיות מהן נוגעות להלכות אכילת הקורבן – זהות האוכלים ומקום האכילה. לאור כך מובן מדוע לא ניתן לכנות את קורבן העולה 'קודש-קודשים'. ההשלכות של הגדרה זו אינן רלוונטיות לקורבן עולה שאיננו נאכל כלל על ידי הכוהנים. כלומר, גם אם מצד רמת קדושת הקורבן, העולה היא 'קודש-קדשים', התורה נמנעת מלשלב הגדרה זו ביחס לקורבן זה, מפני שהגדרה זו מובילה למסקנה שקורבן זה נאכל על ידי זכרי כהונה במקום קדוש, דבר שאיננו נכון ביחס לעולה.</w:t>
      </w:r>
    </w:p>
    <w:p w14:paraId="1703731F" w14:textId="4CC263AB" w:rsidR="00BD0D01" w:rsidRDefault="00BD0D01" w:rsidP="00E911A1">
      <w:pPr>
        <w:rPr>
          <w:rFonts w:ascii="David" w:hAnsi="David"/>
          <w:rtl/>
        </w:rPr>
      </w:pPr>
      <w:r>
        <w:rPr>
          <w:rFonts w:ascii="David" w:hAnsi="David"/>
          <w:rtl/>
        </w:rPr>
        <w:t>הדיון ביחס שתי הרשימות אינו יכול להסתכם בזאת. לצד הנמענים המשתנים וסדר הקורבנות המתחלף, מסתבר ששתי הרשימות הללו נאמרו למשה בזמנים שונים, ו</w:t>
      </w:r>
      <w:r w:rsidR="00E911A1">
        <w:rPr>
          <w:rFonts w:ascii="David" w:hAnsi="David" w:hint="cs"/>
          <w:rtl/>
        </w:rPr>
        <w:t xml:space="preserve">כפי שניווכח בשיעור הבא, </w:t>
      </w:r>
      <w:r>
        <w:rPr>
          <w:rFonts w:ascii="David" w:hAnsi="David"/>
          <w:rtl/>
        </w:rPr>
        <w:t>הרשימה המופיעה בכתוב במקום השני (פרשת צו) היא המוקדמת יותר ונאמרה למשה עוד טרם נאמרה לו הרשימה הראשונה. דבר זה דורש דיון רחב בפני עצמו, כי בשילוב רשימת הקורבנות הראשונה לפני הרשימה השנייה טמון מסר אידאי שנוגע במגמת חומש ויקרא כולו. נדון בכך אי"ה בשיעורנו הבא.</w:t>
      </w:r>
    </w:p>
    <w:p w14:paraId="09EF3DA6" w14:textId="77777777" w:rsidR="007A3B6C" w:rsidRPr="005C06E5" w:rsidRDefault="007A3B6C" w:rsidP="00BB34C2">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pPr>
            <w:r>
              <w:rPr>
                <w:rtl/>
              </w:rPr>
              <w:t xml:space="preserve">* * * * * * * </w:t>
            </w:r>
          </w:p>
        </w:tc>
      </w:tr>
    </w:tbl>
    <w:p w14:paraId="189912E7" w14:textId="77777777" w:rsidR="00144C37" w:rsidRDefault="00144C37" w:rsidP="002C3C5F">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E490" w14:textId="77777777" w:rsidR="00244928" w:rsidRDefault="00244928" w:rsidP="00405665">
      <w:r>
        <w:separator/>
      </w:r>
    </w:p>
  </w:endnote>
  <w:endnote w:type="continuationSeparator" w:id="0">
    <w:p w14:paraId="0EE29742" w14:textId="77777777" w:rsidR="00244928" w:rsidRDefault="0024492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F242C" w14:textId="77777777" w:rsidR="00244928" w:rsidRDefault="00244928" w:rsidP="00405665">
      <w:r>
        <w:separator/>
      </w:r>
    </w:p>
  </w:footnote>
  <w:footnote w:type="continuationSeparator" w:id="0">
    <w:p w14:paraId="021D4916" w14:textId="77777777" w:rsidR="00244928" w:rsidRDefault="00244928" w:rsidP="00405665">
      <w:r>
        <w:continuationSeparator/>
      </w:r>
    </w:p>
  </w:footnote>
  <w:footnote w:id="1">
    <w:p w14:paraId="7A6433BD" w14:textId="29F29127" w:rsidR="0030121E" w:rsidRDefault="0030121E" w:rsidP="00402F70">
      <w:pPr>
        <w:pStyle w:val="a3"/>
        <w:rPr>
          <w:rFonts w:ascii="Calibri" w:hAnsi="Calibri"/>
          <w:sz w:val="20"/>
          <w:rtl/>
        </w:rPr>
      </w:pPr>
      <w:r>
        <w:rPr>
          <w:rStyle w:val="a5"/>
          <w:rFonts w:eastAsia="Narkisim"/>
        </w:rPr>
        <w:footnoteRef/>
      </w:r>
      <w:r>
        <w:rPr>
          <w:rtl/>
        </w:rPr>
        <w:t xml:space="preserve"> </w:t>
      </w:r>
      <w:r>
        <w:rPr>
          <w:rtl/>
        </w:rPr>
        <w:tab/>
      </w:r>
      <w:r>
        <w:rPr>
          <w:rFonts w:hint="cs"/>
          <w:rtl/>
        </w:rPr>
        <w:t xml:space="preserve">בדברים למעלה הדגשתי את אפשרות הכלל והפרט שנרמזת בדברי </w:t>
      </w:r>
      <w:proofErr w:type="spellStart"/>
      <w:r>
        <w:rPr>
          <w:rFonts w:hint="cs"/>
          <w:rtl/>
        </w:rPr>
        <w:t>ספורנו</w:t>
      </w:r>
      <w:proofErr w:type="spellEnd"/>
      <w:r>
        <w:rPr>
          <w:rFonts w:hint="cs"/>
          <w:rtl/>
        </w:rPr>
        <w:t xml:space="preserve">. ניתן למשוך את דבריו לכיוון שונה – ברשימה השנייה התורה רומזת למשמעות הפנימית של הקורבנות השונים. דבר זה הובלט בפירושו של הרב יהודה </w:t>
      </w:r>
      <w:proofErr w:type="spellStart"/>
      <w:r>
        <w:rPr>
          <w:rFonts w:hint="cs"/>
          <w:rtl/>
        </w:rPr>
        <w:t>קופרמן</w:t>
      </w:r>
      <w:proofErr w:type="spellEnd"/>
      <w:r>
        <w:rPr>
          <w:rFonts w:hint="cs"/>
          <w:rtl/>
        </w:rPr>
        <w:t xml:space="preserve"> </w:t>
      </w:r>
      <w:proofErr w:type="spellStart"/>
      <w:r>
        <w:rPr>
          <w:rFonts w:hint="cs"/>
          <w:rtl/>
        </w:rPr>
        <w:t>לספורנו</w:t>
      </w:r>
      <w:proofErr w:type="spellEnd"/>
      <w:r>
        <w:rPr>
          <w:rFonts w:hint="cs"/>
          <w:rtl/>
        </w:rPr>
        <w:t xml:space="preserve">: "בעוד פרשת ויקרא קובעת את סוגי הקורבנות ואת מקומו של כל אחד ואחד במערכת הכללית של כפרת החוטא והתקרבותו של </w:t>
      </w:r>
      <w:proofErr w:type="spellStart"/>
      <w:r>
        <w:rPr>
          <w:rFonts w:hint="cs"/>
          <w:rtl/>
        </w:rPr>
        <w:t>הי"ת</w:t>
      </w:r>
      <w:proofErr w:type="spellEnd"/>
      <w:r>
        <w:rPr>
          <w:rFonts w:hint="cs"/>
          <w:rtl/>
        </w:rPr>
        <w:t xml:space="preserve">, פרשת צו עוסקת בפנימיותו של כל קורבן" (הרב </w:t>
      </w:r>
      <w:proofErr w:type="spellStart"/>
      <w:r>
        <w:rPr>
          <w:rFonts w:hint="cs"/>
          <w:rtl/>
        </w:rPr>
        <w:t>קופרמן</w:t>
      </w:r>
      <w:proofErr w:type="spellEnd"/>
      <w:r>
        <w:rPr>
          <w:rFonts w:hint="cs"/>
          <w:rtl/>
        </w:rPr>
        <w:t xml:space="preserve">, </w:t>
      </w:r>
      <w:r>
        <w:rPr>
          <w:rFonts w:hint="cs"/>
          <w:b/>
          <w:bCs/>
          <w:rtl/>
        </w:rPr>
        <w:t xml:space="preserve">פירוש </w:t>
      </w:r>
      <w:proofErr w:type="spellStart"/>
      <w:r>
        <w:rPr>
          <w:rFonts w:hint="cs"/>
          <w:b/>
          <w:bCs/>
          <w:rtl/>
        </w:rPr>
        <w:t>ספורנו</w:t>
      </w:r>
      <w:proofErr w:type="spellEnd"/>
      <w:r>
        <w:rPr>
          <w:rFonts w:hint="cs"/>
          <w:b/>
          <w:bCs/>
          <w:rtl/>
        </w:rPr>
        <w:t xml:space="preserve"> על התורה – מנוקד ומבואר</w:t>
      </w:r>
      <w:r>
        <w:rPr>
          <w:rFonts w:hint="cs"/>
          <w:rtl/>
        </w:rPr>
        <w:t>, ירושלים</w:t>
      </w:r>
      <w:r w:rsidR="00402F70">
        <w:rPr>
          <w:rFonts w:hint="cs"/>
          <w:rtl/>
        </w:rPr>
        <w:t xml:space="preserve"> תשנ"ב</w:t>
      </w:r>
      <w:r>
        <w:rPr>
          <w:rFonts w:hint="cs"/>
          <w:rtl/>
        </w:rPr>
        <w:t xml:space="preserve">, חלק ב, עמ' </w:t>
      </w:r>
      <w:proofErr w:type="spellStart"/>
      <w:r>
        <w:rPr>
          <w:rFonts w:hint="cs"/>
          <w:rtl/>
        </w:rPr>
        <w:t>יט</w:t>
      </w:r>
      <w:proofErr w:type="spellEnd"/>
      <w:r>
        <w:rPr>
          <w:rFonts w:hint="cs"/>
          <w:rtl/>
        </w:rPr>
        <w:t xml:space="preserve">). </w:t>
      </w:r>
    </w:p>
  </w:footnote>
  <w:footnote w:id="2">
    <w:p w14:paraId="7121E4CD" w14:textId="3189EF33" w:rsidR="0030121E" w:rsidRDefault="0030121E" w:rsidP="00E911A1">
      <w:pPr>
        <w:pStyle w:val="a3"/>
      </w:pPr>
      <w:r>
        <w:rPr>
          <w:rStyle w:val="a5"/>
          <w:rFonts w:eastAsia="Narkisim"/>
        </w:rPr>
        <w:footnoteRef/>
      </w:r>
      <w:r>
        <w:rPr>
          <w:rtl/>
        </w:rPr>
        <w:t xml:space="preserve"> </w:t>
      </w:r>
      <w:r>
        <w:rPr>
          <w:rtl/>
        </w:rPr>
        <w:tab/>
      </w:r>
      <w:proofErr w:type="spellStart"/>
      <w:r>
        <w:rPr>
          <w:rFonts w:hint="cs"/>
          <w:rtl/>
        </w:rPr>
        <w:t>הספרא</w:t>
      </w:r>
      <w:proofErr w:type="spellEnd"/>
      <w:r>
        <w:rPr>
          <w:rFonts w:hint="cs"/>
          <w:rtl/>
        </w:rPr>
        <w:t xml:space="preserve"> שבידינו, ובמיוחד חלוקתו לחטיבות משנה, משקף עריכה אחר עריכה, עד שקשה לעמוד על חלוקתו הראשונית. ראו על מורכבות זו במאמרו של </w:t>
      </w:r>
      <w:r w:rsidR="00402F70">
        <w:rPr>
          <w:rFonts w:hint="cs"/>
          <w:rtl/>
        </w:rPr>
        <w:t xml:space="preserve">שלמה </w:t>
      </w:r>
      <w:r>
        <w:rPr>
          <w:rFonts w:hint="cs"/>
          <w:rtl/>
        </w:rPr>
        <w:t xml:space="preserve">נאה, </w:t>
      </w:r>
      <w:r w:rsidR="00402F70">
        <w:rPr>
          <w:rFonts w:hint="cs"/>
          <w:rtl/>
        </w:rPr>
        <w:t>"</w:t>
      </w:r>
      <w:r>
        <w:rPr>
          <w:rFonts w:hint="cs"/>
          <w:rtl/>
        </w:rPr>
        <w:t>מבנהו וחלוקתו</w:t>
      </w:r>
      <w:r w:rsidR="00402F70">
        <w:rPr>
          <w:rFonts w:hint="cs"/>
          <w:rtl/>
        </w:rPr>
        <w:t xml:space="preserve"> של מדרש תורת כוהנים", </w:t>
      </w:r>
      <w:r w:rsidR="00402F70">
        <w:rPr>
          <w:rFonts w:hint="cs"/>
          <w:b/>
          <w:bCs/>
          <w:rtl/>
        </w:rPr>
        <w:t>תרביץ</w:t>
      </w:r>
      <w:r w:rsidR="00402F70">
        <w:rPr>
          <w:rFonts w:hint="cs"/>
          <w:rtl/>
        </w:rPr>
        <w:t xml:space="preserve"> </w:t>
      </w:r>
      <w:proofErr w:type="spellStart"/>
      <w:r w:rsidR="00402F70">
        <w:rPr>
          <w:rFonts w:hint="cs"/>
          <w:rtl/>
        </w:rPr>
        <w:t>סו</w:t>
      </w:r>
      <w:proofErr w:type="spellEnd"/>
      <w:r w:rsidR="00402F70">
        <w:rPr>
          <w:rFonts w:hint="cs"/>
          <w:rtl/>
        </w:rPr>
        <w:t xml:space="preserve"> (תשנ"ז), עמ' 515-485, ובחלקו השני של המאמר, </w:t>
      </w:r>
      <w:r w:rsidR="00402F70">
        <w:rPr>
          <w:rFonts w:hint="cs"/>
          <w:b/>
          <w:bCs/>
          <w:rtl/>
        </w:rPr>
        <w:t>תרביץ</w:t>
      </w:r>
      <w:r w:rsidR="00402F70">
        <w:rPr>
          <w:rFonts w:hint="cs"/>
          <w:rtl/>
        </w:rPr>
        <w:t xml:space="preserve"> סט (תש"ס), עמ' 104-59</w:t>
      </w:r>
      <w:r>
        <w:rPr>
          <w:rFonts w:hint="cs"/>
          <w:rtl/>
        </w:rPr>
        <w:t xml:space="preserve">. כפי שעולה ממאמרו, החלוקה בין </w:t>
      </w:r>
      <w:proofErr w:type="spellStart"/>
      <w:r>
        <w:rPr>
          <w:rFonts w:hint="cs"/>
          <w:rtl/>
        </w:rPr>
        <w:t>דבורא</w:t>
      </w:r>
      <w:proofErr w:type="spellEnd"/>
      <w:r>
        <w:rPr>
          <w:rFonts w:hint="cs"/>
          <w:rtl/>
        </w:rPr>
        <w:t xml:space="preserve"> </w:t>
      </w:r>
      <w:proofErr w:type="spellStart"/>
      <w:r>
        <w:rPr>
          <w:rFonts w:hint="cs"/>
          <w:rtl/>
        </w:rPr>
        <w:t>דחובה</w:t>
      </w:r>
      <w:proofErr w:type="spellEnd"/>
      <w:r>
        <w:rPr>
          <w:rFonts w:hint="cs"/>
          <w:rtl/>
        </w:rPr>
        <w:t xml:space="preserve"> </w:t>
      </w:r>
      <w:proofErr w:type="spellStart"/>
      <w:r>
        <w:rPr>
          <w:rFonts w:hint="cs"/>
          <w:rtl/>
        </w:rPr>
        <w:t>לדבורא</w:t>
      </w:r>
      <w:proofErr w:type="spellEnd"/>
      <w:r>
        <w:rPr>
          <w:rFonts w:hint="cs"/>
          <w:rtl/>
        </w:rPr>
        <w:t xml:space="preserve"> </w:t>
      </w:r>
      <w:proofErr w:type="spellStart"/>
      <w:r>
        <w:rPr>
          <w:rFonts w:hint="cs"/>
          <w:rtl/>
        </w:rPr>
        <w:t>דנדבה</w:t>
      </w:r>
      <w:proofErr w:type="spellEnd"/>
      <w:r>
        <w:rPr>
          <w:rFonts w:hint="cs"/>
          <w:rtl/>
        </w:rPr>
        <w:t xml:space="preserve"> משתקפת גם בחלוקות הקדומות של מדרש ההלכה (חלוקה ל'מגילות' שונות). ראו גם אצל </w:t>
      </w:r>
      <w:r w:rsidR="00402F70">
        <w:rPr>
          <w:rFonts w:hint="cs"/>
          <w:rtl/>
        </w:rPr>
        <w:t xml:space="preserve">ענת </w:t>
      </w:r>
      <w:proofErr w:type="spellStart"/>
      <w:r>
        <w:rPr>
          <w:rFonts w:hint="cs"/>
          <w:rtl/>
        </w:rPr>
        <w:t>רייזל</w:t>
      </w:r>
      <w:proofErr w:type="spellEnd"/>
      <w:r>
        <w:rPr>
          <w:rFonts w:hint="cs"/>
          <w:rtl/>
        </w:rPr>
        <w:t xml:space="preserve">, </w:t>
      </w:r>
      <w:r w:rsidRPr="00E911A1">
        <w:rPr>
          <w:rFonts w:hint="cs"/>
          <w:b/>
          <w:bCs/>
          <w:rtl/>
        </w:rPr>
        <w:t>מבוא למדרשים</w:t>
      </w:r>
      <w:r>
        <w:rPr>
          <w:rFonts w:hint="cs"/>
          <w:rtl/>
        </w:rPr>
        <w:t xml:space="preserve">, </w:t>
      </w:r>
      <w:r w:rsidR="00402F70">
        <w:rPr>
          <w:rFonts w:hint="cs"/>
          <w:rtl/>
        </w:rPr>
        <w:t xml:space="preserve">אלון שבות תשע"א, </w:t>
      </w:r>
      <w:r>
        <w:rPr>
          <w:rFonts w:hint="cs"/>
          <w:rtl/>
        </w:rPr>
        <w:t>עמ' 61</w:t>
      </w:r>
      <w:r>
        <w:rPr>
          <w:rFonts w:hint="cs"/>
          <w:rtl/>
        </w:rPr>
        <w:softHyphen/>
        <w:t>-64.</w:t>
      </w:r>
    </w:p>
  </w:footnote>
  <w:footnote w:id="3">
    <w:p w14:paraId="684F0860" w14:textId="14F9E889" w:rsidR="0030121E" w:rsidRDefault="0030121E" w:rsidP="00295414">
      <w:pPr>
        <w:pStyle w:val="a3"/>
        <w:rPr>
          <w:rtl/>
        </w:rPr>
      </w:pPr>
      <w:r>
        <w:rPr>
          <w:rStyle w:val="a5"/>
          <w:rFonts w:eastAsia="Narkisim"/>
        </w:rPr>
        <w:footnoteRef/>
      </w:r>
      <w:r>
        <w:t xml:space="preserve"> </w:t>
      </w:r>
      <w:r>
        <w:rPr>
          <w:rtl/>
        </w:rPr>
        <w:t xml:space="preserve"> </w:t>
      </w:r>
      <w:r>
        <w:rPr>
          <w:rtl/>
        </w:rPr>
        <w:tab/>
        <w:t>החלוקה בין קרבנות שהם קודש לקרבנות שהם קדושים במיוחד קיימת גם אצל עמים קדומים</w:t>
      </w:r>
      <w:r w:rsidR="00295414">
        <w:rPr>
          <w:rtl/>
        </w:rPr>
        <w:t xml:space="preserve"> אחרים – אצל המצרים ואצל החיתים</w:t>
      </w:r>
      <w:r>
        <w:rPr>
          <w:rtl/>
        </w:rPr>
        <w:t>. על כן יש אתגר מיוחד לברר מה חידשה תורה בהגדרות אלו על פני מה שהיה מקובל במזרח הקדום. נדון בהרחבה בהגדרת 'קודש קדשים' ובהשלכותיו בניתוח פרשת צו.</w:t>
      </w:r>
    </w:p>
  </w:footnote>
  <w:footnote w:id="4">
    <w:p w14:paraId="5B9114A0" w14:textId="77777777" w:rsidR="00E911A1" w:rsidRDefault="00E911A1" w:rsidP="00E911A1">
      <w:pPr>
        <w:pStyle w:val="a3"/>
        <w:rPr>
          <w:rtl/>
        </w:rPr>
      </w:pPr>
      <w:r>
        <w:rPr>
          <w:rStyle w:val="a5"/>
          <w:rFonts w:eastAsia="Narkisim"/>
        </w:rPr>
        <w:footnoteRef/>
      </w:r>
      <w:r>
        <w:rPr>
          <w:rtl/>
        </w:rPr>
        <w:t xml:space="preserve"> </w:t>
      </w:r>
      <w:r>
        <w:rPr>
          <w:rtl/>
        </w:rPr>
        <w:tab/>
      </w:r>
      <w:r>
        <w:rPr>
          <w:rFonts w:hint="cs"/>
          <w:rtl/>
        </w:rPr>
        <w:t xml:space="preserve">הרב ב' קהת, "חוקי הקרבנות </w:t>
      </w:r>
      <w:r>
        <w:rPr>
          <w:rFonts w:cstheme="minorBidi"/>
          <w:rtl/>
        </w:rPr>
        <w:t>–</w:t>
      </w:r>
      <w:r>
        <w:rPr>
          <w:rtl/>
        </w:rPr>
        <w:t xml:space="preserve"> פרשת ויקרא לעומת פרשת צו", </w:t>
      </w:r>
      <w:r>
        <w:rPr>
          <w:b/>
          <w:bCs/>
          <w:rtl/>
        </w:rPr>
        <w:t>מגדים</w:t>
      </w:r>
      <w:r>
        <w:rPr>
          <w:rtl/>
        </w:rPr>
        <w:t xml:space="preserve"> נד (תשע"ג), עמ' 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30121E" w:rsidRDefault="0030121E"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EF6A13">
      <w:rPr>
        <w:noProof/>
        <w:rtl/>
      </w:rPr>
      <w:t>2</w:t>
    </w:r>
    <w:r>
      <w:rPr>
        <w:rtl/>
      </w:rPr>
      <w:fldChar w:fldCharType="end"/>
    </w:r>
    <w:r>
      <w:rPr>
        <w:rtl/>
      </w:rPr>
      <w:t xml:space="preserve"> -</w:t>
    </w:r>
  </w:p>
  <w:p w14:paraId="453574CA" w14:textId="77777777" w:rsidR="0030121E" w:rsidRDefault="0030121E"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30121E" w:rsidRPr="006216C9" w14:paraId="3B079562" w14:textId="77777777" w:rsidTr="00FA1793">
      <w:tc>
        <w:tcPr>
          <w:tcW w:w="6506" w:type="dxa"/>
          <w:tcBorders>
            <w:bottom w:val="double" w:sz="4" w:space="0" w:color="auto"/>
          </w:tcBorders>
        </w:tcPr>
        <w:p w14:paraId="3AD8C92A" w14:textId="0314041C" w:rsidR="0030121E" w:rsidRPr="006216C9" w:rsidRDefault="0030121E"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30121E" w:rsidRPr="006216C9" w:rsidRDefault="0030121E"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30121E" w:rsidRPr="006216C9" w:rsidRDefault="0030121E" w:rsidP="006216C9">
          <w:pPr>
            <w:bidi w:val="0"/>
            <w:spacing w:after="0"/>
            <w:rPr>
              <w:sz w:val="22"/>
              <w:szCs w:val="22"/>
            </w:rPr>
          </w:pPr>
          <w:r w:rsidRPr="006216C9">
            <w:rPr>
              <w:sz w:val="22"/>
              <w:szCs w:val="22"/>
            </w:rPr>
            <w:t>www.vbm.etzion.org.il</w:t>
          </w:r>
        </w:p>
      </w:tc>
    </w:tr>
  </w:tbl>
  <w:p w14:paraId="2CFAB289" w14:textId="77777777" w:rsidR="0030121E" w:rsidRPr="00AC2922" w:rsidRDefault="0030121E"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1203"/>
    <w:multiLevelType w:val="hybridMultilevel"/>
    <w:tmpl w:val="6218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0D1942"/>
    <w:multiLevelType w:val="hybridMultilevel"/>
    <w:tmpl w:val="585E7048"/>
    <w:lvl w:ilvl="0" w:tplc="C9F8D9BA">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2100E"/>
    <w:multiLevelType w:val="hybridMultilevel"/>
    <w:tmpl w:val="FC08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6B061C"/>
    <w:multiLevelType w:val="hybridMultilevel"/>
    <w:tmpl w:val="161A3732"/>
    <w:lvl w:ilvl="0" w:tplc="C2C490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233EE6"/>
    <w:multiLevelType w:val="hybridMultilevel"/>
    <w:tmpl w:val="707CA0C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170C8B"/>
    <w:multiLevelType w:val="hybridMultilevel"/>
    <w:tmpl w:val="338E4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2760C"/>
    <w:multiLevelType w:val="hybridMultilevel"/>
    <w:tmpl w:val="D22680A0"/>
    <w:lvl w:ilvl="0" w:tplc="DE54CA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580B33"/>
    <w:multiLevelType w:val="hybridMultilevel"/>
    <w:tmpl w:val="62ACC3C2"/>
    <w:lvl w:ilvl="0" w:tplc="946693D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51A9E"/>
    <w:multiLevelType w:val="hybridMultilevel"/>
    <w:tmpl w:val="292CDF40"/>
    <w:lvl w:ilvl="0" w:tplc="3EF8088E">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1D5C0A"/>
    <w:multiLevelType w:val="hybridMultilevel"/>
    <w:tmpl w:val="6016C54E"/>
    <w:lvl w:ilvl="0" w:tplc="A158226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63D7108"/>
    <w:multiLevelType w:val="hybridMultilevel"/>
    <w:tmpl w:val="02302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574643"/>
    <w:multiLevelType w:val="hybridMultilevel"/>
    <w:tmpl w:val="B87E2ED8"/>
    <w:lvl w:ilvl="0" w:tplc="06FE7B1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8B24C05"/>
    <w:multiLevelType w:val="hybridMultilevel"/>
    <w:tmpl w:val="DF24E928"/>
    <w:lvl w:ilvl="0" w:tplc="32CAC93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15B37"/>
    <w:multiLevelType w:val="hybridMultilevel"/>
    <w:tmpl w:val="EBD608F2"/>
    <w:lvl w:ilvl="0" w:tplc="FC2CF0F8">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C233B7"/>
    <w:multiLevelType w:val="hybridMultilevel"/>
    <w:tmpl w:val="93A21A40"/>
    <w:lvl w:ilvl="0" w:tplc="BD2CC3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5D6935"/>
    <w:multiLevelType w:val="hybridMultilevel"/>
    <w:tmpl w:val="4B6E486E"/>
    <w:lvl w:ilvl="0" w:tplc="5580A4B6">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5"/>
  </w:num>
  <w:num w:numId="3">
    <w:abstractNumId w:val="6"/>
  </w:num>
  <w:num w:numId="4">
    <w:abstractNumId w:val="3"/>
  </w:num>
  <w:num w:numId="5">
    <w:abstractNumId w:val="2"/>
  </w:num>
  <w:num w:numId="6">
    <w:abstractNumId w:val="16"/>
  </w:num>
  <w:num w:numId="7">
    <w:abstractNumId w:val="4"/>
  </w:num>
  <w:num w:numId="8">
    <w:abstractNumId w:val="17"/>
  </w:num>
  <w:num w:numId="9">
    <w:abstractNumId w:val="13"/>
  </w:num>
  <w:num w:numId="10">
    <w:abstractNumId w:val="8"/>
  </w:num>
  <w:num w:numId="11">
    <w:abstractNumId w:val="0"/>
  </w:num>
  <w:num w:numId="12">
    <w:abstractNumId w:val="12"/>
  </w:num>
  <w:num w:numId="13">
    <w:abstractNumId w:val="10"/>
  </w:num>
  <w:num w:numId="14">
    <w:abstractNumId w:val="1"/>
  </w:num>
  <w:num w:numId="15">
    <w:abstractNumId w:val="7"/>
  </w:num>
  <w:num w:numId="16">
    <w:abstractNumId w:val="5"/>
  </w:num>
  <w:num w:numId="17">
    <w:abstractNumId w:val="14"/>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63F"/>
    <w:rsid w:val="00015437"/>
    <w:rsid w:val="00015C4E"/>
    <w:rsid w:val="00017774"/>
    <w:rsid w:val="00026734"/>
    <w:rsid w:val="00032E49"/>
    <w:rsid w:val="00040A12"/>
    <w:rsid w:val="00043F83"/>
    <w:rsid w:val="00056413"/>
    <w:rsid w:val="00057741"/>
    <w:rsid w:val="00062C83"/>
    <w:rsid w:val="0006305C"/>
    <w:rsid w:val="00072052"/>
    <w:rsid w:val="00074142"/>
    <w:rsid w:val="0007734B"/>
    <w:rsid w:val="000773F4"/>
    <w:rsid w:val="000845ED"/>
    <w:rsid w:val="00085CA6"/>
    <w:rsid w:val="00086970"/>
    <w:rsid w:val="000A1BE6"/>
    <w:rsid w:val="000A56FC"/>
    <w:rsid w:val="000A5D16"/>
    <w:rsid w:val="000A7A3E"/>
    <w:rsid w:val="000C5EDE"/>
    <w:rsid w:val="000D25BF"/>
    <w:rsid w:val="000D4260"/>
    <w:rsid w:val="000E3B5A"/>
    <w:rsid w:val="000F641A"/>
    <w:rsid w:val="001051EE"/>
    <w:rsid w:val="00106143"/>
    <w:rsid w:val="00113861"/>
    <w:rsid w:val="001162A4"/>
    <w:rsid w:val="00120E03"/>
    <w:rsid w:val="00122E5A"/>
    <w:rsid w:val="00125BFF"/>
    <w:rsid w:val="00126DB2"/>
    <w:rsid w:val="00130F07"/>
    <w:rsid w:val="00144C37"/>
    <w:rsid w:val="00146C1D"/>
    <w:rsid w:val="001571DB"/>
    <w:rsid w:val="00160BB3"/>
    <w:rsid w:val="001615CD"/>
    <w:rsid w:val="00163EE5"/>
    <w:rsid w:val="00171247"/>
    <w:rsid w:val="00175D42"/>
    <w:rsid w:val="001771DB"/>
    <w:rsid w:val="001820F1"/>
    <w:rsid w:val="001852B1"/>
    <w:rsid w:val="0018776A"/>
    <w:rsid w:val="00190FEA"/>
    <w:rsid w:val="001A5C79"/>
    <w:rsid w:val="001A6573"/>
    <w:rsid w:val="001B0107"/>
    <w:rsid w:val="001B7F24"/>
    <w:rsid w:val="001C1CAA"/>
    <w:rsid w:val="001C4E63"/>
    <w:rsid w:val="001E1D48"/>
    <w:rsid w:val="001E3883"/>
    <w:rsid w:val="002115E2"/>
    <w:rsid w:val="00211DA7"/>
    <w:rsid w:val="00214428"/>
    <w:rsid w:val="00223CEC"/>
    <w:rsid w:val="002314D2"/>
    <w:rsid w:val="00244928"/>
    <w:rsid w:val="0025188F"/>
    <w:rsid w:val="00252934"/>
    <w:rsid w:val="00254CCB"/>
    <w:rsid w:val="00260AA2"/>
    <w:rsid w:val="002635D1"/>
    <w:rsid w:val="00267C22"/>
    <w:rsid w:val="002744D7"/>
    <w:rsid w:val="00281070"/>
    <w:rsid w:val="002826F7"/>
    <w:rsid w:val="00293BED"/>
    <w:rsid w:val="0029412F"/>
    <w:rsid w:val="00295414"/>
    <w:rsid w:val="002A26CA"/>
    <w:rsid w:val="002A7264"/>
    <w:rsid w:val="002B33FB"/>
    <w:rsid w:val="002B3B0F"/>
    <w:rsid w:val="002B4D51"/>
    <w:rsid w:val="002B6CA6"/>
    <w:rsid w:val="002C33E6"/>
    <w:rsid w:val="002C3C5F"/>
    <w:rsid w:val="002D22C4"/>
    <w:rsid w:val="002E0589"/>
    <w:rsid w:val="002E098C"/>
    <w:rsid w:val="002E0D3F"/>
    <w:rsid w:val="002E417E"/>
    <w:rsid w:val="002E65D7"/>
    <w:rsid w:val="0030121E"/>
    <w:rsid w:val="00304682"/>
    <w:rsid w:val="00307245"/>
    <w:rsid w:val="003128B3"/>
    <w:rsid w:val="00323FBD"/>
    <w:rsid w:val="00324177"/>
    <w:rsid w:val="00324BEF"/>
    <w:rsid w:val="003403F3"/>
    <w:rsid w:val="00346874"/>
    <w:rsid w:val="00351974"/>
    <w:rsid w:val="003531FA"/>
    <w:rsid w:val="00356341"/>
    <w:rsid w:val="00367299"/>
    <w:rsid w:val="0037776B"/>
    <w:rsid w:val="003833E1"/>
    <w:rsid w:val="00383BEA"/>
    <w:rsid w:val="003A57E9"/>
    <w:rsid w:val="003A67F4"/>
    <w:rsid w:val="003B10E1"/>
    <w:rsid w:val="003B38FF"/>
    <w:rsid w:val="003B480F"/>
    <w:rsid w:val="003B482F"/>
    <w:rsid w:val="003B5490"/>
    <w:rsid w:val="003C07F9"/>
    <w:rsid w:val="003C1DF2"/>
    <w:rsid w:val="003C1F10"/>
    <w:rsid w:val="003C65D7"/>
    <w:rsid w:val="003D7E06"/>
    <w:rsid w:val="003E3654"/>
    <w:rsid w:val="003E6B7E"/>
    <w:rsid w:val="003E7DF7"/>
    <w:rsid w:val="003F0F92"/>
    <w:rsid w:val="00402F70"/>
    <w:rsid w:val="00405665"/>
    <w:rsid w:val="00413028"/>
    <w:rsid w:val="004148C3"/>
    <w:rsid w:val="00421EAB"/>
    <w:rsid w:val="00431FA5"/>
    <w:rsid w:val="00432922"/>
    <w:rsid w:val="00440618"/>
    <w:rsid w:val="00440B94"/>
    <w:rsid w:val="00475741"/>
    <w:rsid w:val="00476985"/>
    <w:rsid w:val="00476D9D"/>
    <w:rsid w:val="00477C74"/>
    <w:rsid w:val="00484DA1"/>
    <w:rsid w:val="00486E88"/>
    <w:rsid w:val="0049613D"/>
    <w:rsid w:val="004A2571"/>
    <w:rsid w:val="004A4A66"/>
    <w:rsid w:val="004D0C20"/>
    <w:rsid w:val="004F2997"/>
    <w:rsid w:val="004F7707"/>
    <w:rsid w:val="005221B7"/>
    <w:rsid w:val="00526F83"/>
    <w:rsid w:val="00527203"/>
    <w:rsid w:val="005342F8"/>
    <w:rsid w:val="00537C4E"/>
    <w:rsid w:val="005515D3"/>
    <w:rsid w:val="00557B56"/>
    <w:rsid w:val="00560304"/>
    <w:rsid w:val="005615C3"/>
    <w:rsid w:val="0057194E"/>
    <w:rsid w:val="00575C0F"/>
    <w:rsid w:val="00576198"/>
    <w:rsid w:val="005932A1"/>
    <w:rsid w:val="005A4E5A"/>
    <w:rsid w:val="005B08DB"/>
    <w:rsid w:val="005B11E9"/>
    <w:rsid w:val="005C06E5"/>
    <w:rsid w:val="005C53F3"/>
    <w:rsid w:val="005C5B0A"/>
    <w:rsid w:val="005D4972"/>
    <w:rsid w:val="005D5DBD"/>
    <w:rsid w:val="005E50E0"/>
    <w:rsid w:val="005E65BE"/>
    <w:rsid w:val="005F7954"/>
    <w:rsid w:val="00603920"/>
    <w:rsid w:val="00607423"/>
    <w:rsid w:val="006126F5"/>
    <w:rsid w:val="00612A40"/>
    <w:rsid w:val="006216C9"/>
    <w:rsid w:val="0062196F"/>
    <w:rsid w:val="00621C68"/>
    <w:rsid w:val="00622528"/>
    <w:rsid w:val="0062477E"/>
    <w:rsid w:val="00625DC3"/>
    <w:rsid w:val="0063660F"/>
    <w:rsid w:val="00640ED2"/>
    <w:rsid w:val="00643178"/>
    <w:rsid w:val="0064335B"/>
    <w:rsid w:val="00643B0D"/>
    <w:rsid w:val="0065284D"/>
    <w:rsid w:val="00660BD6"/>
    <w:rsid w:val="00664FE2"/>
    <w:rsid w:val="00666CEB"/>
    <w:rsid w:val="00670F7F"/>
    <w:rsid w:val="00680CBB"/>
    <w:rsid w:val="006860DF"/>
    <w:rsid w:val="00692B3F"/>
    <w:rsid w:val="006A086B"/>
    <w:rsid w:val="006A4F72"/>
    <w:rsid w:val="006B09D1"/>
    <w:rsid w:val="006B648A"/>
    <w:rsid w:val="006C1C74"/>
    <w:rsid w:val="006D74BE"/>
    <w:rsid w:val="006E3F9D"/>
    <w:rsid w:val="006F016B"/>
    <w:rsid w:val="00701021"/>
    <w:rsid w:val="00711334"/>
    <w:rsid w:val="007115F7"/>
    <w:rsid w:val="0072125D"/>
    <w:rsid w:val="00731FFA"/>
    <w:rsid w:val="00732736"/>
    <w:rsid w:val="00737519"/>
    <w:rsid w:val="00743AC7"/>
    <w:rsid w:val="00760C49"/>
    <w:rsid w:val="007660B3"/>
    <w:rsid w:val="007738DC"/>
    <w:rsid w:val="00773907"/>
    <w:rsid w:val="007763BC"/>
    <w:rsid w:val="007769B1"/>
    <w:rsid w:val="0077787E"/>
    <w:rsid w:val="00781669"/>
    <w:rsid w:val="00785703"/>
    <w:rsid w:val="0079116D"/>
    <w:rsid w:val="007915D4"/>
    <w:rsid w:val="007A3B6C"/>
    <w:rsid w:val="007A3EDF"/>
    <w:rsid w:val="007A4217"/>
    <w:rsid w:val="007A5439"/>
    <w:rsid w:val="007B118B"/>
    <w:rsid w:val="007B2890"/>
    <w:rsid w:val="007B2CFF"/>
    <w:rsid w:val="007B5D21"/>
    <w:rsid w:val="007C0DC9"/>
    <w:rsid w:val="007C2346"/>
    <w:rsid w:val="007C3A49"/>
    <w:rsid w:val="007C7C70"/>
    <w:rsid w:val="007D5680"/>
    <w:rsid w:val="007E7BBB"/>
    <w:rsid w:val="007F0B79"/>
    <w:rsid w:val="007F2116"/>
    <w:rsid w:val="00810D7F"/>
    <w:rsid w:val="00820E72"/>
    <w:rsid w:val="00827253"/>
    <w:rsid w:val="00827967"/>
    <w:rsid w:val="008309A4"/>
    <w:rsid w:val="00880F6C"/>
    <w:rsid w:val="00890769"/>
    <w:rsid w:val="00896063"/>
    <w:rsid w:val="00897D94"/>
    <w:rsid w:val="008A0C18"/>
    <w:rsid w:val="008A5995"/>
    <w:rsid w:val="008C0A08"/>
    <w:rsid w:val="008C169E"/>
    <w:rsid w:val="008C1C3B"/>
    <w:rsid w:val="008D059F"/>
    <w:rsid w:val="008D1AC0"/>
    <w:rsid w:val="008E2357"/>
    <w:rsid w:val="008E644F"/>
    <w:rsid w:val="008F1D1E"/>
    <w:rsid w:val="008F503B"/>
    <w:rsid w:val="008F6244"/>
    <w:rsid w:val="008F62ED"/>
    <w:rsid w:val="00901EEB"/>
    <w:rsid w:val="009179AD"/>
    <w:rsid w:val="009201A2"/>
    <w:rsid w:val="0092030C"/>
    <w:rsid w:val="00922523"/>
    <w:rsid w:val="00933CB5"/>
    <w:rsid w:val="0094617E"/>
    <w:rsid w:val="00950244"/>
    <w:rsid w:val="0095654A"/>
    <w:rsid w:val="009565EF"/>
    <w:rsid w:val="009611B3"/>
    <w:rsid w:val="009737F2"/>
    <w:rsid w:val="009757AF"/>
    <w:rsid w:val="009769CF"/>
    <w:rsid w:val="009929C4"/>
    <w:rsid w:val="009978F6"/>
    <w:rsid w:val="009A0FB2"/>
    <w:rsid w:val="009B1EE6"/>
    <w:rsid w:val="009B2B8D"/>
    <w:rsid w:val="009C15BC"/>
    <w:rsid w:val="009C7DF2"/>
    <w:rsid w:val="009D18C3"/>
    <w:rsid w:val="009D49AE"/>
    <w:rsid w:val="009D5EF8"/>
    <w:rsid w:val="009F61BF"/>
    <w:rsid w:val="00A04FE1"/>
    <w:rsid w:val="00A058B1"/>
    <w:rsid w:val="00A11992"/>
    <w:rsid w:val="00A16E40"/>
    <w:rsid w:val="00A17DAF"/>
    <w:rsid w:val="00A34ADA"/>
    <w:rsid w:val="00A3624F"/>
    <w:rsid w:val="00A4449A"/>
    <w:rsid w:val="00A47B1D"/>
    <w:rsid w:val="00A51A07"/>
    <w:rsid w:val="00A70ABB"/>
    <w:rsid w:val="00A7255C"/>
    <w:rsid w:val="00A74AB1"/>
    <w:rsid w:val="00AA4FCC"/>
    <w:rsid w:val="00AA6B58"/>
    <w:rsid w:val="00AB39B7"/>
    <w:rsid w:val="00AB415E"/>
    <w:rsid w:val="00AB6820"/>
    <w:rsid w:val="00AC2A83"/>
    <w:rsid w:val="00AC2DE1"/>
    <w:rsid w:val="00AD10A8"/>
    <w:rsid w:val="00AE1049"/>
    <w:rsid w:val="00AF38C2"/>
    <w:rsid w:val="00B01054"/>
    <w:rsid w:val="00B048C7"/>
    <w:rsid w:val="00B06009"/>
    <w:rsid w:val="00B163C7"/>
    <w:rsid w:val="00B16C72"/>
    <w:rsid w:val="00B16F98"/>
    <w:rsid w:val="00B24B4D"/>
    <w:rsid w:val="00B265C9"/>
    <w:rsid w:val="00B307A7"/>
    <w:rsid w:val="00B35366"/>
    <w:rsid w:val="00B35C31"/>
    <w:rsid w:val="00B36EAE"/>
    <w:rsid w:val="00B46B08"/>
    <w:rsid w:val="00B54C6C"/>
    <w:rsid w:val="00B74501"/>
    <w:rsid w:val="00BA5C53"/>
    <w:rsid w:val="00BB1BB6"/>
    <w:rsid w:val="00BB34C2"/>
    <w:rsid w:val="00BB3B92"/>
    <w:rsid w:val="00BB52ED"/>
    <w:rsid w:val="00BC5418"/>
    <w:rsid w:val="00BD0D01"/>
    <w:rsid w:val="00BD5546"/>
    <w:rsid w:val="00BE0E97"/>
    <w:rsid w:val="00BF08BD"/>
    <w:rsid w:val="00BF58B6"/>
    <w:rsid w:val="00C02D94"/>
    <w:rsid w:val="00C03545"/>
    <w:rsid w:val="00C1023C"/>
    <w:rsid w:val="00C20987"/>
    <w:rsid w:val="00C26085"/>
    <w:rsid w:val="00C354A3"/>
    <w:rsid w:val="00C52156"/>
    <w:rsid w:val="00C5501D"/>
    <w:rsid w:val="00C55677"/>
    <w:rsid w:val="00C5614D"/>
    <w:rsid w:val="00C568B6"/>
    <w:rsid w:val="00C6058B"/>
    <w:rsid w:val="00C72129"/>
    <w:rsid w:val="00C83636"/>
    <w:rsid w:val="00C96E9D"/>
    <w:rsid w:val="00CA437A"/>
    <w:rsid w:val="00CA5B1B"/>
    <w:rsid w:val="00CB2FAC"/>
    <w:rsid w:val="00CB57A1"/>
    <w:rsid w:val="00CC46FB"/>
    <w:rsid w:val="00CC5DA5"/>
    <w:rsid w:val="00CD5CB8"/>
    <w:rsid w:val="00CD6003"/>
    <w:rsid w:val="00CD7181"/>
    <w:rsid w:val="00CE2C48"/>
    <w:rsid w:val="00CE7E7C"/>
    <w:rsid w:val="00CF0678"/>
    <w:rsid w:val="00CF3213"/>
    <w:rsid w:val="00CF67A5"/>
    <w:rsid w:val="00D02643"/>
    <w:rsid w:val="00D037D3"/>
    <w:rsid w:val="00D0716C"/>
    <w:rsid w:val="00D139EF"/>
    <w:rsid w:val="00D30F71"/>
    <w:rsid w:val="00D347EF"/>
    <w:rsid w:val="00D356BC"/>
    <w:rsid w:val="00D47C2F"/>
    <w:rsid w:val="00D57205"/>
    <w:rsid w:val="00D61AEB"/>
    <w:rsid w:val="00D61D45"/>
    <w:rsid w:val="00D64984"/>
    <w:rsid w:val="00D67641"/>
    <w:rsid w:val="00D73A0A"/>
    <w:rsid w:val="00D774DD"/>
    <w:rsid w:val="00D84B04"/>
    <w:rsid w:val="00D8770D"/>
    <w:rsid w:val="00DA0136"/>
    <w:rsid w:val="00DB0322"/>
    <w:rsid w:val="00DB6C23"/>
    <w:rsid w:val="00DB7921"/>
    <w:rsid w:val="00DC775F"/>
    <w:rsid w:val="00DD08BF"/>
    <w:rsid w:val="00DD1649"/>
    <w:rsid w:val="00DD4BCD"/>
    <w:rsid w:val="00DE1653"/>
    <w:rsid w:val="00DE73FF"/>
    <w:rsid w:val="00DF5A0E"/>
    <w:rsid w:val="00E00BC5"/>
    <w:rsid w:val="00E06D13"/>
    <w:rsid w:val="00E10C99"/>
    <w:rsid w:val="00E10E63"/>
    <w:rsid w:val="00E413D7"/>
    <w:rsid w:val="00E439D4"/>
    <w:rsid w:val="00E4747F"/>
    <w:rsid w:val="00E63C2D"/>
    <w:rsid w:val="00E71307"/>
    <w:rsid w:val="00E722C5"/>
    <w:rsid w:val="00E72351"/>
    <w:rsid w:val="00E821CF"/>
    <w:rsid w:val="00E84C14"/>
    <w:rsid w:val="00E86FBD"/>
    <w:rsid w:val="00E911A1"/>
    <w:rsid w:val="00E938A1"/>
    <w:rsid w:val="00E9649B"/>
    <w:rsid w:val="00EA4D37"/>
    <w:rsid w:val="00EB5DCB"/>
    <w:rsid w:val="00EC4F4D"/>
    <w:rsid w:val="00ED6810"/>
    <w:rsid w:val="00ED7E69"/>
    <w:rsid w:val="00ED7E8E"/>
    <w:rsid w:val="00EE3D1F"/>
    <w:rsid w:val="00EE65AA"/>
    <w:rsid w:val="00EE6BA8"/>
    <w:rsid w:val="00EF1289"/>
    <w:rsid w:val="00EF3ADE"/>
    <w:rsid w:val="00EF5DED"/>
    <w:rsid w:val="00EF6A13"/>
    <w:rsid w:val="00F06356"/>
    <w:rsid w:val="00F12266"/>
    <w:rsid w:val="00F20EA0"/>
    <w:rsid w:val="00F3187A"/>
    <w:rsid w:val="00F3664E"/>
    <w:rsid w:val="00F57159"/>
    <w:rsid w:val="00F64205"/>
    <w:rsid w:val="00F749E4"/>
    <w:rsid w:val="00F77CC4"/>
    <w:rsid w:val="00F831F1"/>
    <w:rsid w:val="00F8507B"/>
    <w:rsid w:val="00F920C3"/>
    <w:rsid w:val="00FA1793"/>
    <w:rsid w:val="00FC05EF"/>
    <w:rsid w:val="00FC75F5"/>
    <w:rsid w:val="00FD5983"/>
    <w:rsid w:val="00FD765F"/>
    <w:rsid w:val="00FD7FCE"/>
    <w:rsid w:val="00FE203F"/>
    <w:rsid w:val="00FE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9B036CD"/>
  <w15:docId w15:val="{0E7F581D-E88E-4202-B744-30927F3A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9B02-FAF0-45FA-BA7B-BC0A7DF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2276</Words>
  <Characters>11432</Characters>
  <Application>Microsoft Office Word</Application>
  <DocSecurity>0</DocSecurity>
  <Lines>95</Lines>
  <Paragraphs>27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13681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דבורה ברקוביץ</cp:lastModifiedBy>
  <cp:revision>2</cp:revision>
  <cp:lastPrinted>2001-10-24T10:13:00Z</cp:lastPrinted>
  <dcterms:created xsi:type="dcterms:W3CDTF">2018-05-03T09:54:00Z</dcterms:created>
  <dcterms:modified xsi:type="dcterms:W3CDTF">2018-05-03T09:54:00Z</dcterms:modified>
</cp:coreProperties>
</file>