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F11F71" w14:textId="77777777" w:rsidR="00104B6F" w:rsidRDefault="00104B6F" w:rsidP="00BD28A4">
      <w:pPr>
        <w:shd w:val="clear" w:color="auto" w:fill="FFFFFF"/>
        <w:tabs>
          <w:tab w:val="left" w:pos="720"/>
        </w:tabs>
        <w:spacing w:line="240" w:lineRule="auto"/>
        <w:jc w:val="center"/>
        <w:rPr>
          <w:rFonts w:asciiTheme="minorBidi" w:eastAsia="Times New Roman" w:hAnsiTheme="minorBidi" w:cstheme="minorBidi"/>
          <w:color w:val="222222"/>
          <w:sz w:val="24"/>
          <w:szCs w:val="24"/>
        </w:rPr>
      </w:pPr>
      <w:bookmarkStart w:id="0" w:name="_GoBack"/>
      <w:r>
        <w:rPr>
          <w:rFonts w:asciiTheme="minorBidi" w:eastAsia="Times New Roman" w:hAnsiTheme="minorBidi" w:cstheme="minorBidi"/>
          <w:caps/>
          <w:color w:val="222222"/>
          <w:sz w:val="24"/>
          <w:szCs w:val="24"/>
          <w:lang w:val="en-GB"/>
        </w:rPr>
        <w:t>YESHIVAT HAR ETZION</w:t>
      </w:r>
    </w:p>
    <w:p w14:paraId="004FFA36" w14:textId="77777777" w:rsidR="00104B6F" w:rsidRDefault="00104B6F" w:rsidP="00BD28A4">
      <w:pPr>
        <w:shd w:val="clear" w:color="auto" w:fill="FFFFFF"/>
        <w:tabs>
          <w:tab w:val="left" w:pos="720"/>
        </w:tabs>
        <w:spacing w:line="240" w:lineRule="auto"/>
        <w:jc w:val="center"/>
        <w:rPr>
          <w:rFonts w:asciiTheme="minorBidi" w:eastAsia="Times New Roman" w:hAnsiTheme="minorBidi" w:cstheme="minorBidi"/>
          <w:color w:val="222222"/>
          <w:sz w:val="24"/>
          <w:szCs w:val="24"/>
        </w:rPr>
      </w:pPr>
      <w:r>
        <w:rPr>
          <w:rFonts w:asciiTheme="minorBidi" w:eastAsia="Times New Roman" w:hAnsiTheme="minorBidi" w:cstheme="minorBidi"/>
          <w:caps/>
          <w:color w:val="222222"/>
          <w:sz w:val="24"/>
          <w:szCs w:val="24"/>
          <w:lang w:val="en-GB"/>
        </w:rPr>
        <w:t>ISRAEL KOSCHITZKY VIRTUAL BEIT MIDRASH (VBM)</w:t>
      </w:r>
    </w:p>
    <w:p w14:paraId="173E9A06" w14:textId="77777777" w:rsidR="00104B6F" w:rsidRDefault="00104B6F" w:rsidP="00BD28A4">
      <w:pPr>
        <w:shd w:val="clear" w:color="auto" w:fill="FFFFFF"/>
        <w:tabs>
          <w:tab w:val="left" w:pos="720"/>
        </w:tabs>
        <w:spacing w:line="240" w:lineRule="auto"/>
        <w:jc w:val="center"/>
        <w:rPr>
          <w:rFonts w:asciiTheme="minorBidi" w:eastAsia="Times New Roman" w:hAnsiTheme="minorBidi" w:cstheme="minorBidi"/>
          <w:color w:val="222222"/>
          <w:sz w:val="24"/>
          <w:szCs w:val="24"/>
        </w:rPr>
      </w:pPr>
      <w:r>
        <w:rPr>
          <w:rFonts w:asciiTheme="minorBidi" w:eastAsia="Times New Roman" w:hAnsiTheme="minorBidi" w:cstheme="minorBidi"/>
          <w:caps/>
          <w:color w:val="222222"/>
          <w:sz w:val="24"/>
          <w:szCs w:val="24"/>
          <w:lang w:val="en-GB"/>
        </w:rPr>
        <w:t>*********************************************************</w:t>
      </w:r>
    </w:p>
    <w:p w14:paraId="57A798B1" w14:textId="77777777" w:rsidR="00104B6F" w:rsidRDefault="00104B6F" w:rsidP="00BD28A4">
      <w:pPr>
        <w:shd w:val="clear" w:color="auto" w:fill="FFFFFF"/>
        <w:tabs>
          <w:tab w:val="left" w:pos="720"/>
        </w:tabs>
        <w:spacing w:line="240" w:lineRule="auto"/>
        <w:jc w:val="center"/>
        <w:rPr>
          <w:rFonts w:asciiTheme="minorBidi" w:eastAsia="Times New Roman" w:hAnsiTheme="minorBidi" w:cstheme="minorBidi"/>
          <w:color w:val="222222"/>
          <w:sz w:val="24"/>
          <w:szCs w:val="24"/>
        </w:rPr>
      </w:pPr>
    </w:p>
    <w:p w14:paraId="5399B591" w14:textId="77777777" w:rsidR="00104B6F" w:rsidRDefault="00104B6F" w:rsidP="00BD28A4">
      <w:pPr>
        <w:shd w:val="clear" w:color="auto" w:fill="FFFFFF"/>
        <w:tabs>
          <w:tab w:val="left" w:pos="720"/>
        </w:tabs>
        <w:spacing w:line="240" w:lineRule="auto"/>
        <w:jc w:val="center"/>
        <w:rPr>
          <w:rFonts w:asciiTheme="minorBidi" w:eastAsia="Times New Roman" w:hAnsiTheme="minorBidi" w:cstheme="minorBidi"/>
          <w:color w:val="222222"/>
          <w:sz w:val="24"/>
          <w:szCs w:val="24"/>
        </w:rPr>
      </w:pPr>
      <w:r>
        <w:rPr>
          <w:rFonts w:asciiTheme="minorBidi" w:eastAsia="Times New Roman" w:hAnsiTheme="minorBidi" w:cstheme="minorBidi"/>
          <w:b/>
          <w:bCs/>
          <w:caps/>
          <w:color w:val="222222"/>
          <w:sz w:val="24"/>
          <w:szCs w:val="24"/>
        </w:rPr>
        <w:t>TORAH STUDY</w:t>
      </w:r>
    </w:p>
    <w:p w14:paraId="4AD763FA" w14:textId="77777777" w:rsidR="00104B6F" w:rsidRDefault="00104B6F" w:rsidP="00BD28A4">
      <w:pPr>
        <w:shd w:val="clear" w:color="auto" w:fill="FFFFFF"/>
        <w:tabs>
          <w:tab w:val="left" w:pos="720"/>
        </w:tabs>
        <w:spacing w:line="240" w:lineRule="auto"/>
        <w:jc w:val="center"/>
        <w:rPr>
          <w:rFonts w:asciiTheme="minorBidi" w:eastAsia="Times New Roman" w:hAnsiTheme="minorBidi" w:cstheme="minorBidi"/>
          <w:b/>
          <w:bCs/>
          <w:color w:val="222222"/>
          <w:sz w:val="24"/>
          <w:szCs w:val="24"/>
        </w:rPr>
      </w:pPr>
      <w:r>
        <w:rPr>
          <w:rFonts w:asciiTheme="minorBidi" w:eastAsia="Times New Roman" w:hAnsiTheme="minorBidi" w:cstheme="minorBidi"/>
          <w:b/>
          <w:bCs/>
          <w:color w:val="222222"/>
          <w:sz w:val="24"/>
          <w:szCs w:val="24"/>
        </w:rPr>
        <w:t>By Rav Tzvi Sinensky</w:t>
      </w:r>
    </w:p>
    <w:p w14:paraId="442341AA" w14:textId="77777777" w:rsidR="00104B6F" w:rsidRDefault="00104B6F" w:rsidP="00BD28A4">
      <w:pPr>
        <w:shd w:val="clear" w:color="auto" w:fill="FFFFFF"/>
        <w:spacing w:line="240" w:lineRule="auto"/>
        <w:jc w:val="center"/>
        <w:rPr>
          <w:b/>
          <w:sz w:val="24"/>
          <w:szCs w:val="24"/>
          <w:u w:val="single"/>
        </w:rPr>
      </w:pPr>
    </w:p>
    <w:p w14:paraId="179AFA6A" w14:textId="77777777" w:rsidR="00104B6F" w:rsidRDefault="00104B6F" w:rsidP="00BD28A4">
      <w:pPr>
        <w:spacing w:line="240" w:lineRule="auto"/>
        <w:jc w:val="center"/>
        <w:rPr>
          <w:b/>
          <w:sz w:val="24"/>
          <w:szCs w:val="24"/>
        </w:rPr>
      </w:pPr>
    </w:p>
    <w:p w14:paraId="2F857E50" w14:textId="77777777" w:rsidR="00104B6F" w:rsidRDefault="00104B6F" w:rsidP="00BD28A4">
      <w:pPr>
        <w:spacing w:line="240" w:lineRule="auto"/>
        <w:jc w:val="center"/>
        <w:rPr>
          <w:b/>
          <w:sz w:val="24"/>
          <w:szCs w:val="24"/>
        </w:rPr>
      </w:pPr>
      <w:r w:rsidRPr="00C416A2">
        <w:rPr>
          <w:b/>
          <w:iCs/>
          <w:sz w:val="24"/>
          <w:szCs w:val="24"/>
        </w:rPr>
        <w:t>Shiur</w:t>
      </w:r>
      <w:r w:rsidR="00B8566C">
        <w:rPr>
          <w:b/>
          <w:sz w:val="24"/>
          <w:szCs w:val="24"/>
        </w:rPr>
        <w:t xml:space="preserve"> #04</w:t>
      </w:r>
      <w:r w:rsidR="0031596C">
        <w:rPr>
          <w:b/>
          <w:sz w:val="24"/>
          <w:szCs w:val="24"/>
        </w:rPr>
        <w:t xml:space="preserve">: </w:t>
      </w:r>
      <w:r>
        <w:rPr>
          <w:b/>
          <w:sz w:val="24"/>
          <w:szCs w:val="24"/>
        </w:rPr>
        <w:t xml:space="preserve">The Purpose of </w:t>
      </w:r>
      <w:r>
        <w:rPr>
          <w:b/>
          <w:i/>
          <w:sz w:val="24"/>
          <w:szCs w:val="24"/>
        </w:rPr>
        <w:t>T</w:t>
      </w:r>
      <w:r w:rsidRPr="00104B6F">
        <w:rPr>
          <w:b/>
          <w:i/>
          <w:sz w:val="24"/>
          <w:szCs w:val="24"/>
        </w:rPr>
        <w:t>almud Torah</w:t>
      </w:r>
      <w:r>
        <w:rPr>
          <w:b/>
          <w:sz w:val="24"/>
          <w:szCs w:val="24"/>
        </w:rPr>
        <w:t>, Part 2</w:t>
      </w:r>
    </w:p>
    <w:p w14:paraId="2F4B99AE" w14:textId="77777777" w:rsidR="00104B6F" w:rsidRDefault="00104B6F" w:rsidP="00BD28A4">
      <w:pPr>
        <w:spacing w:line="240" w:lineRule="auto"/>
        <w:jc w:val="both"/>
        <w:rPr>
          <w:sz w:val="24"/>
          <w:szCs w:val="24"/>
        </w:rPr>
      </w:pPr>
    </w:p>
    <w:p w14:paraId="02538128" w14:textId="77777777" w:rsidR="00104B6F" w:rsidRDefault="00104B6F" w:rsidP="00BD28A4">
      <w:pPr>
        <w:spacing w:line="240" w:lineRule="auto"/>
        <w:jc w:val="both"/>
        <w:rPr>
          <w:sz w:val="24"/>
          <w:szCs w:val="24"/>
        </w:rPr>
      </w:pPr>
    </w:p>
    <w:p w14:paraId="588E7FF2" w14:textId="77777777" w:rsidR="00104B6F" w:rsidRDefault="00104B6F" w:rsidP="00BD28A4">
      <w:pPr>
        <w:spacing w:line="240" w:lineRule="auto"/>
        <w:jc w:val="both"/>
        <w:rPr>
          <w:sz w:val="24"/>
          <w:szCs w:val="24"/>
        </w:rPr>
      </w:pPr>
      <w:r>
        <w:rPr>
          <w:sz w:val="24"/>
          <w:szCs w:val="24"/>
        </w:rPr>
        <w:t xml:space="preserve">Last week we began summarizing the different views concerning the goal of Torah study. After exploring the instrumentalist view, which sees </w:t>
      </w:r>
      <w:r w:rsidRPr="00104B6F">
        <w:rPr>
          <w:i/>
          <w:sz w:val="24"/>
          <w:szCs w:val="24"/>
        </w:rPr>
        <w:t>talmud Torah</w:t>
      </w:r>
      <w:r>
        <w:rPr>
          <w:sz w:val="24"/>
          <w:szCs w:val="24"/>
        </w:rPr>
        <w:t xml:space="preserve"> as primarily a vehicle for attaining knowledge, as well as Chazon Ish’s view that Torah study refines our characters as commanded individuals, we noted that the Chasidic theology of panentheism, which maintains that God encompasses and supersedes the physical universe, inclines toward the view that the purpose of </w:t>
      </w:r>
      <w:r w:rsidRPr="00104B6F">
        <w:rPr>
          <w:i/>
          <w:sz w:val="24"/>
          <w:szCs w:val="24"/>
        </w:rPr>
        <w:t>talmud Torah</w:t>
      </w:r>
      <w:r>
        <w:rPr>
          <w:sz w:val="24"/>
          <w:szCs w:val="24"/>
        </w:rPr>
        <w:t xml:space="preserve"> is to cultivate </w:t>
      </w:r>
      <w:r w:rsidRPr="00104B6F">
        <w:rPr>
          <w:i/>
          <w:sz w:val="24"/>
          <w:szCs w:val="24"/>
        </w:rPr>
        <w:t>deveikut</w:t>
      </w:r>
      <w:r>
        <w:rPr>
          <w:sz w:val="24"/>
          <w:szCs w:val="24"/>
        </w:rPr>
        <w:t xml:space="preserve">, clinging to the divine. We concluded by noting the position of R. </w:t>
      </w:r>
      <w:r w:rsidRPr="00104B6F">
        <w:rPr>
          <w:sz w:val="24"/>
          <w:szCs w:val="24"/>
        </w:rPr>
        <w:t>Chayim</w:t>
      </w:r>
      <w:r>
        <w:rPr>
          <w:sz w:val="24"/>
          <w:szCs w:val="24"/>
        </w:rPr>
        <w:t xml:space="preserve"> Volozhin, who sees </w:t>
      </w:r>
      <w:r w:rsidRPr="00104B6F">
        <w:rPr>
          <w:i/>
          <w:sz w:val="24"/>
          <w:szCs w:val="24"/>
        </w:rPr>
        <w:t>talmud Torah</w:t>
      </w:r>
      <w:r>
        <w:rPr>
          <w:sz w:val="24"/>
          <w:szCs w:val="24"/>
        </w:rPr>
        <w:t xml:space="preserve"> as essential to ensuring the universe’s ongoing existence. This week we will examine a few additional perspectives on the purpose of </w:t>
      </w:r>
      <w:r w:rsidRPr="00104B6F">
        <w:rPr>
          <w:i/>
          <w:sz w:val="24"/>
          <w:szCs w:val="24"/>
        </w:rPr>
        <w:t>talmud Torah</w:t>
      </w:r>
      <w:r>
        <w:rPr>
          <w:sz w:val="24"/>
          <w:szCs w:val="24"/>
        </w:rPr>
        <w:t xml:space="preserve">. </w:t>
      </w:r>
    </w:p>
    <w:p w14:paraId="6DCF4B65" w14:textId="77777777" w:rsidR="00104B6F" w:rsidRDefault="00104B6F" w:rsidP="00BD28A4">
      <w:pPr>
        <w:spacing w:line="240" w:lineRule="auto"/>
        <w:jc w:val="both"/>
        <w:rPr>
          <w:sz w:val="24"/>
          <w:szCs w:val="24"/>
        </w:rPr>
      </w:pPr>
    </w:p>
    <w:p w14:paraId="448C426D" w14:textId="77777777" w:rsidR="00104B6F" w:rsidRDefault="00104B6F" w:rsidP="00BD28A4">
      <w:pPr>
        <w:spacing w:line="240" w:lineRule="auto"/>
        <w:jc w:val="both"/>
        <w:rPr>
          <w:sz w:val="24"/>
          <w:szCs w:val="24"/>
        </w:rPr>
      </w:pPr>
      <w:r>
        <w:rPr>
          <w:sz w:val="24"/>
          <w:szCs w:val="24"/>
        </w:rPr>
        <w:t xml:space="preserve">A fifth approach to the significance of Torah study links </w:t>
      </w:r>
      <w:r w:rsidRPr="00104B6F">
        <w:rPr>
          <w:i/>
          <w:sz w:val="24"/>
          <w:szCs w:val="24"/>
        </w:rPr>
        <w:t>talmud Torah</w:t>
      </w:r>
      <w:r>
        <w:rPr>
          <w:sz w:val="24"/>
          <w:szCs w:val="24"/>
        </w:rPr>
        <w:t xml:space="preserve"> back to the revelation at Sinai: each time we study Torah, we reinforce our connection to that formative event. There are a variety of sources th</w:t>
      </w:r>
      <w:r w:rsidR="00B8566C">
        <w:rPr>
          <w:sz w:val="24"/>
          <w:szCs w:val="24"/>
        </w:rPr>
        <w:t>at lend support</w:t>
      </w:r>
      <w:r w:rsidR="00C37E2F">
        <w:rPr>
          <w:sz w:val="24"/>
          <w:szCs w:val="24"/>
        </w:rPr>
        <w:t xml:space="preserve"> to this theory. F</w:t>
      </w:r>
      <w:r>
        <w:rPr>
          <w:sz w:val="24"/>
          <w:szCs w:val="24"/>
        </w:rPr>
        <w:t>or instance, the Gemara (</w:t>
      </w:r>
      <w:r>
        <w:rPr>
          <w:i/>
          <w:sz w:val="24"/>
          <w:szCs w:val="24"/>
        </w:rPr>
        <w:t>Berakhot</w:t>
      </w:r>
      <w:r>
        <w:rPr>
          <w:sz w:val="24"/>
          <w:szCs w:val="24"/>
        </w:rPr>
        <w:t xml:space="preserve"> 22a, </w:t>
      </w:r>
      <w:r w:rsidR="003F5BA4">
        <w:rPr>
          <w:i/>
          <w:sz w:val="24"/>
          <w:szCs w:val="24"/>
        </w:rPr>
        <w:t>Mo’ed</w:t>
      </w:r>
      <w:r>
        <w:rPr>
          <w:i/>
          <w:sz w:val="24"/>
          <w:szCs w:val="24"/>
        </w:rPr>
        <w:t xml:space="preserve"> Katan</w:t>
      </w:r>
      <w:r w:rsidR="00B8566C">
        <w:rPr>
          <w:sz w:val="24"/>
          <w:szCs w:val="24"/>
        </w:rPr>
        <w:t xml:space="preserve"> 15a) seeks</w:t>
      </w:r>
      <w:r>
        <w:rPr>
          <w:sz w:val="24"/>
          <w:szCs w:val="24"/>
        </w:rPr>
        <w:t xml:space="preserve"> to account for the view of Rabbi Yehuda that one who experience</w:t>
      </w:r>
      <w:r w:rsidR="00B8566C">
        <w:rPr>
          <w:sz w:val="24"/>
          <w:szCs w:val="24"/>
        </w:rPr>
        <w:t>s</w:t>
      </w:r>
      <w:r>
        <w:rPr>
          <w:sz w:val="24"/>
          <w:szCs w:val="24"/>
        </w:rPr>
        <w:t xml:space="preserve"> a seminal emission (</w:t>
      </w:r>
      <w:r>
        <w:rPr>
          <w:i/>
          <w:sz w:val="24"/>
          <w:szCs w:val="24"/>
        </w:rPr>
        <w:t>ba’al keri</w:t>
      </w:r>
      <w:r w:rsidR="00B8566C">
        <w:rPr>
          <w:sz w:val="24"/>
          <w:szCs w:val="24"/>
        </w:rPr>
        <w:t>) may not study Torah:</w:t>
      </w:r>
    </w:p>
    <w:p w14:paraId="53DD1641" w14:textId="77777777" w:rsidR="00104B6F" w:rsidRDefault="00104B6F" w:rsidP="00BD28A4">
      <w:pPr>
        <w:spacing w:line="240" w:lineRule="auto"/>
        <w:jc w:val="both"/>
        <w:rPr>
          <w:sz w:val="24"/>
          <w:szCs w:val="24"/>
        </w:rPr>
      </w:pPr>
    </w:p>
    <w:p w14:paraId="63ABA077" w14:textId="77777777" w:rsidR="00104B6F" w:rsidRDefault="00104B6F" w:rsidP="00BD28A4">
      <w:pPr>
        <w:spacing w:line="240" w:lineRule="auto"/>
        <w:ind w:left="720"/>
        <w:jc w:val="both"/>
        <w:rPr>
          <w:sz w:val="24"/>
          <w:szCs w:val="24"/>
        </w:rPr>
      </w:pPr>
      <w:r>
        <w:rPr>
          <w:sz w:val="24"/>
          <w:szCs w:val="24"/>
        </w:rPr>
        <w:t xml:space="preserve">As it was taught in a </w:t>
      </w:r>
      <w:r>
        <w:rPr>
          <w:i/>
          <w:sz w:val="24"/>
          <w:szCs w:val="24"/>
        </w:rPr>
        <w:t>baraita</w:t>
      </w:r>
      <w:r>
        <w:rPr>
          <w:sz w:val="24"/>
          <w:szCs w:val="24"/>
        </w:rPr>
        <w:t xml:space="preserve">: It </w:t>
      </w:r>
      <w:r w:rsidRPr="00B8566C">
        <w:rPr>
          <w:sz w:val="24"/>
          <w:szCs w:val="24"/>
        </w:rPr>
        <w:t>is written: “And you shall impart them to your children and your children’s children” (</w:t>
      </w:r>
      <w:r w:rsidRPr="00B8566C">
        <w:rPr>
          <w:i/>
          <w:sz w:val="24"/>
          <w:szCs w:val="24"/>
        </w:rPr>
        <w:t xml:space="preserve">Devarim </w:t>
      </w:r>
      <w:hyperlink r:id="rId7" w:history="1">
        <w:r w:rsidRPr="00B8566C">
          <w:rPr>
            <w:rStyle w:val="Hyperlink"/>
            <w:color w:val="auto"/>
            <w:sz w:val="24"/>
            <w:szCs w:val="24"/>
            <w:u w:val="none"/>
          </w:rPr>
          <w:t>4:9</w:t>
        </w:r>
      </w:hyperlink>
      <w:r w:rsidRPr="00B8566C">
        <w:rPr>
          <w:sz w:val="24"/>
          <w:szCs w:val="24"/>
        </w:rPr>
        <w:t>), and it is written thereafter: “The day that you stood b</w:t>
      </w:r>
      <w:r w:rsidR="00B8566C">
        <w:rPr>
          <w:sz w:val="24"/>
          <w:szCs w:val="24"/>
        </w:rPr>
        <w:t>efore the Lord your God at Chorev</w:t>
      </w:r>
      <w:r w:rsidRPr="00B8566C">
        <w:rPr>
          <w:sz w:val="24"/>
          <w:szCs w:val="24"/>
        </w:rPr>
        <w:t>” (</w:t>
      </w:r>
      <w:r w:rsidRPr="00B8566C">
        <w:rPr>
          <w:i/>
          <w:sz w:val="24"/>
          <w:szCs w:val="24"/>
        </w:rPr>
        <w:t xml:space="preserve">Devarim </w:t>
      </w:r>
      <w:hyperlink r:id="rId8" w:history="1">
        <w:r w:rsidRPr="00B8566C">
          <w:rPr>
            <w:rStyle w:val="Hyperlink"/>
            <w:color w:val="auto"/>
            <w:sz w:val="24"/>
            <w:szCs w:val="24"/>
            <w:u w:val="none"/>
          </w:rPr>
          <w:t>4:10</w:t>
        </w:r>
      </w:hyperlink>
      <w:r w:rsidRPr="00B8566C">
        <w:rPr>
          <w:sz w:val="24"/>
          <w:szCs w:val="24"/>
        </w:rPr>
        <w:t>). Just as below, the Revelation at Sinai was in reverence, fear, quaking, and tremblin</w:t>
      </w:r>
      <w:r>
        <w:rPr>
          <w:sz w:val="24"/>
          <w:szCs w:val="24"/>
        </w:rPr>
        <w:t xml:space="preserve">g, so too here, in every generation, Torah must be studied with a sense of reverence, fear, quaking, and trembling. </w:t>
      </w:r>
    </w:p>
    <w:p w14:paraId="4A37E1CD" w14:textId="77777777" w:rsidR="00104B6F" w:rsidRDefault="00104B6F" w:rsidP="00BD28A4">
      <w:pPr>
        <w:spacing w:line="240" w:lineRule="auto"/>
        <w:jc w:val="both"/>
        <w:rPr>
          <w:sz w:val="24"/>
          <w:szCs w:val="24"/>
        </w:rPr>
      </w:pPr>
    </w:p>
    <w:p w14:paraId="5CDE56E1" w14:textId="77777777" w:rsidR="00104B6F" w:rsidRDefault="00104B6F" w:rsidP="00BD28A4">
      <w:pPr>
        <w:spacing w:line="240" w:lineRule="auto"/>
        <w:jc w:val="both"/>
        <w:rPr>
          <w:sz w:val="24"/>
          <w:szCs w:val="24"/>
        </w:rPr>
      </w:pPr>
      <w:r>
        <w:rPr>
          <w:sz w:val="24"/>
          <w:szCs w:val="24"/>
        </w:rPr>
        <w:t xml:space="preserve">This implies that, at least according to Rabbi Yehuda, the </w:t>
      </w:r>
      <w:r>
        <w:rPr>
          <w:i/>
          <w:sz w:val="24"/>
          <w:szCs w:val="24"/>
        </w:rPr>
        <w:t>halakhot</w:t>
      </w:r>
      <w:r>
        <w:rPr>
          <w:sz w:val="24"/>
          <w:szCs w:val="24"/>
        </w:rPr>
        <w:t xml:space="preserve"> of daily engagement in Torah study, especially as concerns its emotional experience, are framed by that which was appropriate during </w:t>
      </w:r>
      <w:r>
        <w:rPr>
          <w:i/>
          <w:sz w:val="24"/>
          <w:szCs w:val="24"/>
        </w:rPr>
        <w:t>Matan Torah</w:t>
      </w:r>
      <w:r>
        <w:rPr>
          <w:sz w:val="24"/>
          <w:szCs w:val="24"/>
        </w:rPr>
        <w:t xml:space="preserve"> proper. In particular, as we will see in future </w:t>
      </w:r>
      <w:r w:rsidRPr="00104B6F">
        <w:rPr>
          <w:i/>
          <w:sz w:val="24"/>
          <w:szCs w:val="24"/>
        </w:rPr>
        <w:t>shiurim</w:t>
      </w:r>
      <w:r>
        <w:rPr>
          <w:sz w:val="24"/>
          <w:szCs w:val="24"/>
        </w:rPr>
        <w:t xml:space="preserve">, public </w:t>
      </w:r>
      <w:r w:rsidRPr="00104B6F">
        <w:rPr>
          <w:i/>
          <w:sz w:val="24"/>
          <w:szCs w:val="24"/>
        </w:rPr>
        <w:t>talmud Torah</w:t>
      </w:r>
      <w:r>
        <w:rPr>
          <w:sz w:val="24"/>
          <w:szCs w:val="24"/>
        </w:rPr>
        <w:t xml:space="preserve">, such as Torah reading and </w:t>
      </w:r>
      <w:r w:rsidRPr="00B8566C">
        <w:rPr>
          <w:i/>
          <w:iCs/>
          <w:sz w:val="24"/>
          <w:szCs w:val="24"/>
        </w:rPr>
        <w:t>Hakhel</w:t>
      </w:r>
      <w:r w:rsidR="00B8566C">
        <w:rPr>
          <w:sz w:val="24"/>
          <w:szCs w:val="24"/>
        </w:rPr>
        <w:t>, exemplify</w:t>
      </w:r>
      <w:r>
        <w:rPr>
          <w:sz w:val="24"/>
          <w:szCs w:val="24"/>
        </w:rPr>
        <w:t xml:space="preserve"> this motif of Torah study particularly well. </w:t>
      </w:r>
    </w:p>
    <w:p w14:paraId="58B7D4AC" w14:textId="77777777" w:rsidR="00B8566C" w:rsidRDefault="00B8566C" w:rsidP="00BD28A4">
      <w:pPr>
        <w:spacing w:line="240" w:lineRule="auto"/>
        <w:jc w:val="both"/>
        <w:rPr>
          <w:sz w:val="24"/>
          <w:szCs w:val="24"/>
        </w:rPr>
      </w:pPr>
    </w:p>
    <w:p w14:paraId="1F66A9A5" w14:textId="77777777" w:rsidR="00104B6F" w:rsidRDefault="00104B6F" w:rsidP="00BD28A4">
      <w:pPr>
        <w:spacing w:line="240" w:lineRule="auto"/>
        <w:jc w:val="both"/>
        <w:rPr>
          <w:sz w:val="24"/>
          <w:szCs w:val="24"/>
        </w:rPr>
      </w:pPr>
    </w:p>
    <w:p w14:paraId="4086ECA4" w14:textId="77777777" w:rsidR="00104B6F" w:rsidRDefault="00104B6F" w:rsidP="00BD28A4">
      <w:pPr>
        <w:spacing w:line="240" w:lineRule="auto"/>
        <w:jc w:val="both"/>
        <w:rPr>
          <w:b/>
          <w:sz w:val="24"/>
          <w:szCs w:val="24"/>
        </w:rPr>
      </w:pPr>
      <w:r>
        <w:rPr>
          <w:b/>
          <w:sz w:val="24"/>
          <w:szCs w:val="24"/>
        </w:rPr>
        <w:t>Additional Perspectives</w:t>
      </w:r>
    </w:p>
    <w:p w14:paraId="13313748" w14:textId="77777777" w:rsidR="00104B6F" w:rsidRDefault="00104B6F" w:rsidP="00BD28A4">
      <w:pPr>
        <w:spacing w:line="240" w:lineRule="auto"/>
        <w:jc w:val="both"/>
        <w:rPr>
          <w:sz w:val="24"/>
          <w:szCs w:val="24"/>
        </w:rPr>
      </w:pPr>
      <w:r>
        <w:rPr>
          <w:sz w:val="24"/>
          <w:szCs w:val="24"/>
        </w:rPr>
        <w:t>In addition to the reasons outlined above, we may note a number of additional be</w:t>
      </w:r>
      <w:r w:rsidR="00B8566C">
        <w:rPr>
          <w:sz w:val="24"/>
          <w:szCs w:val="24"/>
        </w:rPr>
        <w:t>nefits to be gained from</w:t>
      </w:r>
      <w:r w:rsidR="00EF7D23">
        <w:rPr>
          <w:sz w:val="24"/>
          <w:szCs w:val="24"/>
        </w:rPr>
        <w:t xml:space="preserve"> Torah study. </w:t>
      </w:r>
      <w:r>
        <w:rPr>
          <w:sz w:val="24"/>
          <w:szCs w:val="24"/>
        </w:rPr>
        <w:t xml:space="preserve">17th-century proponents of </w:t>
      </w:r>
      <w:r>
        <w:rPr>
          <w:i/>
          <w:sz w:val="24"/>
          <w:szCs w:val="24"/>
        </w:rPr>
        <w:t>pilpul</w:t>
      </w:r>
      <w:r w:rsidR="00EF7D23">
        <w:rPr>
          <w:sz w:val="24"/>
          <w:szCs w:val="24"/>
        </w:rPr>
        <w:t xml:space="preserve">, a </w:t>
      </w:r>
      <w:r>
        <w:rPr>
          <w:sz w:val="24"/>
          <w:szCs w:val="24"/>
        </w:rPr>
        <w:t>s</w:t>
      </w:r>
      <w:r w:rsidR="00EF7D23">
        <w:rPr>
          <w:sz w:val="24"/>
          <w:szCs w:val="24"/>
        </w:rPr>
        <w:t xml:space="preserve">tyle </w:t>
      </w:r>
      <w:r w:rsidR="00EF7D23">
        <w:rPr>
          <w:sz w:val="24"/>
          <w:szCs w:val="24"/>
        </w:rPr>
        <w:lastRenderedPageBreak/>
        <w:t>of Gemara study based on intense textual analysis, contended that</w:t>
      </w:r>
      <w:r>
        <w:rPr>
          <w:sz w:val="24"/>
          <w:szCs w:val="24"/>
        </w:rPr>
        <w:t xml:space="preserve"> Talmud study in particular helps to sharpen the intellectual abilities of its students. What is more, Torah stud</w:t>
      </w:r>
      <w:r w:rsidR="00EF7D23">
        <w:rPr>
          <w:sz w:val="24"/>
          <w:szCs w:val="24"/>
        </w:rPr>
        <w:t>y, especially compared to</w:t>
      </w:r>
      <w:r>
        <w:rPr>
          <w:sz w:val="24"/>
          <w:szCs w:val="24"/>
        </w:rPr>
        <w:t xml:space="preserve"> the </w:t>
      </w:r>
      <w:r w:rsidR="00EF7D23">
        <w:rPr>
          <w:sz w:val="24"/>
          <w:szCs w:val="24"/>
        </w:rPr>
        <w:t xml:space="preserve">previously dominant </w:t>
      </w:r>
      <w:r>
        <w:rPr>
          <w:sz w:val="24"/>
          <w:szCs w:val="24"/>
        </w:rPr>
        <w:t>Te</w:t>
      </w:r>
      <w:r w:rsidR="00EF7D23">
        <w:rPr>
          <w:sz w:val="24"/>
          <w:szCs w:val="24"/>
        </w:rPr>
        <w:t>mple-centric mode of worship</w:t>
      </w:r>
      <w:r>
        <w:rPr>
          <w:sz w:val="24"/>
          <w:szCs w:val="24"/>
        </w:rPr>
        <w:t xml:space="preserve">, contains a democratic streak that helps to make religious experience available to a broader population. Thus, Rambam </w:t>
      </w:r>
      <w:r w:rsidR="00EF7D23">
        <w:rPr>
          <w:sz w:val="24"/>
          <w:szCs w:val="24"/>
        </w:rPr>
        <w:t xml:space="preserve">writes </w:t>
      </w:r>
      <w:r>
        <w:rPr>
          <w:sz w:val="24"/>
          <w:szCs w:val="24"/>
        </w:rPr>
        <w:t>(</w:t>
      </w:r>
      <w:r>
        <w:rPr>
          <w:i/>
          <w:sz w:val="24"/>
          <w:szCs w:val="24"/>
        </w:rPr>
        <w:t xml:space="preserve">Hilkhot </w:t>
      </w:r>
      <w:r w:rsidR="00DF027E">
        <w:rPr>
          <w:i/>
          <w:sz w:val="24"/>
          <w:szCs w:val="24"/>
        </w:rPr>
        <w:t>T</w:t>
      </w:r>
      <w:r w:rsidRPr="00104B6F">
        <w:rPr>
          <w:i/>
          <w:sz w:val="24"/>
          <w:szCs w:val="24"/>
        </w:rPr>
        <w:t>almud Torah</w:t>
      </w:r>
      <w:r>
        <w:rPr>
          <w:i/>
          <w:sz w:val="24"/>
          <w:szCs w:val="24"/>
        </w:rPr>
        <w:t xml:space="preserve"> </w:t>
      </w:r>
      <w:r>
        <w:rPr>
          <w:sz w:val="24"/>
          <w:szCs w:val="24"/>
        </w:rPr>
        <w:t xml:space="preserve">3:1), based on </w:t>
      </w:r>
      <w:r>
        <w:rPr>
          <w:i/>
          <w:sz w:val="24"/>
          <w:szCs w:val="24"/>
        </w:rPr>
        <w:t>Yoma</w:t>
      </w:r>
      <w:r>
        <w:rPr>
          <w:sz w:val="24"/>
          <w:szCs w:val="24"/>
        </w:rPr>
        <w:t xml:space="preserve"> 72b (see Rashi ibid. s.v. </w:t>
      </w:r>
      <w:r w:rsidR="00DF027E">
        <w:rPr>
          <w:i/>
          <w:sz w:val="24"/>
          <w:szCs w:val="24"/>
        </w:rPr>
        <w:t>S</w:t>
      </w:r>
      <w:r>
        <w:rPr>
          <w:i/>
          <w:sz w:val="24"/>
          <w:szCs w:val="24"/>
        </w:rPr>
        <w:t>helosha</w:t>
      </w:r>
      <w:r>
        <w:rPr>
          <w:sz w:val="24"/>
          <w:szCs w:val="24"/>
        </w:rPr>
        <w:t>)</w:t>
      </w:r>
      <w:r w:rsidR="00EF7D23">
        <w:rPr>
          <w:sz w:val="24"/>
          <w:szCs w:val="24"/>
        </w:rPr>
        <w:t xml:space="preserve">: </w:t>
      </w:r>
      <w:r>
        <w:rPr>
          <w:sz w:val="24"/>
          <w:szCs w:val="24"/>
        </w:rPr>
        <w:t>“Israel is crowned with three crowns: the crown of Torah, the crown of Priesthood, and the crown of Kingship... the crown of Torah stands ready for all of Israel [to take], as it says (</w:t>
      </w:r>
      <w:r>
        <w:rPr>
          <w:i/>
          <w:sz w:val="24"/>
          <w:szCs w:val="24"/>
        </w:rPr>
        <w:t>Devarim</w:t>
      </w:r>
      <w:r>
        <w:rPr>
          <w:sz w:val="24"/>
          <w:szCs w:val="24"/>
        </w:rPr>
        <w:t xml:space="preserve"> 33:4), ‘The Torah was commanded by Moshe as an inheritance for the congregation of Yaakov.’ Anyone who desires can come and take it.” In modern times, when Torah is arguably being studied by more people and in greater quantity than at any previous point in history, </w:t>
      </w:r>
      <w:r>
        <w:rPr>
          <w:color w:val="666666"/>
          <w:sz w:val="24"/>
          <w:szCs w:val="24"/>
        </w:rPr>
        <w:t>w</w:t>
      </w:r>
      <w:r>
        <w:rPr>
          <w:sz w:val="24"/>
          <w:szCs w:val="24"/>
        </w:rPr>
        <w:t>e are witnesses to the fruit born of this opportunity.</w:t>
      </w:r>
    </w:p>
    <w:p w14:paraId="6222879E" w14:textId="77777777" w:rsidR="00104B6F" w:rsidRDefault="00104B6F" w:rsidP="00BD28A4">
      <w:pPr>
        <w:spacing w:line="240" w:lineRule="auto"/>
        <w:jc w:val="both"/>
        <w:rPr>
          <w:sz w:val="24"/>
          <w:szCs w:val="24"/>
        </w:rPr>
      </w:pPr>
    </w:p>
    <w:p w14:paraId="61B996A8" w14:textId="77777777" w:rsidR="00EF7D23" w:rsidRDefault="00EF7D23" w:rsidP="00BD28A4">
      <w:pPr>
        <w:spacing w:line="240" w:lineRule="auto"/>
        <w:jc w:val="both"/>
        <w:rPr>
          <w:sz w:val="24"/>
          <w:szCs w:val="24"/>
        </w:rPr>
      </w:pPr>
    </w:p>
    <w:p w14:paraId="27D59834" w14:textId="77777777" w:rsidR="00104B6F" w:rsidRDefault="00104B6F" w:rsidP="00BD28A4">
      <w:pPr>
        <w:spacing w:line="240" w:lineRule="auto"/>
        <w:jc w:val="both"/>
        <w:rPr>
          <w:b/>
          <w:sz w:val="24"/>
          <w:szCs w:val="24"/>
        </w:rPr>
      </w:pPr>
      <w:r>
        <w:rPr>
          <w:b/>
          <w:sz w:val="24"/>
          <w:szCs w:val="24"/>
        </w:rPr>
        <w:t>Complementary Approaches</w:t>
      </w:r>
    </w:p>
    <w:p w14:paraId="483CCF51" w14:textId="77777777" w:rsidR="00104B6F" w:rsidRDefault="00104B6F" w:rsidP="00BD28A4">
      <w:pPr>
        <w:spacing w:line="240" w:lineRule="auto"/>
        <w:jc w:val="both"/>
        <w:rPr>
          <w:sz w:val="24"/>
          <w:szCs w:val="24"/>
        </w:rPr>
      </w:pPr>
      <w:r>
        <w:rPr>
          <w:sz w:val="24"/>
          <w:szCs w:val="24"/>
        </w:rPr>
        <w:t>Of course, the different approaches we have outlined are far from mutually exclusive. Indeed, they may well be seen as complementary. For ins</w:t>
      </w:r>
      <w:r w:rsidR="00DF027E">
        <w:rPr>
          <w:sz w:val="24"/>
          <w:szCs w:val="24"/>
        </w:rPr>
        <w:t>tance, R. Shneur Zalman of Lyady</w:t>
      </w:r>
      <w:r>
        <w:rPr>
          <w:sz w:val="24"/>
          <w:szCs w:val="24"/>
        </w:rPr>
        <w:t xml:space="preserve"> (</w:t>
      </w:r>
      <w:r>
        <w:rPr>
          <w:i/>
          <w:sz w:val="24"/>
          <w:szCs w:val="24"/>
        </w:rPr>
        <w:t>Shulchan Arukh Ha</w:t>
      </w:r>
      <w:r w:rsidR="00DF027E">
        <w:rPr>
          <w:i/>
          <w:sz w:val="24"/>
          <w:szCs w:val="24"/>
        </w:rPr>
        <w:t>-r</w:t>
      </w:r>
      <w:r>
        <w:rPr>
          <w:i/>
          <w:sz w:val="24"/>
          <w:szCs w:val="24"/>
        </w:rPr>
        <w:t>av</w:t>
      </w:r>
      <w:r>
        <w:rPr>
          <w:sz w:val="24"/>
          <w:szCs w:val="24"/>
        </w:rPr>
        <w:t xml:space="preserve"> 3:4) maintains that there is a dual obligation: to</w:t>
      </w:r>
      <w:r w:rsidR="00EF7D23">
        <w:rPr>
          <w:sz w:val="24"/>
          <w:szCs w:val="24"/>
        </w:rPr>
        <w:t xml:space="preserve"> study Torah a</w:t>
      </w:r>
      <w:r>
        <w:rPr>
          <w:sz w:val="24"/>
          <w:szCs w:val="24"/>
        </w:rPr>
        <w:t xml:space="preserve">nd </w:t>
      </w:r>
      <w:r w:rsidR="00EF7D23">
        <w:rPr>
          <w:sz w:val="24"/>
          <w:szCs w:val="24"/>
        </w:rPr>
        <w:t xml:space="preserve">to </w:t>
      </w:r>
      <w:r>
        <w:rPr>
          <w:sz w:val="24"/>
          <w:szCs w:val="24"/>
        </w:rPr>
        <w:t>know Torah. He derives this from the Gemara itself, which in one place (</w:t>
      </w:r>
      <w:r w:rsidR="00DF027E">
        <w:rPr>
          <w:i/>
          <w:sz w:val="24"/>
          <w:szCs w:val="24"/>
        </w:rPr>
        <w:t>Menachot</w:t>
      </w:r>
      <w:r>
        <w:rPr>
          <w:sz w:val="24"/>
          <w:szCs w:val="24"/>
        </w:rPr>
        <w:t xml:space="preserve"> 99b) seems to rule that one need not study more than</w:t>
      </w:r>
      <w:r w:rsidR="00EF7D23">
        <w:rPr>
          <w:sz w:val="24"/>
          <w:szCs w:val="24"/>
        </w:rPr>
        <w:t xml:space="preserve"> a </w:t>
      </w:r>
      <w:r w:rsidR="00D21F08">
        <w:rPr>
          <w:sz w:val="24"/>
          <w:szCs w:val="24"/>
        </w:rPr>
        <w:t>minimal</w:t>
      </w:r>
      <w:r w:rsidR="00EF7D23">
        <w:rPr>
          <w:sz w:val="24"/>
          <w:szCs w:val="24"/>
        </w:rPr>
        <w:t xml:space="preserve"> amount each</w:t>
      </w:r>
      <w:r>
        <w:rPr>
          <w:sz w:val="24"/>
          <w:szCs w:val="24"/>
        </w:rPr>
        <w:t xml:space="preserve"> morning and evening, and elsewhere (</w:t>
      </w:r>
      <w:r>
        <w:rPr>
          <w:i/>
          <w:sz w:val="24"/>
          <w:szCs w:val="24"/>
        </w:rPr>
        <w:t>Kiddushin</w:t>
      </w:r>
      <w:r>
        <w:rPr>
          <w:sz w:val="24"/>
          <w:szCs w:val="24"/>
        </w:rPr>
        <w:t xml:space="preserve"> 30a) rules based on “</w:t>
      </w:r>
      <w:r w:rsidR="00EF7D23">
        <w:rPr>
          <w:i/>
          <w:sz w:val="24"/>
          <w:szCs w:val="24"/>
        </w:rPr>
        <w:t>V</w:t>
      </w:r>
      <w:r>
        <w:rPr>
          <w:i/>
          <w:sz w:val="24"/>
          <w:szCs w:val="24"/>
        </w:rPr>
        <w:t>e-shinantam</w:t>
      </w:r>
      <w:r>
        <w:rPr>
          <w:sz w:val="24"/>
          <w:szCs w:val="24"/>
        </w:rPr>
        <w:t>” that one must know the entirety of the Torah. How can one come to know so much Torah by merely studying briefly twice a</w:t>
      </w:r>
      <w:r w:rsidR="00DF027E">
        <w:rPr>
          <w:sz w:val="24"/>
          <w:szCs w:val="24"/>
        </w:rPr>
        <w:t xml:space="preserve"> day? Apparently, he concludes</w:t>
      </w:r>
      <w:r w:rsidRPr="00DF027E">
        <w:rPr>
          <w:iCs/>
          <w:sz w:val="24"/>
          <w:szCs w:val="24"/>
        </w:rPr>
        <w:t>,</w:t>
      </w:r>
      <w:r>
        <w:rPr>
          <w:sz w:val="24"/>
          <w:szCs w:val="24"/>
        </w:rPr>
        <w:t xml:space="preserve"> there is </w:t>
      </w:r>
      <w:r w:rsidR="00EF7D23">
        <w:rPr>
          <w:sz w:val="24"/>
          <w:szCs w:val="24"/>
        </w:rPr>
        <w:t xml:space="preserve">a </w:t>
      </w:r>
      <w:r>
        <w:rPr>
          <w:sz w:val="24"/>
          <w:szCs w:val="24"/>
        </w:rPr>
        <w:t xml:space="preserve">dual obligation. It seems reasonable to suggest that these two views line up nicely with the different schools of thought we have surveyed. The obligation to </w:t>
      </w:r>
      <w:r w:rsidRPr="00EF7D23">
        <w:rPr>
          <w:b/>
          <w:bCs/>
          <w:iCs/>
          <w:sz w:val="24"/>
          <w:szCs w:val="24"/>
        </w:rPr>
        <w:t>know</w:t>
      </w:r>
      <w:r>
        <w:rPr>
          <w:sz w:val="24"/>
          <w:szCs w:val="24"/>
        </w:rPr>
        <w:t xml:space="preserve"> Torah correlates with the instrumentalist view; the obligation to </w:t>
      </w:r>
      <w:r w:rsidRPr="00EF7D23">
        <w:rPr>
          <w:b/>
          <w:bCs/>
          <w:iCs/>
          <w:sz w:val="24"/>
          <w:szCs w:val="24"/>
        </w:rPr>
        <w:t>study</w:t>
      </w:r>
      <w:r>
        <w:rPr>
          <w:i/>
          <w:sz w:val="24"/>
          <w:szCs w:val="24"/>
        </w:rPr>
        <w:t xml:space="preserve"> </w:t>
      </w:r>
      <w:r>
        <w:rPr>
          <w:sz w:val="24"/>
          <w:szCs w:val="24"/>
        </w:rPr>
        <w:t xml:space="preserve">Torah is more easily understood according to the view that there is an intrinsic value of Torah study, such as </w:t>
      </w:r>
      <w:r w:rsidRPr="00104B6F">
        <w:rPr>
          <w:i/>
          <w:sz w:val="24"/>
          <w:szCs w:val="24"/>
        </w:rPr>
        <w:t>deveikut</w:t>
      </w:r>
      <w:r>
        <w:rPr>
          <w:i/>
          <w:sz w:val="24"/>
          <w:szCs w:val="24"/>
        </w:rPr>
        <w:t xml:space="preserve"> </w:t>
      </w:r>
      <w:r>
        <w:rPr>
          <w:sz w:val="24"/>
          <w:szCs w:val="24"/>
        </w:rPr>
        <w:t>(particularly apt for R. Shneur Z</w:t>
      </w:r>
      <w:r w:rsidR="00EF7D23">
        <w:rPr>
          <w:sz w:val="24"/>
          <w:szCs w:val="24"/>
        </w:rPr>
        <w:t>alman</w:t>
      </w:r>
      <w:r>
        <w:rPr>
          <w:sz w:val="24"/>
          <w:szCs w:val="24"/>
        </w:rPr>
        <w:t xml:space="preserve">) or Chazon Ish’s ethic of submission. Indeed, </w:t>
      </w:r>
      <w:r w:rsidR="00EF7D23">
        <w:rPr>
          <w:sz w:val="24"/>
          <w:szCs w:val="24"/>
        </w:rPr>
        <w:t xml:space="preserve">reinforcing the </w:t>
      </w:r>
      <w:r w:rsidR="00D21F08">
        <w:rPr>
          <w:sz w:val="24"/>
          <w:szCs w:val="24"/>
        </w:rPr>
        <w:t>theme</w:t>
      </w:r>
      <w:r w:rsidR="00EF7D23">
        <w:rPr>
          <w:sz w:val="24"/>
          <w:szCs w:val="24"/>
        </w:rPr>
        <w:t xml:space="preserve"> of </w:t>
      </w:r>
      <w:r w:rsidRPr="00104B6F">
        <w:rPr>
          <w:i/>
          <w:sz w:val="24"/>
          <w:szCs w:val="24"/>
        </w:rPr>
        <w:t>deveikut</w:t>
      </w:r>
      <w:r>
        <w:rPr>
          <w:sz w:val="24"/>
          <w:szCs w:val="24"/>
        </w:rPr>
        <w:t>, R. Shneur Zalman writes elsewhere (</w:t>
      </w:r>
      <w:r>
        <w:rPr>
          <w:i/>
          <w:sz w:val="24"/>
          <w:szCs w:val="24"/>
        </w:rPr>
        <w:t>Tanya</w:t>
      </w:r>
      <w:r>
        <w:rPr>
          <w:sz w:val="24"/>
          <w:szCs w:val="24"/>
        </w:rPr>
        <w:t xml:space="preserve">, </w:t>
      </w:r>
      <w:r w:rsidR="00DF027E">
        <w:rPr>
          <w:i/>
          <w:sz w:val="24"/>
          <w:szCs w:val="24"/>
        </w:rPr>
        <w:t>Li</w:t>
      </w:r>
      <w:r>
        <w:rPr>
          <w:i/>
          <w:sz w:val="24"/>
          <w:szCs w:val="24"/>
        </w:rPr>
        <w:t>kutei Amarim</w:t>
      </w:r>
      <w:r w:rsidR="00EF7D23">
        <w:rPr>
          <w:sz w:val="24"/>
          <w:szCs w:val="24"/>
        </w:rPr>
        <w:t xml:space="preserve"> 34) that</w:t>
      </w:r>
      <w:r>
        <w:rPr>
          <w:sz w:val="24"/>
          <w:szCs w:val="24"/>
        </w:rPr>
        <w:t xml:space="preserve"> one creates for God an internal “tabernacle and habitation by engaging in the study of Torah.” </w:t>
      </w:r>
    </w:p>
    <w:p w14:paraId="5FEA3AC1" w14:textId="77777777" w:rsidR="00104B6F" w:rsidRDefault="00104B6F" w:rsidP="00BD28A4">
      <w:pPr>
        <w:spacing w:line="240" w:lineRule="auto"/>
        <w:jc w:val="both"/>
        <w:rPr>
          <w:sz w:val="24"/>
          <w:szCs w:val="24"/>
        </w:rPr>
      </w:pPr>
    </w:p>
    <w:p w14:paraId="37DCE045" w14:textId="77777777" w:rsidR="00104B6F" w:rsidRDefault="00104B6F" w:rsidP="00BD28A4">
      <w:pPr>
        <w:spacing w:line="240" w:lineRule="auto"/>
        <w:jc w:val="both"/>
        <w:rPr>
          <w:sz w:val="24"/>
          <w:szCs w:val="24"/>
        </w:rPr>
      </w:pPr>
      <w:r>
        <w:rPr>
          <w:sz w:val="24"/>
          <w:szCs w:val="24"/>
        </w:rPr>
        <w:t>Another classical position</w:t>
      </w:r>
      <w:r w:rsidR="00EF7D23">
        <w:rPr>
          <w:sz w:val="24"/>
          <w:szCs w:val="24"/>
        </w:rPr>
        <w:t xml:space="preserve"> in</w:t>
      </w:r>
      <w:r>
        <w:rPr>
          <w:sz w:val="24"/>
          <w:szCs w:val="24"/>
        </w:rPr>
        <w:t xml:space="preserve"> </w:t>
      </w:r>
      <w:r w:rsidR="00EF7D23">
        <w:rPr>
          <w:i/>
          <w:iCs/>
          <w:sz w:val="24"/>
          <w:szCs w:val="24"/>
        </w:rPr>
        <w:t>Shulchan Arukh Ha-r</w:t>
      </w:r>
      <w:r w:rsidRPr="00EF7D23">
        <w:rPr>
          <w:i/>
          <w:iCs/>
          <w:sz w:val="24"/>
          <w:szCs w:val="24"/>
        </w:rPr>
        <w:t>av</w:t>
      </w:r>
      <w:r>
        <w:rPr>
          <w:sz w:val="24"/>
          <w:szCs w:val="24"/>
        </w:rPr>
        <w:t xml:space="preserve"> may dovetail nicely with the suggestion that there are two aspects to Torah study. Earlier in his </w:t>
      </w:r>
      <w:r w:rsidRPr="00EF7D23">
        <w:rPr>
          <w:i/>
          <w:iCs/>
          <w:sz w:val="24"/>
          <w:szCs w:val="24"/>
        </w:rPr>
        <w:t>Laws of Torah Study</w:t>
      </w:r>
      <w:r>
        <w:rPr>
          <w:sz w:val="24"/>
          <w:szCs w:val="24"/>
        </w:rPr>
        <w:t xml:space="preserve">, R. Shneur Zalman rules (2:12-13) that whereas one who studies the Oral Torah without understanding the words has fulfilled no </w:t>
      </w:r>
      <w:r>
        <w:rPr>
          <w:iCs/>
          <w:sz w:val="24"/>
          <w:szCs w:val="24"/>
        </w:rPr>
        <w:t>mitzva</w:t>
      </w:r>
      <w:r>
        <w:rPr>
          <w:sz w:val="24"/>
          <w:szCs w:val="24"/>
        </w:rPr>
        <w:t xml:space="preserve">, one who studies the Written Torah without understanding still fulfills the obligation of </w:t>
      </w:r>
      <w:r w:rsidRPr="00104B6F">
        <w:rPr>
          <w:i/>
          <w:sz w:val="24"/>
          <w:szCs w:val="24"/>
        </w:rPr>
        <w:t>talmud Torah</w:t>
      </w:r>
      <w:r>
        <w:rPr>
          <w:sz w:val="24"/>
          <w:szCs w:val="24"/>
        </w:rPr>
        <w:t xml:space="preserve">. We might explain the logic for this view as follows: the primary value of the Oral Torah is to understand the </w:t>
      </w:r>
      <w:r>
        <w:rPr>
          <w:i/>
          <w:sz w:val="24"/>
          <w:szCs w:val="24"/>
        </w:rPr>
        <w:t>halakhot</w:t>
      </w:r>
      <w:r>
        <w:rPr>
          <w:sz w:val="24"/>
          <w:szCs w:val="24"/>
        </w:rPr>
        <w:t xml:space="preserve"> (i.e., the instrumentalist view). Thus, one who does not understand the words fails to fulfill one’s obligation. However, study of the written Torah is qualitatively different; the very encounter is significant, along the lines of the later interpretations we suggested. </w:t>
      </w:r>
    </w:p>
    <w:p w14:paraId="2F948EF5" w14:textId="77777777" w:rsidR="00104B6F" w:rsidRDefault="00104B6F" w:rsidP="00BD28A4">
      <w:pPr>
        <w:spacing w:line="240" w:lineRule="auto"/>
        <w:jc w:val="both"/>
        <w:rPr>
          <w:sz w:val="24"/>
          <w:szCs w:val="24"/>
        </w:rPr>
      </w:pPr>
    </w:p>
    <w:p w14:paraId="713D2950" w14:textId="77777777" w:rsidR="00104B6F" w:rsidRDefault="00D21F08" w:rsidP="00BD28A4">
      <w:pPr>
        <w:spacing w:line="240" w:lineRule="auto"/>
        <w:jc w:val="both"/>
        <w:rPr>
          <w:sz w:val="24"/>
          <w:szCs w:val="24"/>
        </w:rPr>
      </w:pPr>
      <w:r>
        <w:rPr>
          <w:sz w:val="24"/>
          <w:szCs w:val="24"/>
        </w:rPr>
        <w:lastRenderedPageBreak/>
        <w:t>Though there are various option for</w:t>
      </w:r>
      <w:r w:rsidR="00104B6F">
        <w:rPr>
          <w:sz w:val="24"/>
          <w:szCs w:val="24"/>
        </w:rPr>
        <w:t xml:space="preserve"> “bridging</w:t>
      </w:r>
      <w:r>
        <w:rPr>
          <w:sz w:val="24"/>
          <w:szCs w:val="24"/>
        </w:rPr>
        <w:t xml:space="preserve"> the gap” (</w:t>
      </w:r>
      <w:r w:rsidR="00104B6F">
        <w:rPr>
          <w:sz w:val="24"/>
          <w:szCs w:val="24"/>
        </w:rPr>
        <w:t xml:space="preserve">as we will consider in upcoming </w:t>
      </w:r>
      <w:r w:rsidR="00104B6F" w:rsidRPr="00104B6F">
        <w:rPr>
          <w:i/>
          <w:sz w:val="24"/>
          <w:szCs w:val="24"/>
        </w:rPr>
        <w:t>shiurim</w:t>
      </w:r>
      <w:r>
        <w:rPr>
          <w:i/>
          <w:sz w:val="24"/>
          <w:szCs w:val="24"/>
        </w:rPr>
        <w:t>)</w:t>
      </w:r>
      <w:r w:rsidR="00104B6F">
        <w:rPr>
          <w:sz w:val="24"/>
          <w:szCs w:val="24"/>
        </w:rPr>
        <w:t>, the different ap</w:t>
      </w:r>
      <w:r>
        <w:rPr>
          <w:sz w:val="24"/>
          <w:szCs w:val="24"/>
        </w:rPr>
        <w:t xml:space="preserve">proaches we have outlined </w:t>
      </w:r>
      <w:r w:rsidR="00104B6F">
        <w:rPr>
          <w:sz w:val="24"/>
          <w:szCs w:val="24"/>
        </w:rPr>
        <w:t>underscore some of Torah study’s central dilemmas: the question of granting priority to practical versus theoretical study; the tension between clarifying the simple meaning of the law</w:t>
      </w:r>
      <w:r>
        <w:rPr>
          <w:sz w:val="24"/>
          <w:szCs w:val="24"/>
        </w:rPr>
        <w:t xml:space="preserve"> and</w:t>
      </w:r>
      <w:r w:rsidR="00104B6F">
        <w:rPr>
          <w:sz w:val="24"/>
          <w:szCs w:val="24"/>
        </w:rPr>
        <w:t xml:space="preserve"> innovation; the degree of freedom one is given in properly choosing a course of study; the importance of high-level Torah study for the masses and not just the intellectual elite; and the very legitimacy of analytical methods such as </w:t>
      </w:r>
      <w:r w:rsidR="00104B6F">
        <w:rPr>
          <w:i/>
          <w:sz w:val="24"/>
          <w:szCs w:val="24"/>
        </w:rPr>
        <w:t>d</w:t>
      </w:r>
      <w:r w:rsidR="00DF027E">
        <w:rPr>
          <w:i/>
          <w:sz w:val="24"/>
          <w:szCs w:val="24"/>
        </w:rPr>
        <w:t>e</w:t>
      </w:r>
      <w:r w:rsidR="00104B6F">
        <w:rPr>
          <w:i/>
          <w:sz w:val="24"/>
          <w:szCs w:val="24"/>
        </w:rPr>
        <w:t>rush</w:t>
      </w:r>
      <w:r w:rsidR="00104B6F">
        <w:rPr>
          <w:sz w:val="24"/>
          <w:szCs w:val="24"/>
        </w:rPr>
        <w:t xml:space="preserve"> and </w:t>
      </w:r>
      <w:r w:rsidR="00104B6F">
        <w:rPr>
          <w:i/>
          <w:sz w:val="24"/>
          <w:szCs w:val="24"/>
        </w:rPr>
        <w:t>pilpul</w:t>
      </w:r>
      <w:r w:rsidR="00104B6F">
        <w:rPr>
          <w:sz w:val="24"/>
          <w:szCs w:val="24"/>
        </w:rPr>
        <w:t>. These and other crucial questions w</w:t>
      </w:r>
      <w:r>
        <w:rPr>
          <w:sz w:val="24"/>
          <w:szCs w:val="24"/>
        </w:rPr>
        <w:t>ill drive our future discussions</w:t>
      </w:r>
      <w:r w:rsidR="00104B6F">
        <w:rPr>
          <w:sz w:val="24"/>
          <w:szCs w:val="24"/>
        </w:rPr>
        <w:t xml:space="preserve">. </w:t>
      </w:r>
    </w:p>
    <w:p w14:paraId="5266D9DF" w14:textId="77777777" w:rsidR="00104B6F" w:rsidRDefault="00104B6F" w:rsidP="00BD28A4">
      <w:pPr>
        <w:spacing w:line="240" w:lineRule="auto"/>
        <w:jc w:val="both"/>
        <w:rPr>
          <w:sz w:val="24"/>
          <w:szCs w:val="24"/>
        </w:rPr>
      </w:pPr>
    </w:p>
    <w:p w14:paraId="4EC12AEF" w14:textId="77777777" w:rsidR="00104B6F" w:rsidRDefault="00104B6F" w:rsidP="00BD28A4">
      <w:pPr>
        <w:spacing w:line="240" w:lineRule="auto"/>
        <w:jc w:val="both"/>
        <w:rPr>
          <w:sz w:val="24"/>
          <w:szCs w:val="24"/>
        </w:rPr>
      </w:pPr>
      <w:r>
        <w:rPr>
          <w:sz w:val="24"/>
          <w:szCs w:val="24"/>
        </w:rPr>
        <w:t xml:space="preserve">What is more, there is room to argue for evolution in the goals </w:t>
      </w:r>
      <w:r w:rsidR="00AC7C9C">
        <w:rPr>
          <w:sz w:val="24"/>
          <w:szCs w:val="24"/>
        </w:rPr>
        <w:t xml:space="preserve">of Torah study throughout </w:t>
      </w:r>
      <w:r>
        <w:rPr>
          <w:sz w:val="24"/>
          <w:szCs w:val="24"/>
        </w:rPr>
        <w:t>history. To take a relatively obvious example,</w:t>
      </w:r>
      <w:r w:rsidR="00D21F08">
        <w:rPr>
          <w:sz w:val="24"/>
          <w:szCs w:val="24"/>
        </w:rPr>
        <w:t xml:space="preserve"> Tanna’im and their predecessors assign great value </w:t>
      </w:r>
      <w:r>
        <w:rPr>
          <w:sz w:val="24"/>
          <w:szCs w:val="24"/>
        </w:rPr>
        <w:t xml:space="preserve">to the ability to memorize accepted </w:t>
      </w:r>
      <w:r>
        <w:rPr>
          <w:i/>
          <w:sz w:val="24"/>
          <w:szCs w:val="24"/>
        </w:rPr>
        <w:t>halakhot</w:t>
      </w:r>
      <w:r>
        <w:rPr>
          <w:sz w:val="24"/>
          <w:szCs w:val="24"/>
        </w:rPr>
        <w:t xml:space="preserve">, simply to ensure the proper establishment of the </w:t>
      </w:r>
      <w:r w:rsidRPr="00D21F08">
        <w:rPr>
          <w:iCs/>
          <w:sz w:val="24"/>
          <w:szCs w:val="24"/>
        </w:rPr>
        <w:t>halakhic</w:t>
      </w:r>
      <w:r>
        <w:rPr>
          <w:i/>
          <w:sz w:val="24"/>
          <w:szCs w:val="24"/>
        </w:rPr>
        <w:t xml:space="preserve"> </w:t>
      </w:r>
      <w:r>
        <w:rPr>
          <w:sz w:val="24"/>
          <w:szCs w:val="24"/>
        </w:rPr>
        <w:t xml:space="preserve">baseline for any analysis. Similarly, </w:t>
      </w:r>
      <w:r w:rsidR="00AC7C9C">
        <w:rPr>
          <w:sz w:val="24"/>
          <w:szCs w:val="24"/>
        </w:rPr>
        <w:t>Rishonim place great</w:t>
      </w:r>
      <w:r w:rsidR="00D21F08">
        <w:rPr>
          <w:sz w:val="24"/>
          <w:szCs w:val="24"/>
        </w:rPr>
        <w:t xml:space="preserve"> stress </w:t>
      </w:r>
      <w:r>
        <w:rPr>
          <w:sz w:val="24"/>
          <w:szCs w:val="24"/>
        </w:rPr>
        <w:t xml:space="preserve">upon the importance of studying to determine the practical </w:t>
      </w:r>
      <w:r>
        <w:rPr>
          <w:iCs/>
          <w:sz w:val="24"/>
          <w:szCs w:val="24"/>
        </w:rPr>
        <w:t>halakha</w:t>
      </w:r>
      <w:r>
        <w:rPr>
          <w:sz w:val="24"/>
          <w:szCs w:val="24"/>
        </w:rPr>
        <w:t xml:space="preserve">, </w:t>
      </w:r>
      <w:r w:rsidR="00D21F08">
        <w:rPr>
          <w:sz w:val="24"/>
          <w:szCs w:val="24"/>
        </w:rPr>
        <w:t>while in more recent</w:t>
      </w:r>
      <w:r>
        <w:rPr>
          <w:sz w:val="24"/>
          <w:szCs w:val="24"/>
        </w:rPr>
        <w:t xml:space="preserve"> times, especially in 19th century Lithuanian </w:t>
      </w:r>
      <w:r>
        <w:rPr>
          <w:i/>
          <w:sz w:val="24"/>
          <w:szCs w:val="24"/>
        </w:rPr>
        <w:t>yeshiva</w:t>
      </w:r>
      <w:r>
        <w:rPr>
          <w:sz w:val="24"/>
          <w:szCs w:val="24"/>
        </w:rPr>
        <w:t xml:space="preserve"> circles, theoretical analysis and study</w:t>
      </w:r>
      <w:r w:rsidR="00D21F08">
        <w:rPr>
          <w:sz w:val="24"/>
          <w:szCs w:val="24"/>
        </w:rPr>
        <w:t xml:space="preserve"> were paramount. Indeed, the various views we have discussed reflect this, as the medieval conception of </w:t>
      </w:r>
      <w:r w:rsidR="00D21F08">
        <w:rPr>
          <w:i/>
          <w:iCs/>
          <w:sz w:val="24"/>
          <w:szCs w:val="24"/>
        </w:rPr>
        <w:t>talmud Torah</w:t>
      </w:r>
      <w:r w:rsidR="00D21F08">
        <w:rPr>
          <w:sz w:val="24"/>
          <w:szCs w:val="24"/>
        </w:rPr>
        <w:t xml:space="preserve"> tends to emphasize </w:t>
      </w:r>
      <w:r>
        <w:rPr>
          <w:sz w:val="24"/>
          <w:szCs w:val="24"/>
        </w:rPr>
        <w:t xml:space="preserve">practical </w:t>
      </w:r>
      <w:r>
        <w:rPr>
          <w:i/>
          <w:sz w:val="24"/>
          <w:szCs w:val="24"/>
        </w:rPr>
        <w:t>halakhot</w:t>
      </w:r>
      <w:r w:rsidR="00D21F08">
        <w:rPr>
          <w:sz w:val="24"/>
          <w:szCs w:val="24"/>
        </w:rPr>
        <w:t>, while</w:t>
      </w:r>
      <w:r>
        <w:rPr>
          <w:sz w:val="24"/>
          <w:szCs w:val="24"/>
        </w:rPr>
        <w:t xml:space="preserve"> the theory of R. Chayim of Volozhin tends more toward the theoretical.</w:t>
      </w:r>
      <w:r>
        <w:rPr>
          <w:sz w:val="24"/>
          <w:szCs w:val="24"/>
          <w:vertAlign w:val="superscript"/>
        </w:rPr>
        <w:footnoteReference w:id="1"/>
      </w:r>
      <w:r>
        <w:rPr>
          <w:sz w:val="24"/>
          <w:szCs w:val="24"/>
        </w:rPr>
        <w:t xml:space="preserve"> </w:t>
      </w:r>
      <w:r w:rsidR="00D21F08">
        <w:rPr>
          <w:sz w:val="24"/>
          <w:szCs w:val="24"/>
        </w:rPr>
        <w:t>Professor Isadore Twersky contrasts</w:t>
      </w:r>
      <w:r w:rsidR="00DF027E">
        <w:rPr>
          <w:sz w:val="24"/>
          <w:szCs w:val="24"/>
        </w:rPr>
        <w:t xml:space="preserve"> R. Yosef ibn C</w:t>
      </w:r>
      <w:r w:rsidR="00D21F08">
        <w:rPr>
          <w:sz w:val="24"/>
          <w:szCs w:val="24"/>
        </w:rPr>
        <w:t xml:space="preserve">aspi’s </w:t>
      </w:r>
      <w:r>
        <w:rPr>
          <w:sz w:val="24"/>
          <w:szCs w:val="24"/>
        </w:rPr>
        <w:t xml:space="preserve">utilitarian approach </w:t>
      </w:r>
      <w:r w:rsidR="00D21F08">
        <w:rPr>
          <w:sz w:val="24"/>
          <w:szCs w:val="24"/>
        </w:rPr>
        <w:t>with later views:</w:t>
      </w:r>
    </w:p>
    <w:p w14:paraId="6398F461" w14:textId="77777777" w:rsidR="00104B6F" w:rsidRDefault="00104B6F" w:rsidP="00BD28A4">
      <w:pPr>
        <w:spacing w:line="240" w:lineRule="auto"/>
        <w:jc w:val="both"/>
        <w:rPr>
          <w:sz w:val="24"/>
          <w:szCs w:val="24"/>
        </w:rPr>
      </w:pPr>
    </w:p>
    <w:p w14:paraId="7DE41A1B" w14:textId="77777777" w:rsidR="00104B6F" w:rsidRDefault="00104B6F" w:rsidP="00BD28A4">
      <w:pPr>
        <w:spacing w:line="240" w:lineRule="auto"/>
        <w:ind w:left="720"/>
        <w:jc w:val="both"/>
        <w:rPr>
          <w:sz w:val="24"/>
          <w:szCs w:val="24"/>
        </w:rPr>
      </w:pPr>
      <w:r>
        <w:rPr>
          <w:sz w:val="24"/>
          <w:szCs w:val="24"/>
          <w:highlight w:val="white"/>
        </w:rPr>
        <w:t xml:space="preserve">This confrontation continues when we find the Maharal of Prague vehemently denouncing those who ridicule the study of Nezikin while revering the study of physics; he repeatedly exposes the fallacy of such argumentation. If we were to look ahead, we could see the Maharal's position as a historical fulcrum: on one hand reacting against the position established by Kaspi and on the other setting the stage for that position usually attributed to the two great contemporaries and antagonists of the beginning of the nineteenth century: R. Hayyim of Volohzin and R. Shneur Zalman of Ladi, the two great ideologues of pure Talmud study which is, in the final analysis, to be perceived as study of God's essence. All Talmud study is useful and perennially relevant; expending time and energy in order to understand even the discarded opinion in a debate or the wrong view in a controversy is unquestionably meritorious, for it is study of the word of God, it is thinking God's thoughts. Study per se is practical and need not seek to anchor itself in an external, self-transcending relevance. All Talmud study is self-validating and its universality should be the ideal for all. This, of course, is the absolute antithesis of Kaspi's restrictive attitude which would make Talmudic knowledge a purely professional </w:t>
      </w:r>
      <w:r>
        <w:rPr>
          <w:sz w:val="24"/>
          <w:szCs w:val="24"/>
          <w:highlight w:val="white"/>
        </w:rPr>
        <w:lastRenderedPageBreak/>
        <w:t>concern nurtured by pragmatic or utilitarian criteria…</w:t>
      </w:r>
      <w:r>
        <w:rPr>
          <w:sz w:val="24"/>
          <w:szCs w:val="24"/>
        </w:rPr>
        <w:t xml:space="preserve"> (</w:t>
      </w:r>
      <w:r>
        <w:rPr>
          <w:i/>
          <w:sz w:val="24"/>
          <w:szCs w:val="24"/>
          <w:highlight w:val="white"/>
        </w:rPr>
        <w:t>Joseph ibn Kaspi: Portrait of a Medieval Jewish Intellectual</w:t>
      </w:r>
      <w:r>
        <w:rPr>
          <w:sz w:val="24"/>
          <w:szCs w:val="24"/>
          <w:highlight w:val="white"/>
        </w:rPr>
        <w:t>, p. 246</w:t>
      </w:r>
      <w:r>
        <w:rPr>
          <w:sz w:val="24"/>
          <w:szCs w:val="24"/>
          <w:highlight w:val="white"/>
          <w:vertAlign w:val="superscript"/>
        </w:rPr>
        <w:footnoteReference w:id="2"/>
      </w:r>
      <w:r>
        <w:rPr>
          <w:sz w:val="24"/>
          <w:szCs w:val="24"/>
          <w:highlight w:val="white"/>
        </w:rPr>
        <w:t>)</w:t>
      </w:r>
    </w:p>
    <w:p w14:paraId="32CA7B17" w14:textId="77777777" w:rsidR="00104B6F" w:rsidRDefault="00104B6F" w:rsidP="00BD28A4">
      <w:pPr>
        <w:spacing w:line="240" w:lineRule="auto"/>
        <w:jc w:val="both"/>
        <w:rPr>
          <w:sz w:val="24"/>
          <w:szCs w:val="24"/>
        </w:rPr>
      </w:pPr>
    </w:p>
    <w:p w14:paraId="1CE0EFCF" w14:textId="77777777" w:rsidR="00104B6F" w:rsidRDefault="00AC7C9C" w:rsidP="00BD28A4">
      <w:pPr>
        <w:spacing w:line="240" w:lineRule="auto"/>
        <w:jc w:val="both"/>
        <w:rPr>
          <w:sz w:val="24"/>
          <w:szCs w:val="24"/>
        </w:rPr>
      </w:pPr>
      <w:r>
        <w:rPr>
          <w:sz w:val="24"/>
          <w:szCs w:val="24"/>
        </w:rPr>
        <w:t>Arguably, t</w:t>
      </w:r>
      <w:r w:rsidR="00104B6F">
        <w:rPr>
          <w:sz w:val="24"/>
          <w:szCs w:val="24"/>
        </w:rPr>
        <w:t xml:space="preserve">he turn toward conceptualization also reflects a new, expanded role for </w:t>
      </w:r>
      <w:r w:rsidR="00104B6F" w:rsidRPr="00104B6F">
        <w:rPr>
          <w:i/>
          <w:sz w:val="24"/>
          <w:szCs w:val="24"/>
        </w:rPr>
        <w:t>talmud Torah</w:t>
      </w:r>
      <w:r w:rsidR="00104B6F">
        <w:rPr>
          <w:sz w:val="24"/>
          <w:szCs w:val="24"/>
        </w:rPr>
        <w:t xml:space="preserve"> in the post-Enlightenment period. As Ra</w:t>
      </w:r>
      <w:r w:rsidR="005B6B6C">
        <w:rPr>
          <w:sz w:val="24"/>
          <w:szCs w:val="24"/>
        </w:rPr>
        <w:t>bbi Meir Twersky astutely notes,</w:t>
      </w:r>
      <w:r w:rsidR="00104B6F">
        <w:rPr>
          <w:sz w:val="24"/>
          <w:szCs w:val="24"/>
        </w:rPr>
        <w:t xml:space="preserve"> “This caveat has become especially repercussive for post-Enlightenment Jewry. Increasingly, instruction in Torah has become necessary not only to teach proper </w:t>
      </w:r>
      <w:r w:rsidR="00104B6F">
        <w:rPr>
          <w:i/>
          <w:sz w:val="24"/>
          <w:szCs w:val="24"/>
        </w:rPr>
        <w:t>halakhic</w:t>
      </w:r>
      <w:r w:rsidR="00104B6F">
        <w:rPr>
          <w:sz w:val="24"/>
          <w:szCs w:val="24"/>
        </w:rPr>
        <w:t xml:space="preserve"> observance, but also to inculcate enduring religious commitment and conviction.”</w:t>
      </w:r>
      <w:r w:rsidR="00104B6F">
        <w:rPr>
          <w:sz w:val="24"/>
          <w:szCs w:val="24"/>
          <w:vertAlign w:val="superscript"/>
        </w:rPr>
        <w:footnoteReference w:id="3"/>
      </w:r>
      <w:r w:rsidR="00104B6F">
        <w:rPr>
          <w:sz w:val="24"/>
          <w:szCs w:val="24"/>
        </w:rPr>
        <w:t xml:space="preserve"> While this argument was initially formulated in relation to women’s Torah study, </w:t>
      </w:r>
      <w:r w:rsidR="005B6B6C">
        <w:rPr>
          <w:sz w:val="24"/>
          <w:szCs w:val="24"/>
        </w:rPr>
        <w:t>it may</w:t>
      </w:r>
      <w:r w:rsidR="00104B6F">
        <w:rPr>
          <w:sz w:val="24"/>
          <w:szCs w:val="24"/>
        </w:rPr>
        <w:t xml:space="preserve"> also be relevant to the historical development of men’s study. </w:t>
      </w:r>
    </w:p>
    <w:p w14:paraId="7C5C927D" w14:textId="77777777" w:rsidR="00104B6F" w:rsidRDefault="00104B6F" w:rsidP="00BD28A4">
      <w:pPr>
        <w:spacing w:line="240" w:lineRule="auto"/>
        <w:jc w:val="both"/>
        <w:rPr>
          <w:sz w:val="24"/>
          <w:szCs w:val="24"/>
        </w:rPr>
      </w:pPr>
    </w:p>
    <w:p w14:paraId="066CD1C1" w14:textId="77777777" w:rsidR="00104B6F" w:rsidRDefault="00104B6F" w:rsidP="00BD28A4">
      <w:pPr>
        <w:spacing w:line="240" w:lineRule="auto"/>
        <w:jc w:val="both"/>
        <w:rPr>
          <w:sz w:val="24"/>
          <w:szCs w:val="24"/>
        </w:rPr>
      </w:pPr>
      <w:r>
        <w:rPr>
          <w:sz w:val="24"/>
          <w:szCs w:val="24"/>
        </w:rPr>
        <w:t>Although the picture is more complex than this space allo</w:t>
      </w:r>
      <w:r w:rsidR="005B6B6C">
        <w:rPr>
          <w:sz w:val="24"/>
          <w:szCs w:val="24"/>
        </w:rPr>
        <w:t xml:space="preserve">ws, it is a fair </w:t>
      </w:r>
      <w:r>
        <w:rPr>
          <w:sz w:val="24"/>
          <w:szCs w:val="24"/>
        </w:rPr>
        <w:t>to say that the Ashkenazic and Sephard</w:t>
      </w:r>
      <w:r w:rsidR="005B6B6C">
        <w:rPr>
          <w:sz w:val="24"/>
          <w:szCs w:val="24"/>
        </w:rPr>
        <w:t>ic traditions about this differ</w:t>
      </w:r>
      <w:r>
        <w:rPr>
          <w:sz w:val="24"/>
          <w:szCs w:val="24"/>
        </w:rPr>
        <w:t xml:space="preserve">. Already in the medieval period, whereas Sephardic scholars such as the Geonim and later the Rif sought to clarify the practical </w:t>
      </w:r>
      <w:r w:rsidRPr="005B6B6C">
        <w:rPr>
          <w:i/>
          <w:sz w:val="24"/>
          <w:szCs w:val="24"/>
        </w:rPr>
        <w:t>halakha</w:t>
      </w:r>
      <w:r>
        <w:rPr>
          <w:sz w:val="24"/>
          <w:szCs w:val="24"/>
        </w:rPr>
        <w:t xml:space="preserve"> as much as possible, Ashkenazim, particularly the Tosafists, placed a greater stress on dialectical study. (Rambam tends toward the Sephardic view in this regard, although his decision to include all </w:t>
      </w:r>
      <w:r w:rsidR="005B6B6C">
        <w:rPr>
          <w:sz w:val="24"/>
          <w:szCs w:val="24"/>
        </w:rPr>
        <w:t xml:space="preserve">his </w:t>
      </w:r>
      <w:r>
        <w:rPr>
          <w:sz w:val="24"/>
          <w:szCs w:val="24"/>
        </w:rPr>
        <w:t xml:space="preserve">halakhic rulings in </w:t>
      </w:r>
      <w:r w:rsidRPr="005B6B6C">
        <w:rPr>
          <w:i/>
          <w:iCs/>
          <w:sz w:val="24"/>
          <w:szCs w:val="24"/>
        </w:rPr>
        <w:t>Mishneh Torah</w:t>
      </w:r>
      <w:r>
        <w:rPr>
          <w:sz w:val="24"/>
          <w:szCs w:val="24"/>
        </w:rPr>
        <w:t xml:space="preserve"> makes him something of an outlier.) In more recent times, it is no coincidence that the </w:t>
      </w:r>
      <w:r w:rsidR="005B6B6C">
        <w:rPr>
          <w:sz w:val="24"/>
          <w:szCs w:val="24"/>
        </w:rPr>
        <w:t>great Sephardic decisor R. Ovady</w:t>
      </w:r>
      <w:r>
        <w:rPr>
          <w:sz w:val="24"/>
          <w:szCs w:val="24"/>
        </w:rPr>
        <w:t>a Yosef</w:t>
      </w:r>
      <w:r>
        <w:rPr>
          <w:sz w:val="24"/>
          <w:szCs w:val="24"/>
          <w:vertAlign w:val="superscript"/>
        </w:rPr>
        <w:footnoteReference w:id="4"/>
      </w:r>
      <w:r>
        <w:rPr>
          <w:sz w:val="24"/>
          <w:szCs w:val="24"/>
        </w:rPr>
        <w:t xml:space="preserve"> led the charge against the theoretical abstractions of the Lithuanian-style </w:t>
      </w:r>
      <w:r>
        <w:rPr>
          <w:i/>
          <w:sz w:val="24"/>
          <w:szCs w:val="24"/>
        </w:rPr>
        <w:t>yeshivot</w:t>
      </w:r>
      <w:r>
        <w:rPr>
          <w:sz w:val="24"/>
          <w:szCs w:val="24"/>
        </w:rPr>
        <w:t xml:space="preserve">, advocating for the prioritization of practical areas of study, such as </w:t>
      </w:r>
      <w:r>
        <w:rPr>
          <w:i/>
          <w:sz w:val="24"/>
          <w:szCs w:val="24"/>
        </w:rPr>
        <w:t>Berakhot</w:t>
      </w:r>
      <w:r>
        <w:rPr>
          <w:sz w:val="24"/>
          <w:szCs w:val="24"/>
        </w:rPr>
        <w:t xml:space="preserve"> and </w:t>
      </w:r>
      <w:r w:rsidR="003F5BA4">
        <w:rPr>
          <w:i/>
          <w:sz w:val="24"/>
          <w:szCs w:val="24"/>
        </w:rPr>
        <w:t>Mo’ed</w:t>
      </w:r>
      <w:r>
        <w:rPr>
          <w:sz w:val="24"/>
          <w:szCs w:val="24"/>
        </w:rPr>
        <w:t xml:space="preserve">, over more theoretical subjects such as </w:t>
      </w:r>
      <w:r>
        <w:rPr>
          <w:i/>
          <w:sz w:val="24"/>
          <w:szCs w:val="24"/>
        </w:rPr>
        <w:t>Nezikin</w:t>
      </w:r>
      <w:r>
        <w:rPr>
          <w:sz w:val="24"/>
          <w:szCs w:val="24"/>
        </w:rPr>
        <w:t xml:space="preserve">, </w:t>
      </w:r>
      <w:r>
        <w:rPr>
          <w:i/>
          <w:sz w:val="24"/>
          <w:szCs w:val="24"/>
        </w:rPr>
        <w:t>Zera</w:t>
      </w:r>
      <w:r w:rsidR="00DF027E">
        <w:rPr>
          <w:i/>
          <w:sz w:val="24"/>
          <w:szCs w:val="24"/>
        </w:rPr>
        <w:t>’</w:t>
      </w:r>
      <w:r>
        <w:rPr>
          <w:i/>
          <w:sz w:val="24"/>
          <w:szCs w:val="24"/>
        </w:rPr>
        <w:t>im</w:t>
      </w:r>
      <w:r>
        <w:rPr>
          <w:sz w:val="24"/>
          <w:szCs w:val="24"/>
        </w:rPr>
        <w:t xml:space="preserve"> and </w:t>
      </w:r>
      <w:r>
        <w:rPr>
          <w:i/>
          <w:sz w:val="24"/>
          <w:szCs w:val="24"/>
        </w:rPr>
        <w:t>Kod</w:t>
      </w:r>
      <w:r w:rsidR="00DF027E">
        <w:rPr>
          <w:i/>
          <w:sz w:val="24"/>
          <w:szCs w:val="24"/>
        </w:rPr>
        <w:t>a</w:t>
      </w:r>
      <w:r>
        <w:rPr>
          <w:i/>
          <w:sz w:val="24"/>
          <w:szCs w:val="24"/>
        </w:rPr>
        <w:t>shim</w:t>
      </w:r>
      <w:r>
        <w:rPr>
          <w:sz w:val="24"/>
          <w:szCs w:val="24"/>
        </w:rPr>
        <w:t xml:space="preserve">. </w:t>
      </w:r>
    </w:p>
    <w:p w14:paraId="17B794D5" w14:textId="77777777" w:rsidR="00104B6F" w:rsidRDefault="00104B6F" w:rsidP="00BD28A4">
      <w:pPr>
        <w:spacing w:line="240" w:lineRule="auto"/>
        <w:jc w:val="both"/>
        <w:rPr>
          <w:sz w:val="24"/>
          <w:szCs w:val="24"/>
        </w:rPr>
      </w:pPr>
    </w:p>
    <w:p w14:paraId="78D5804C" w14:textId="77777777" w:rsidR="005B6B6C" w:rsidRDefault="005B6B6C" w:rsidP="00BD28A4">
      <w:pPr>
        <w:spacing w:line="240" w:lineRule="auto"/>
        <w:jc w:val="both"/>
        <w:rPr>
          <w:sz w:val="24"/>
          <w:szCs w:val="24"/>
        </w:rPr>
      </w:pPr>
    </w:p>
    <w:p w14:paraId="31A7EA68" w14:textId="77777777" w:rsidR="00104B6F" w:rsidRDefault="005B6B6C" w:rsidP="00BD28A4">
      <w:pPr>
        <w:spacing w:line="240" w:lineRule="auto"/>
        <w:jc w:val="both"/>
        <w:rPr>
          <w:b/>
          <w:sz w:val="24"/>
          <w:szCs w:val="24"/>
        </w:rPr>
      </w:pPr>
      <w:r>
        <w:rPr>
          <w:b/>
          <w:i/>
          <w:sz w:val="24"/>
          <w:szCs w:val="24"/>
        </w:rPr>
        <w:t>T</w:t>
      </w:r>
      <w:r w:rsidR="00104B6F" w:rsidRPr="00104B6F">
        <w:rPr>
          <w:b/>
          <w:i/>
          <w:sz w:val="24"/>
          <w:szCs w:val="24"/>
        </w:rPr>
        <w:t>almud Torah</w:t>
      </w:r>
      <w:r>
        <w:rPr>
          <w:b/>
          <w:sz w:val="24"/>
          <w:szCs w:val="24"/>
        </w:rPr>
        <w:t xml:space="preserve"> as a Form of Self-Identification</w:t>
      </w:r>
      <w:r w:rsidR="00104B6F">
        <w:rPr>
          <w:b/>
          <w:sz w:val="24"/>
          <w:szCs w:val="24"/>
        </w:rPr>
        <w:t xml:space="preserve"> </w:t>
      </w:r>
    </w:p>
    <w:p w14:paraId="11D868EF" w14:textId="77777777" w:rsidR="00104B6F" w:rsidRDefault="00104B6F" w:rsidP="00BD28A4">
      <w:pPr>
        <w:spacing w:line="240" w:lineRule="auto"/>
        <w:jc w:val="both"/>
        <w:rPr>
          <w:sz w:val="24"/>
          <w:szCs w:val="24"/>
        </w:rPr>
      </w:pPr>
      <w:r>
        <w:rPr>
          <w:sz w:val="24"/>
          <w:szCs w:val="24"/>
        </w:rPr>
        <w:t xml:space="preserve">A final perspective on the nature of </w:t>
      </w:r>
      <w:r w:rsidRPr="00104B6F">
        <w:rPr>
          <w:i/>
          <w:sz w:val="24"/>
          <w:szCs w:val="24"/>
        </w:rPr>
        <w:t>talmud Torah</w:t>
      </w:r>
      <w:r>
        <w:rPr>
          <w:sz w:val="24"/>
          <w:szCs w:val="24"/>
        </w:rPr>
        <w:t xml:space="preserve"> emerges from a consideration of the laws governing the mourner, who is prohibited from studying Torah. What is the basis of the mourner’s prohibition, and how m</w:t>
      </w:r>
      <w:r w:rsidR="005B6B6C">
        <w:rPr>
          <w:sz w:val="24"/>
          <w:szCs w:val="24"/>
        </w:rPr>
        <w:t>ight this rule reflect more broad</w:t>
      </w:r>
      <w:r>
        <w:rPr>
          <w:sz w:val="24"/>
          <w:szCs w:val="24"/>
        </w:rPr>
        <w:t xml:space="preserve">ly on the nature of </w:t>
      </w:r>
      <w:r w:rsidRPr="00104B6F">
        <w:rPr>
          <w:i/>
          <w:sz w:val="24"/>
          <w:szCs w:val="24"/>
        </w:rPr>
        <w:t>talmud Torah</w:t>
      </w:r>
      <w:r>
        <w:rPr>
          <w:sz w:val="24"/>
          <w:szCs w:val="24"/>
        </w:rPr>
        <w:t xml:space="preserve">? </w:t>
      </w:r>
    </w:p>
    <w:p w14:paraId="363E4170" w14:textId="77777777" w:rsidR="00104B6F" w:rsidRDefault="00104B6F" w:rsidP="00BD28A4">
      <w:pPr>
        <w:spacing w:line="240" w:lineRule="auto"/>
        <w:jc w:val="both"/>
        <w:rPr>
          <w:sz w:val="24"/>
          <w:szCs w:val="24"/>
        </w:rPr>
      </w:pPr>
    </w:p>
    <w:p w14:paraId="0D612A66" w14:textId="77777777" w:rsidR="00104B6F" w:rsidRPr="00104B6F" w:rsidRDefault="00104B6F" w:rsidP="00BD28A4">
      <w:pPr>
        <w:spacing w:line="240" w:lineRule="auto"/>
        <w:jc w:val="both"/>
        <w:rPr>
          <w:sz w:val="24"/>
          <w:szCs w:val="24"/>
          <w:lang w:val="en-US"/>
        </w:rPr>
      </w:pPr>
      <w:r>
        <w:rPr>
          <w:sz w:val="24"/>
          <w:szCs w:val="24"/>
        </w:rPr>
        <w:t xml:space="preserve">The Gemara in </w:t>
      </w:r>
      <w:r w:rsidR="003F5BA4">
        <w:rPr>
          <w:i/>
          <w:sz w:val="24"/>
          <w:szCs w:val="24"/>
        </w:rPr>
        <w:t>Mo’ed</w:t>
      </w:r>
      <w:r>
        <w:rPr>
          <w:i/>
          <w:sz w:val="24"/>
          <w:szCs w:val="24"/>
        </w:rPr>
        <w:t xml:space="preserve"> Katan</w:t>
      </w:r>
      <w:r>
        <w:rPr>
          <w:sz w:val="24"/>
          <w:szCs w:val="24"/>
        </w:rPr>
        <w:t xml:space="preserve"> (15a) derives a series of prohibitions incumbent upon the mourner from a verse in </w:t>
      </w:r>
      <w:r>
        <w:rPr>
          <w:i/>
          <w:sz w:val="24"/>
          <w:szCs w:val="24"/>
        </w:rPr>
        <w:t>Yechezkel</w:t>
      </w:r>
      <w:r>
        <w:rPr>
          <w:sz w:val="24"/>
          <w:szCs w:val="24"/>
        </w:rPr>
        <w:t xml:space="preserve"> (24:17), in </w:t>
      </w:r>
      <w:r w:rsidR="005B6B6C">
        <w:rPr>
          <w:sz w:val="24"/>
          <w:szCs w:val="24"/>
        </w:rPr>
        <w:t xml:space="preserve">which God instructs the prophet </w:t>
      </w:r>
      <w:r>
        <w:rPr>
          <w:sz w:val="24"/>
          <w:szCs w:val="24"/>
        </w:rPr>
        <w:t xml:space="preserve">that although he will be </w:t>
      </w:r>
      <w:r w:rsidR="005B6B6C">
        <w:rPr>
          <w:sz w:val="24"/>
          <w:szCs w:val="24"/>
        </w:rPr>
        <w:t>stricken by</w:t>
      </w:r>
      <w:r>
        <w:rPr>
          <w:sz w:val="24"/>
          <w:szCs w:val="24"/>
        </w:rPr>
        <w:t xml:space="preserve"> a plague, he must abstain from engaging in typical mourning observance</w:t>
      </w:r>
      <w:r w:rsidR="005B6B6C">
        <w:rPr>
          <w:sz w:val="24"/>
          <w:szCs w:val="24"/>
        </w:rPr>
        <w:t>s. He is therefore instructed “</w:t>
      </w:r>
      <w:r w:rsidR="005B6B6C">
        <w:rPr>
          <w:i/>
          <w:sz w:val="24"/>
          <w:szCs w:val="24"/>
        </w:rPr>
        <w:t>He’anek dom</w:t>
      </w:r>
      <w:r w:rsidR="005B6B6C">
        <w:rPr>
          <w:sz w:val="24"/>
          <w:szCs w:val="24"/>
        </w:rPr>
        <w:t>,” “M</w:t>
      </w:r>
      <w:r>
        <w:rPr>
          <w:sz w:val="24"/>
          <w:szCs w:val="24"/>
        </w:rPr>
        <w:t xml:space="preserve">oan silently,” among other practices. On the basis of this verse, the Gemara derives the prohibitions against </w:t>
      </w:r>
      <w:r>
        <w:rPr>
          <w:i/>
          <w:sz w:val="24"/>
          <w:szCs w:val="24"/>
        </w:rPr>
        <w:t>she’eilat shalom</w:t>
      </w:r>
      <w:r w:rsidR="005B6B6C">
        <w:rPr>
          <w:sz w:val="24"/>
          <w:szCs w:val="24"/>
        </w:rPr>
        <w:t xml:space="preserve"> (greeting a friend)</w:t>
      </w:r>
      <w:r>
        <w:rPr>
          <w:sz w:val="24"/>
          <w:szCs w:val="24"/>
        </w:rPr>
        <w:t xml:space="preserve"> and Torah study. At first glance, the nature of the latter derivation is unclear. We understand the linkage between silence and not greeting a friend. The mourner often finds him or herself in an inward, anti-social state. It is therefore inappropriate for him to greet others. But the reasoning behind the prohibition of </w:t>
      </w:r>
      <w:r>
        <w:rPr>
          <w:sz w:val="24"/>
          <w:szCs w:val="24"/>
        </w:rPr>
        <w:lastRenderedPageBreak/>
        <w:t xml:space="preserve">Torah study is unclear. Presumably, a mourner can study privately yet remain “silent.” How are we to understand the Gemara’s basis for the </w:t>
      </w:r>
      <w:r>
        <w:rPr>
          <w:i/>
          <w:sz w:val="24"/>
          <w:szCs w:val="24"/>
        </w:rPr>
        <w:t xml:space="preserve">issur </w:t>
      </w:r>
      <w:r w:rsidR="005B6B6C">
        <w:rPr>
          <w:iCs/>
          <w:sz w:val="24"/>
          <w:szCs w:val="24"/>
        </w:rPr>
        <w:t xml:space="preserve">of </w:t>
      </w:r>
      <w:r w:rsidRPr="00104B6F">
        <w:rPr>
          <w:i/>
          <w:sz w:val="24"/>
          <w:szCs w:val="24"/>
        </w:rPr>
        <w:t>talmud Torah</w:t>
      </w:r>
      <w:r>
        <w:rPr>
          <w:sz w:val="24"/>
          <w:szCs w:val="24"/>
        </w:rPr>
        <w:t>?</w:t>
      </w:r>
    </w:p>
    <w:p w14:paraId="63A4542F" w14:textId="77777777" w:rsidR="00104B6F" w:rsidRDefault="00104B6F" w:rsidP="00BD28A4">
      <w:pPr>
        <w:spacing w:line="240" w:lineRule="auto"/>
        <w:jc w:val="both"/>
        <w:rPr>
          <w:sz w:val="24"/>
          <w:szCs w:val="24"/>
        </w:rPr>
      </w:pPr>
    </w:p>
    <w:p w14:paraId="323E73B4" w14:textId="77777777" w:rsidR="00104B6F" w:rsidRDefault="00104B6F" w:rsidP="00BD28A4">
      <w:pPr>
        <w:spacing w:line="240" w:lineRule="auto"/>
        <w:jc w:val="both"/>
        <w:rPr>
          <w:sz w:val="24"/>
          <w:szCs w:val="24"/>
        </w:rPr>
      </w:pPr>
      <w:r>
        <w:rPr>
          <w:sz w:val="24"/>
          <w:szCs w:val="24"/>
        </w:rPr>
        <w:t xml:space="preserve">Perhaps troubled by this strange linkage, some </w:t>
      </w:r>
      <w:r w:rsidR="00DF027E" w:rsidRPr="00DF027E">
        <w:rPr>
          <w:sz w:val="24"/>
          <w:szCs w:val="24"/>
        </w:rPr>
        <w:t>Rishonim</w:t>
      </w:r>
      <w:r>
        <w:rPr>
          <w:sz w:val="24"/>
          <w:szCs w:val="24"/>
        </w:rPr>
        <w:t xml:space="preserve"> reinterpreted the </w:t>
      </w:r>
      <w:r>
        <w:rPr>
          <w:i/>
          <w:sz w:val="24"/>
          <w:szCs w:val="24"/>
        </w:rPr>
        <w:t>issur</w:t>
      </w:r>
      <w:r>
        <w:rPr>
          <w:sz w:val="24"/>
          <w:szCs w:val="24"/>
        </w:rPr>
        <w:t xml:space="preserve"> in light of another Gemara concerning Torah study on Tisha </w:t>
      </w:r>
      <w:r w:rsidR="00E10694">
        <w:rPr>
          <w:sz w:val="24"/>
          <w:szCs w:val="24"/>
        </w:rPr>
        <w:t>Be-Av</w:t>
      </w:r>
      <w:r>
        <w:rPr>
          <w:sz w:val="24"/>
          <w:szCs w:val="24"/>
        </w:rPr>
        <w:t>. As the Gemara (</w:t>
      </w:r>
      <w:r>
        <w:rPr>
          <w:i/>
          <w:sz w:val="24"/>
          <w:szCs w:val="24"/>
        </w:rPr>
        <w:t>Ta</w:t>
      </w:r>
      <w:r w:rsidR="005B6B6C">
        <w:rPr>
          <w:i/>
          <w:sz w:val="24"/>
          <w:szCs w:val="24"/>
        </w:rPr>
        <w:t>’</w:t>
      </w:r>
      <w:r>
        <w:rPr>
          <w:i/>
          <w:sz w:val="24"/>
          <w:szCs w:val="24"/>
        </w:rPr>
        <w:t>anit</w:t>
      </w:r>
      <w:r>
        <w:rPr>
          <w:sz w:val="24"/>
          <w:szCs w:val="24"/>
        </w:rPr>
        <w:t xml:space="preserve"> 30a) points out, many of the prohibitions of </w:t>
      </w:r>
      <w:r>
        <w:rPr>
          <w:i/>
          <w:sz w:val="24"/>
          <w:szCs w:val="24"/>
        </w:rPr>
        <w:t>aveilut</w:t>
      </w:r>
      <w:r>
        <w:rPr>
          <w:sz w:val="24"/>
          <w:szCs w:val="24"/>
        </w:rPr>
        <w:t xml:space="preserve"> apply on Tisha </w:t>
      </w:r>
      <w:r w:rsidR="00E10694">
        <w:rPr>
          <w:sz w:val="24"/>
          <w:szCs w:val="24"/>
        </w:rPr>
        <w:t>Be-Av</w:t>
      </w:r>
      <w:r>
        <w:rPr>
          <w:sz w:val="24"/>
          <w:szCs w:val="24"/>
        </w:rPr>
        <w:t xml:space="preserve"> as well, including that of </w:t>
      </w:r>
      <w:r w:rsidRPr="00104B6F">
        <w:rPr>
          <w:i/>
          <w:sz w:val="24"/>
          <w:szCs w:val="24"/>
        </w:rPr>
        <w:t>talmud Torah</w:t>
      </w:r>
      <w:r>
        <w:rPr>
          <w:sz w:val="24"/>
          <w:szCs w:val="24"/>
        </w:rPr>
        <w:t>. The Gemara also rules that one is permitted to study sorrowful materials, such as the relevant sections of</w:t>
      </w:r>
      <w:r>
        <w:rPr>
          <w:i/>
          <w:sz w:val="24"/>
          <w:szCs w:val="24"/>
        </w:rPr>
        <w:t xml:space="preserve"> Iyov</w:t>
      </w:r>
      <w:r>
        <w:rPr>
          <w:sz w:val="24"/>
          <w:szCs w:val="24"/>
        </w:rPr>
        <w:t xml:space="preserve"> and </w:t>
      </w:r>
      <w:r w:rsidR="00E10694">
        <w:rPr>
          <w:i/>
          <w:sz w:val="24"/>
          <w:szCs w:val="24"/>
        </w:rPr>
        <w:t>Yirmeyahu</w:t>
      </w:r>
      <w:r>
        <w:rPr>
          <w:sz w:val="24"/>
          <w:szCs w:val="24"/>
        </w:rPr>
        <w:t>. Yet the Gemara, after citing this prohibition and adding that childr</w:t>
      </w:r>
      <w:r w:rsidR="005B6B6C">
        <w:rPr>
          <w:sz w:val="24"/>
          <w:szCs w:val="24"/>
        </w:rPr>
        <w:t>en similarly do not attend class</w:t>
      </w:r>
      <w:r>
        <w:rPr>
          <w:sz w:val="24"/>
          <w:szCs w:val="24"/>
        </w:rPr>
        <w:t xml:space="preserve"> on Tisha </w:t>
      </w:r>
      <w:r w:rsidR="00E10694">
        <w:rPr>
          <w:sz w:val="24"/>
          <w:szCs w:val="24"/>
        </w:rPr>
        <w:t>Be-Av</w:t>
      </w:r>
      <w:r>
        <w:rPr>
          <w:sz w:val="24"/>
          <w:szCs w:val="24"/>
        </w:rPr>
        <w:t xml:space="preserve">, cites the verse from </w:t>
      </w:r>
      <w:r w:rsidR="00E10694">
        <w:rPr>
          <w:i/>
          <w:sz w:val="24"/>
          <w:szCs w:val="24"/>
        </w:rPr>
        <w:t>Tehillim</w:t>
      </w:r>
      <w:r w:rsidR="005B6B6C">
        <w:rPr>
          <w:rFonts w:hint="cs"/>
          <w:i/>
          <w:sz w:val="24"/>
          <w:szCs w:val="24"/>
          <w:rtl/>
        </w:rPr>
        <w:t xml:space="preserve"> </w:t>
      </w:r>
      <w:r w:rsidR="005B6B6C" w:rsidRPr="005B6B6C">
        <w:rPr>
          <w:iCs/>
          <w:sz w:val="24"/>
          <w:szCs w:val="24"/>
          <w:lang w:val="en-US"/>
        </w:rPr>
        <w:t>(19:9)</w:t>
      </w:r>
      <w:r w:rsidRPr="005B6B6C">
        <w:rPr>
          <w:iCs/>
          <w:sz w:val="24"/>
          <w:szCs w:val="24"/>
        </w:rPr>
        <w:t>,</w:t>
      </w:r>
      <w:r>
        <w:rPr>
          <w:sz w:val="24"/>
          <w:szCs w:val="24"/>
        </w:rPr>
        <w:t xml:space="preserve"> “</w:t>
      </w:r>
      <w:r w:rsidR="005B6B6C">
        <w:rPr>
          <w:i/>
          <w:sz w:val="24"/>
          <w:szCs w:val="24"/>
        </w:rPr>
        <w:t>P</w:t>
      </w:r>
      <w:r w:rsidR="00E10694">
        <w:rPr>
          <w:i/>
          <w:sz w:val="24"/>
          <w:szCs w:val="24"/>
        </w:rPr>
        <w:t>ikudei Hashem yesharim mesammechei</w:t>
      </w:r>
      <w:r>
        <w:rPr>
          <w:i/>
          <w:sz w:val="24"/>
          <w:szCs w:val="24"/>
        </w:rPr>
        <w:t xml:space="preserve"> lev</w:t>
      </w:r>
      <w:r>
        <w:rPr>
          <w:sz w:val="24"/>
          <w:szCs w:val="24"/>
        </w:rPr>
        <w:t>,</w:t>
      </w:r>
      <w:r w:rsidR="005B6B6C">
        <w:rPr>
          <w:sz w:val="24"/>
          <w:szCs w:val="24"/>
        </w:rPr>
        <w:t>”</w:t>
      </w:r>
      <w:r>
        <w:rPr>
          <w:sz w:val="24"/>
          <w:szCs w:val="24"/>
        </w:rPr>
        <w:t xml:space="preserve"> </w:t>
      </w:r>
      <w:r w:rsidR="005B6B6C">
        <w:rPr>
          <w:sz w:val="24"/>
          <w:szCs w:val="24"/>
        </w:rPr>
        <w:t>“</w:t>
      </w:r>
      <w:r>
        <w:rPr>
          <w:sz w:val="24"/>
          <w:szCs w:val="24"/>
        </w:rPr>
        <w:t xml:space="preserve">God’s precepts are right, rejoicing the heart.” This implies that the </w:t>
      </w:r>
      <w:r>
        <w:rPr>
          <w:i/>
          <w:sz w:val="24"/>
          <w:szCs w:val="24"/>
        </w:rPr>
        <w:t>issur</w:t>
      </w:r>
      <w:r>
        <w:rPr>
          <w:sz w:val="24"/>
          <w:szCs w:val="24"/>
        </w:rPr>
        <w:t xml:space="preserve"> </w:t>
      </w:r>
      <w:r w:rsidRPr="00104B6F">
        <w:rPr>
          <w:i/>
          <w:sz w:val="24"/>
          <w:szCs w:val="24"/>
        </w:rPr>
        <w:t>talmud Torah</w:t>
      </w:r>
      <w:r>
        <w:rPr>
          <w:sz w:val="24"/>
          <w:szCs w:val="24"/>
        </w:rPr>
        <w:t xml:space="preserve"> on Tisha </w:t>
      </w:r>
      <w:r w:rsidR="00E10694">
        <w:rPr>
          <w:sz w:val="24"/>
          <w:szCs w:val="24"/>
        </w:rPr>
        <w:t>Be-Av</w:t>
      </w:r>
      <w:r>
        <w:rPr>
          <w:sz w:val="24"/>
          <w:szCs w:val="24"/>
        </w:rPr>
        <w:t xml:space="preserve"> is rooted not in “</w:t>
      </w:r>
      <w:r w:rsidR="00CA4D5E">
        <w:rPr>
          <w:rFonts w:hint="cs"/>
          <w:i/>
          <w:sz w:val="24"/>
          <w:szCs w:val="24"/>
        </w:rPr>
        <w:t>H</w:t>
      </w:r>
      <w:r w:rsidR="00994D62">
        <w:rPr>
          <w:i/>
          <w:sz w:val="24"/>
          <w:szCs w:val="24"/>
        </w:rPr>
        <w:t>e’anek</w:t>
      </w:r>
      <w:r>
        <w:rPr>
          <w:i/>
          <w:sz w:val="24"/>
          <w:szCs w:val="24"/>
        </w:rPr>
        <w:t xml:space="preserve"> dom</w:t>
      </w:r>
      <w:r>
        <w:rPr>
          <w:sz w:val="24"/>
          <w:szCs w:val="24"/>
        </w:rPr>
        <w:t xml:space="preserve">,” but in the fact that </w:t>
      </w:r>
      <w:r w:rsidRPr="00104B6F">
        <w:rPr>
          <w:i/>
          <w:sz w:val="24"/>
          <w:szCs w:val="24"/>
        </w:rPr>
        <w:t>talmud Torah</w:t>
      </w:r>
      <w:r>
        <w:rPr>
          <w:sz w:val="24"/>
          <w:szCs w:val="24"/>
        </w:rPr>
        <w:t xml:space="preserve"> is an inherently joyous experience, which contravenes the spirit of Tisha </w:t>
      </w:r>
      <w:r w:rsidR="00E10694">
        <w:rPr>
          <w:sz w:val="24"/>
          <w:szCs w:val="24"/>
        </w:rPr>
        <w:t>Be-Av</w:t>
      </w:r>
      <w:r>
        <w:rPr>
          <w:sz w:val="24"/>
          <w:szCs w:val="24"/>
        </w:rPr>
        <w:t xml:space="preserve">, the saddest day on the Jewish calendar. </w:t>
      </w:r>
    </w:p>
    <w:p w14:paraId="20E9980F" w14:textId="77777777" w:rsidR="00104B6F" w:rsidRDefault="00104B6F" w:rsidP="00BD28A4">
      <w:pPr>
        <w:spacing w:line="240" w:lineRule="auto"/>
        <w:jc w:val="both"/>
        <w:rPr>
          <w:sz w:val="24"/>
          <w:szCs w:val="24"/>
          <w:rtl/>
        </w:rPr>
      </w:pPr>
    </w:p>
    <w:p w14:paraId="3C7B3EDB" w14:textId="77777777" w:rsidR="00104B6F" w:rsidRDefault="00104B6F" w:rsidP="00BD28A4">
      <w:pPr>
        <w:spacing w:line="240" w:lineRule="auto"/>
        <w:jc w:val="both"/>
        <w:rPr>
          <w:sz w:val="24"/>
          <w:szCs w:val="24"/>
        </w:rPr>
      </w:pPr>
      <w:r>
        <w:rPr>
          <w:sz w:val="24"/>
          <w:szCs w:val="24"/>
        </w:rPr>
        <w:t xml:space="preserve">Based on this Gemara, some </w:t>
      </w:r>
      <w:r w:rsidR="00DF027E" w:rsidRPr="00DF027E">
        <w:rPr>
          <w:sz w:val="24"/>
          <w:szCs w:val="24"/>
        </w:rPr>
        <w:t>Rishonim</w:t>
      </w:r>
      <w:r>
        <w:rPr>
          <w:sz w:val="24"/>
          <w:szCs w:val="24"/>
        </w:rPr>
        <w:t xml:space="preserve"> s</w:t>
      </w:r>
      <w:r w:rsidR="00CA4D5E">
        <w:rPr>
          <w:sz w:val="24"/>
          <w:szCs w:val="24"/>
          <w:lang w:val="en-US"/>
        </w:rPr>
        <w:t>eek</w:t>
      </w:r>
      <w:r>
        <w:rPr>
          <w:sz w:val="24"/>
          <w:szCs w:val="24"/>
        </w:rPr>
        <w:t xml:space="preserve"> to reinterpret the prohibition of Torah study for a typical</w:t>
      </w:r>
      <w:r w:rsidR="00CA4D5E">
        <w:rPr>
          <w:sz w:val="24"/>
          <w:szCs w:val="24"/>
        </w:rPr>
        <w:t xml:space="preserve"> mourner. Rabbeinu Tam (cited by</w:t>
      </w:r>
      <w:r>
        <w:rPr>
          <w:sz w:val="24"/>
          <w:szCs w:val="24"/>
        </w:rPr>
        <w:t xml:space="preserve"> Tosafot</w:t>
      </w:r>
      <w:r w:rsidR="00CA4D5E">
        <w:rPr>
          <w:sz w:val="24"/>
          <w:szCs w:val="24"/>
        </w:rPr>
        <w:t>,</w:t>
      </w:r>
      <w:r>
        <w:rPr>
          <w:sz w:val="24"/>
          <w:szCs w:val="24"/>
        </w:rPr>
        <w:t xml:space="preserve"> </w:t>
      </w:r>
      <w:r w:rsidR="003F5BA4">
        <w:rPr>
          <w:i/>
          <w:sz w:val="24"/>
          <w:szCs w:val="24"/>
        </w:rPr>
        <w:t>Mo’ed</w:t>
      </w:r>
      <w:r>
        <w:rPr>
          <w:i/>
          <w:sz w:val="24"/>
          <w:szCs w:val="24"/>
        </w:rPr>
        <w:t xml:space="preserve"> Katan</w:t>
      </w:r>
      <w:r>
        <w:rPr>
          <w:sz w:val="24"/>
          <w:szCs w:val="24"/>
        </w:rPr>
        <w:t xml:space="preserve"> 21a</w:t>
      </w:r>
      <w:r w:rsidR="00CA4D5E">
        <w:rPr>
          <w:sz w:val="24"/>
          <w:szCs w:val="24"/>
        </w:rPr>
        <w:t>,</w:t>
      </w:r>
      <w:r>
        <w:rPr>
          <w:sz w:val="24"/>
          <w:szCs w:val="24"/>
        </w:rPr>
        <w:t xml:space="preserve"> s.v. </w:t>
      </w:r>
      <w:r w:rsidR="00E10694">
        <w:rPr>
          <w:i/>
          <w:sz w:val="24"/>
          <w:szCs w:val="24"/>
        </w:rPr>
        <w:t>V</w:t>
      </w:r>
      <w:r>
        <w:rPr>
          <w:i/>
          <w:sz w:val="24"/>
          <w:szCs w:val="24"/>
        </w:rPr>
        <w:t>e-asur</w:t>
      </w:r>
      <w:r>
        <w:rPr>
          <w:sz w:val="24"/>
          <w:szCs w:val="24"/>
        </w:rPr>
        <w:t>), for example, while having initially held that a mourner is barred from all forms of Torah study, concluded in his old age that a mourner may also study Torah that is mournful in nature. Ramban (</w:t>
      </w:r>
      <w:r w:rsidR="006C6FB1">
        <w:rPr>
          <w:i/>
          <w:sz w:val="24"/>
          <w:szCs w:val="24"/>
        </w:rPr>
        <w:t>Torat Ha-</w:t>
      </w:r>
      <w:r>
        <w:rPr>
          <w:i/>
          <w:sz w:val="24"/>
          <w:szCs w:val="24"/>
        </w:rPr>
        <w:t>adam</w:t>
      </w:r>
      <w:r>
        <w:rPr>
          <w:sz w:val="24"/>
          <w:szCs w:val="24"/>
        </w:rPr>
        <w:t xml:space="preserve">, cited in </w:t>
      </w:r>
      <w:r w:rsidR="006C6FB1">
        <w:rPr>
          <w:i/>
          <w:sz w:val="24"/>
          <w:szCs w:val="24"/>
        </w:rPr>
        <w:t>Beit Yosef</w:t>
      </w:r>
      <w:r w:rsidR="00CA4D5E">
        <w:rPr>
          <w:i/>
          <w:sz w:val="24"/>
          <w:szCs w:val="24"/>
        </w:rPr>
        <w:t>,</w:t>
      </w:r>
      <w:r w:rsidR="006C6FB1">
        <w:rPr>
          <w:i/>
          <w:sz w:val="24"/>
          <w:szCs w:val="24"/>
        </w:rPr>
        <w:t xml:space="preserve"> YD </w:t>
      </w:r>
      <w:r>
        <w:rPr>
          <w:sz w:val="24"/>
          <w:szCs w:val="24"/>
        </w:rPr>
        <w:t xml:space="preserve">384) cites various views on this subject. According to Rabbeinu Tam, the true conceptual basis for the mourner’s </w:t>
      </w:r>
      <w:r>
        <w:rPr>
          <w:i/>
          <w:sz w:val="24"/>
          <w:szCs w:val="24"/>
        </w:rPr>
        <w:t xml:space="preserve">issur </w:t>
      </w:r>
      <w:r>
        <w:rPr>
          <w:sz w:val="24"/>
          <w:szCs w:val="24"/>
        </w:rPr>
        <w:t>is</w:t>
      </w:r>
      <w:r w:rsidR="00CA4D5E">
        <w:rPr>
          <w:i/>
          <w:sz w:val="24"/>
          <w:szCs w:val="24"/>
        </w:rPr>
        <w:t xml:space="preserve"> “P</w:t>
      </w:r>
      <w:r>
        <w:rPr>
          <w:i/>
          <w:sz w:val="24"/>
          <w:szCs w:val="24"/>
        </w:rPr>
        <w:t>ikudei Hashem yesharim mesam</w:t>
      </w:r>
      <w:r w:rsidR="006C6FB1">
        <w:rPr>
          <w:i/>
          <w:sz w:val="24"/>
          <w:szCs w:val="24"/>
        </w:rPr>
        <w:t>me</w:t>
      </w:r>
      <w:r>
        <w:rPr>
          <w:i/>
          <w:sz w:val="24"/>
          <w:szCs w:val="24"/>
        </w:rPr>
        <w:t>chei lev</w:t>
      </w:r>
      <w:r>
        <w:rPr>
          <w:sz w:val="24"/>
          <w:szCs w:val="24"/>
        </w:rPr>
        <w:t>.</w:t>
      </w:r>
      <w:r w:rsidR="00CA4D5E">
        <w:rPr>
          <w:sz w:val="24"/>
          <w:szCs w:val="24"/>
        </w:rPr>
        <w:t>” As for “</w:t>
      </w:r>
      <w:r w:rsidR="00CA4D5E">
        <w:rPr>
          <w:i/>
          <w:sz w:val="24"/>
          <w:szCs w:val="24"/>
        </w:rPr>
        <w:t>H</w:t>
      </w:r>
      <w:r w:rsidR="005D64E9">
        <w:rPr>
          <w:i/>
          <w:sz w:val="24"/>
          <w:szCs w:val="24"/>
        </w:rPr>
        <w:t>e’an</w:t>
      </w:r>
      <w:r w:rsidR="00994D62">
        <w:rPr>
          <w:i/>
          <w:sz w:val="24"/>
          <w:szCs w:val="24"/>
        </w:rPr>
        <w:t>ek</w:t>
      </w:r>
      <w:r>
        <w:rPr>
          <w:i/>
          <w:sz w:val="24"/>
          <w:szCs w:val="24"/>
        </w:rPr>
        <w:t xml:space="preserve"> dom</w:t>
      </w:r>
      <w:r w:rsidR="00CA4D5E">
        <w:rPr>
          <w:sz w:val="24"/>
          <w:szCs w:val="24"/>
        </w:rPr>
        <w:t>,”</w:t>
      </w:r>
      <w:r>
        <w:rPr>
          <w:sz w:val="24"/>
          <w:szCs w:val="24"/>
        </w:rPr>
        <w:t xml:space="preserve"> Rabbeinu Tam </w:t>
      </w:r>
      <w:r w:rsidR="00CA4D5E">
        <w:rPr>
          <w:sz w:val="24"/>
          <w:szCs w:val="24"/>
        </w:rPr>
        <w:t>argues</w:t>
      </w:r>
      <w:r>
        <w:rPr>
          <w:sz w:val="24"/>
          <w:szCs w:val="24"/>
        </w:rPr>
        <w:t xml:space="preserve"> that the verse cannot be taken as the literal source for the mourning prohibitions. In support of this view, he points to the prohibition of wearing </w:t>
      </w:r>
      <w:r w:rsidR="006C6FB1">
        <w:rPr>
          <w:i/>
          <w:sz w:val="24"/>
          <w:szCs w:val="24"/>
        </w:rPr>
        <w:t>tefillin</w:t>
      </w:r>
      <w:r>
        <w:rPr>
          <w:sz w:val="24"/>
          <w:szCs w:val="24"/>
        </w:rPr>
        <w:t xml:space="preserve">, which </w:t>
      </w:r>
      <w:r w:rsidR="00CA4D5E">
        <w:rPr>
          <w:sz w:val="24"/>
          <w:szCs w:val="24"/>
        </w:rPr>
        <w:t>only applies only o</w:t>
      </w:r>
      <w:r>
        <w:rPr>
          <w:sz w:val="24"/>
          <w:szCs w:val="24"/>
        </w:rPr>
        <w:t xml:space="preserve">n the first day of mourning, despite there being nothing in the verse to support this conclusion. Similarly, Rabbeinu Tam concludes, </w:t>
      </w:r>
      <w:r w:rsidR="00CA4D5E">
        <w:rPr>
          <w:i/>
          <w:sz w:val="24"/>
          <w:szCs w:val="24"/>
        </w:rPr>
        <w:t>“H</w:t>
      </w:r>
      <w:r w:rsidR="00994D62">
        <w:rPr>
          <w:i/>
          <w:sz w:val="24"/>
          <w:szCs w:val="24"/>
        </w:rPr>
        <w:t>e’anek</w:t>
      </w:r>
      <w:r>
        <w:rPr>
          <w:i/>
          <w:sz w:val="24"/>
          <w:szCs w:val="24"/>
        </w:rPr>
        <w:t xml:space="preserve"> dom</w:t>
      </w:r>
      <w:r w:rsidR="00CA4D5E">
        <w:rPr>
          <w:i/>
          <w:sz w:val="24"/>
          <w:szCs w:val="24"/>
        </w:rPr>
        <w:t>”</w:t>
      </w:r>
      <w:r>
        <w:rPr>
          <w:sz w:val="24"/>
          <w:szCs w:val="24"/>
        </w:rPr>
        <w:t xml:space="preserve"> is not the true basis for barring the mourner from engaging in </w:t>
      </w:r>
      <w:r w:rsidRPr="00104B6F">
        <w:rPr>
          <w:i/>
          <w:sz w:val="24"/>
          <w:szCs w:val="24"/>
        </w:rPr>
        <w:t>talmud Torah</w:t>
      </w:r>
      <w:r>
        <w:rPr>
          <w:sz w:val="24"/>
          <w:szCs w:val="24"/>
        </w:rPr>
        <w:t>.</w:t>
      </w:r>
      <w:r>
        <w:rPr>
          <w:sz w:val="24"/>
          <w:szCs w:val="24"/>
          <w:vertAlign w:val="superscript"/>
        </w:rPr>
        <w:footnoteReference w:id="5"/>
      </w:r>
      <w:r>
        <w:rPr>
          <w:sz w:val="24"/>
          <w:szCs w:val="24"/>
        </w:rPr>
        <w:t xml:space="preserve"> </w:t>
      </w:r>
    </w:p>
    <w:p w14:paraId="5F27355E" w14:textId="77777777" w:rsidR="00104B6F" w:rsidRDefault="00104B6F" w:rsidP="00BD28A4">
      <w:pPr>
        <w:spacing w:line="240" w:lineRule="auto"/>
        <w:jc w:val="both"/>
        <w:rPr>
          <w:sz w:val="24"/>
          <w:szCs w:val="24"/>
        </w:rPr>
      </w:pPr>
    </w:p>
    <w:p w14:paraId="7E3740DE" w14:textId="77777777" w:rsidR="00104B6F" w:rsidRDefault="00104B6F" w:rsidP="00BD28A4">
      <w:pPr>
        <w:spacing w:line="240" w:lineRule="auto"/>
        <w:jc w:val="both"/>
        <w:rPr>
          <w:sz w:val="24"/>
          <w:szCs w:val="24"/>
        </w:rPr>
      </w:pPr>
      <w:r>
        <w:rPr>
          <w:sz w:val="24"/>
          <w:szCs w:val="24"/>
        </w:rPr>
        <w:t xml:space="preserve">Others, including Rabbeinu </w:t>
      </w:r>
      <w:r w:rsidR="006C6FB1">
        <w:rPr>
          <w:sz w:val="24"/>
          <w:szCs w:val="24"/>
        </w:rPr>
        <w:t>Yitzchak</w:t>
      </w:r>
      <w:r w:rsidR="00CA4D5E">
        <w:rPr>
          <w:sz w:val="24"/>
          <w:szCs w:val="24"/>
        </w:rPr>
        <w:t xml:space="preserve"> (cited by</w:t>
      </w:r>
      <w:r>
        <w:rPr>
          <w:sz w:val="24"/>
          <w:szCs w:val="24"/>
        </w:rPr>
        <w:t xml:space="preserve"> Tosafot above</w:t>
      </w:r>
      <w:r w:rsidR="004E2B7E">
        <w:rPr>
          <w:sz w:val="24"/>
          <w:szCs w:val="24"/>
          <w:lang w:val="en-US"/>
        </w:rPr>
        <w:t xml:space="preserve">; cf. </w:t>
      </w:r>
      <w:r w:rsidR="004E2B7E">
        <w:rPr>
          <w:sz w:val="24"/>
          <w:szCs w:val="24"/>
        </w:rPr>
        <w:t xml:space="preserve">Meiri, </w:t>
      </w:r>
      <w:r w:rsidR="003F5BA4">
        <w:rPr>
          <w:i/>
          <w:sz w:val="24"/>
          <w:szCs w:val="24"/>
        </w:rPr>
        <w:t>Mo’ed</w:t>
      </w:r>
      <w:r>
        <w:rPr>
          <w:i/>
          <w:sz w:val="24"/>
          <w:szCs w:val="24"/>
        </w:rPr>
        <w:t xml:space="preserve"> Katan</w:t>
      </w:r>
      <w:r>
        <w:rPr>
          <w:sz w:val="24"/>
          <w:szCs w:val="24"/>
        </w:rPr>
        <w:t xml:space="preserve"> 15a</w:t>
      </w:r>
      <w:r w:rsidR="00CA4D5E">
        <w:rPr>
          <w:sz w:val="24"/>
          <w:szCs w:val="24"/>
        </w:rPr>
        <w:t>,</w:t>
      </w:r>
      <w:r>
        <w:rPr>
          <w:sz w:val="24"/>
          <w:szCs w:val="24"/>
        </w:rPr>
        <w:t xml:space="preserve"> s.v. </w:t>
      </w:r>
      <w:r w:rsidR="006C6FB1">
        <w:rPr>
          <w:i/>
          <w:sz w:val="24"/>
          <w:szCs w:val="24"/>
        </w:rPr>
        <w:t>Avel</w:t>
      </w:r>
      <w:r>
        <w:rPr>
          <w:sz w:val="24"/>
          <w:szCs w:val="24"/>
        </w:rPr>
        <w:t xml:space="preserve">), disagree, maintaining that there remains a basic distinction between the </w:t>
      </w:r>
      <w:r w:rsidR="004E2B7E">
        <w:rPr>
          <w:sz w:val="24"/>
          <w:szCs w:val="24"/>
        </w:rPr>
        <w:t xml:space="preserve">nature of the prohibition for </w:t>
      </w:r>
      <w:r w:rsidR="000D3B22">
        <w:rPr>
          <w:sz w:val="24"/>
          <w:szCs w:val="24"/>
        </w:rPr>
        <w:t>typical</w:t>
      </w:r>
      <w:r w:rsidR="004E2B7E">
        <w:rPr>
          <w:sz w:val="24"/>
          <w:szCs w:val="24"/>
        </w:rPr>
        <w:t xml:space="preserve"> </w:t>
      </w:r>
      <w:r>
        <w:rPr>
          <w:sz w:val="24"/>
          <w:szCs w:val="24"/>
        </w:rPr>
        <w:t>mourner</w:t>
      </w:r>
      <w:r w:rsidR="004E2B7E">
        <w:rPr>
          <w:sz w:val="24"/>
          <w:szCs w:val="24"/>
        </w:rPr>
        <w:t>s</w:t>
      </w:r>
      <w:r>
        <w:rPr>
          <w:sz w:val="24"/>
          <w:szCs w:val="24"/>
        </w:rPr>
        <w:t xml:space="preserve"> versus </w:t>
      </w:r>
      <w:r w:rsidR="004E2B7E">
        <w:rPr>
          <w:sz w:val="24"/>
          <w:szCs w:val="24"/>
        </w:rPr>
        <w:t xml:space="preserve">the </w:t>
      </w:r>
      <w:r w:rsidR="000D3B22">
        <w:rPr>
          <w:sz w:val="24"/>
          <w:szCs w:val="24"/>
        </w:rPr>
        <w:t>prohibition</w:t>
      </w:r>
      <w:r w:rsidR="004E2B7E">
        <w:rPr>
          <w:sz w:val="24"/>
          <w:szCs w:val="24"/>
        </w:rPr>
        <w:t xml:space="preserve"> on </w:t>
      </w:r>
      <w:r>
        <w:rPr>
          <w:sz w:val="24"/>
          <w:szCs w:val="24"/>
        </w:rPr>
        <w:t xml:space="preserve">Tisha </w:t>
      </w:r>
      <w:r w:rsidR="00E10694">
        <w:rPr>
          <w:sz w:val="24"/>
          <w:szCs w:val="24"/>
        </w:rPr>
        <w:t>Be-Av</w:t>
      </w:r>
      <w:r>
        <w:rPr>
          <w:sz w:val="24"/>
          <w:szCs w:val="24"/>
        </w:rPr>
        <w:t>. In Meiri’s words, “</w:t>
      </w:r>
      <w:r w:rsidR="004E2B7E">
        <w:rPr>
          <w:sz w:val="24"/>
          <w:szCs w:val="24"/>
        </w:rPr>
        <w:t xml:space="preserve">For </w:t>
      </w:r>
      <w:r>
        <w:rPr>
          <w:sz w:val="24"/>
          <w:szCs w:val="24"/>
        </w:rPr>
        <w:t xml:space="preserve">the </w:t>
      </w:r>
      <w:r>
        <w:rPr>
          <w:i/>
          <w:sz w:val="24"/>
          <w:szCs w:val="24"/>
        </w:rPr>
        <w:t>avel</w:t>
      </w:r>
      <w:r w:rsidR="004E2B7E">
        <w:rPr>
          <w:i/>
          <w:sz w:val="24"/>
          <w:szCs w:val="24"/>
        </w:rPr>
        <w:t>,</w:t>
      </w:r>
      <w:r w:rsidR="004E2B7E">
        <w:rPr>
          <w:sz w:val="24"/>
          <w:szCs w:val="24"/>
        </w:rPr>
        <w:t xml:space="preserve"> the matter depends on silence; </w:t>
      </w:r>
      <w:r>
        <w:rPr>
          <w:sz w:val="24"/>
          <w:szCs w:val="24"/>
        </w:rPr>
        <w:t xml:space="preserve">whereas on Tisha </w:t>
      </w:r>
      <w:r w:rsidR="00E10694">
        <w:rPr>
          <w:sz w:val="24"/>
          <w:szCs w:val="24"/>
        </w:rPr>
        <w:t>Be-Av</w:t>
      </w:r>
      <w:r w:rsidR="004E2B7E">
        <w:rPr>
          <w:sz w:val="24"/>
          <w:szCs w:val="24"/>
        </w:rPr>
        <w:t>,</w:t>
      </w:r>
      <w:r>
        <w:rPr>
          <w:sz w:val="24"/>
          <w:szCs w:val="24"/>
        </w:rPr>
        <w:t xml:space="preserve"> it is only a matter of suffering.” </w:t>
      </w:r>
    </w:p>
    <w:p w14:paraId="28C0902B" w14:textId="77777777" w:rsidR="00104B6F" w:rsidRDefault="00104B6F" w:rsidP="00BD28A4">
      <w:pPr>
        <w:spacing w:line="240" w:lineRule="auto"/>
        <w:jc w:val="both"/>
        <w:rPr>
          <w:sz w:val="24"/>
          <w:szCs w:val="24"/>
        </w:rPr>
      </w:pPr>
    </w:p>
    <w:p w14:paraId="7E677D7C" w14:textId="77777777" w:rsidR="00104B6F" w:rsidRDefault="00104B6F" w:rsidP="00BD28A4">
      <w:pPr>
        <w:spacing w:line="240" w:lineRule="auto"/>
        <w:jc w:val="both"/>
        <w:rPr>
          <w:sz w:val="24"/>
          <w:szCs w:val="24"/>
        </w:rPr>
      </w:pPr>
      <w:r>
        <w:rPr>
          <w:sz w:val="24"/>
          <w:szCs w:val="24"/>
        </w:rPr>
        <w:t xml:space="preserve">Assuming we do take the view that the mourner’s prohibition is truly rooted in “silence,” we must inquire more deeply as to its reasoning. The mourner, after all, is not barred from speaking. And if the matter is dependent on interacting with </w:t>
      </w:r>
      <w:r>
        <w:rPr>
          <w:sz w:val="24"/>
          <w:szCs w:val="24"/>
        </w:rPr>
        <w:lastRenderedPageBreak/>
        <w:t xml:space="preserve">others, as the </w:t>
      </w:r>
      <w:r>
        <w:rPr>
          <w:i/>
          <w:sz w:val="24"/>
          <w:szCs w:val="24"/>
        </w:rPr>
        <w:t>issur</w:t>
      </w:r>
      <w:r>
        <w:rPr>
          <w:sz w:val="24"/>
          <w:szCs w:val="24"/>
        </w:rPr>
        <w:t xml:space="preserve"> of exchanging pleasantries would appear to imply, why is he barred from private Torah study?</w:t>
      </w:r>
      <w:r>
        <w:rPr>
          <w:sz w:val="24"/>
          <w:szCs w:val="24"/>
          <w:vertAlign w:val="superscript"/>
        </w:rPr>
        <w:footnoteReference w:id="6"/>
      </w:r>
      <w:r>
        <w:rPr>
          <w:sz w:val="24"/>
          <w:szCs w:val="24"/>
        </w:rPr>
        <w:t xml:space="preserve"> </w:t>
      </w:r>
    </w:p>
    <w:p w14:paraId="63460344" w14:textId="77777777" w:rsidR="00104B6F" w:rsidRDefault="00104B6F" w:rsidP="00BD28A4">
      <w:pPr>
        <w:spacing w:line="240" w:lineRule="auto"/>
        <w:jc w:val="both"/>
        <w:rPr>
          <w:sz w:val="24"/>
          <w:szCs w:val="24"/>
        </w:rPr>
      </w:pPr>
    </w:p>
    <w:p w14:paraId="0FF84669" w14:textId="77777777" w:rsidR="00104B6F" w:rsidRDefault="00104B6F" w:rsidP="00BD28A4">
      <w:pPr>
        <w:spacing w:line="240" w:lineRule="auto"/>
        <w:jc w:val="both"/>
        <w:rPr>
          <w:sz w:val="24"/>
          <w:szCs w:val="24"/>
        </w:rPr>
      </w:pPr>
      <w:r>
        <w:rPr>
          <w:sz w:val="24"/>
          <w:szCs w:val="24"/>
        </w:rPr>
        <w:t xml:space="preserve">Another perplexing detail in the Gemara should be noted in this context. </w:t>
      </w:r>
      <w:r w:rsidR="003F5BA4">
        <w:rPr>
          <w:i/>
          <w:sz w:val="24"/>
          <w:szCs w:val="24"/>
        </w:rPr>
        <w:t>Mo’ed</w:t>
      </w:r>
      <w:r>
        <w:rPr>
          <w:i/>
          <w:sz w:val="24"/>
          <w:szCs w:val="24"/>
        </w:rPr>
        <w:t xml:space="preserve"> Katan</w:t>
      </w:r>
      <w:r>
        <w:rPr>
          <w:sz w:val="24"/>
          <w:szCs w:val="24"/>
        </w:rPr>
        <w:t xml:space="preserve"> 21a rules that if the mourner is needed by the community, he may teach them Torah. This seems unusual: if he is barred from Torah study, why do we relax the prohibition simply because he is needed by the community? Similarly, the Yerushalmi (</w:t>
      </w:r>
      <w:r w:rsidR="003F5BA4">
        <w:rPr>
          <w:i/>
          <w:sz w:val="24"/>
          <w:szCs w:val="24"/>
        </w:rPr>
        <w:t>Mo’ed</w:t>
      </w:r>
      <w:r>
        <w:rPr>
          <w:i/>
          <w:sz w:val="24"/>
          <w:szCs w:val="24"/>
        </w:rPr>
        <w:t xml:space="preserve"> Katan </w:t>
      </w:r>
      <w:r w:rsidR="004E2B7E">
        <w:rPr>
          <w:sz w:val="24"/>
          <w:szCs w:val="24"/>
        </w:rPr>
        <w:t>3:5, cited in</w:t>
      </w:r>
      <w:r>
        <w:rPr>
          <w:sz w:val="24"/>
          <w:szCs w:val="24"/>
        </w:rPr>
        <w:t xml:space="preserve"> </w:t>
      </w:r>
      <w:r w:rsidR="006C6FB1">
        <w:rPr>
          <w:i/>
          <w:sz w:val="24"/>
          <w:szCs w:val="24"/>
        </w:rPr>
        <w:t>Beit Yosef</w:t>
      </w:r>
      <w:r w:rsidR="004E2B7E">
        <w:rPr>
          <w:i/>
          <w:sz w:val="24"/>
          <w:szCs w:val="24"/>
        </w:rPr>
        <w:t>,</w:t>
      </w:r>
      <w:r w:rsidR="006C6FB1">
        <w:rPr>
          <w:i/>
          <w:sz w:val="24"/>
          <w:szCs w:val="24"/>
        </w:rPr>
        <w:t xml:space="preserve"> YD</w:t>
      </w:r>
      <w:r>
        <w:rPr>
          <w:sz w:val="24"/>
          <w:szCs w:val="24"/>
        </w:rPr>
        <w:t xml:space="preserve"> 384), rules that a mourner who feels compelled to study (literally </w:t>
      </w:r>
      <w:r>
        <w:rPr>
          <w:i/>
          <w:sz w:val="24"/>
          <w:szCs w:val="24"/>
        </w:rPr>
        <w:t>lahut achar ha-Torah</w:t>
      </w:r>
      <w:r>
        <w:rPr>
          <w:sz w:val="24"/>
          <w:szCs w:val="24"/>
        </w:rPr>
        <w:t>, ignited to pursue Torah) may do so. Again, why break the rules simply for one who wants to study? Do we permit milk and meat for someone who craves a cheeseburger?</w:t>
      </w:r>
    </w:p>
    <w:p w14:paraId="42B1E38A" w14:textId="77777777" w:rsidR="00104B6F" w:rsidRDefault="00104B6F" w:rsidP="00BD28A4">
      <w:pPr>
        <w:spacing w:line="240" w:lineRule="auto"/>
        <w:jc w:val="both"/>
        <w:rPr>
          <w:sz w:val="24"/>
          <w:szCs w:val="24"/>
        </w:rPr>
      </w:pPr>
    </w:p>
    <w:p w14:paraId="3D730438" w14:textId="77777777" w:rsidR="00104B6F" w:rsidRDefault="00104B6F" w:rsidP="00BD28A4">
      <w:pPr>
        <w:spacing w:line="240" w:lineRule="auto"/>
        <w:jc w:val="both"/>
        <w:rPr>
          <w:sz w:val="24"/>
          <w:szCs w:val="24"/>
        </w:rPr>
      </w:pPr>
      <w:r>
        <w:rPr>
          <w:sz w:val="24"/>
          <w:szCs w:val="24"/>
        </w:rPr>
        <w:t xml:space="preserve">To appreciate what is happening, let us turn to a classic </w:t>
      </w:r>
      <w:r w:rsidR="006C6FB1">
        <w:rPr>
          <w:i/>
          <w:sz w:val="24"/>
          <w:szCs w:val="24"/>
        </w:rPr>
        <w:t>aggada</w:t>
      </w:r>
      <w:r>
        <w:rPr>
          <w:sz w:val="24"/>
          <w:szCs w:val="24"/>
        </w:rPr>
        <w:t xml:space="preserve"> in </w:t>
      </w:r>
      <w:r w:rsidR="006C6FB1">
        <w:rPr>
          <w:i/>
          <w:sz w:val="24"/>
          <w:szCs w:val="24"/>
        </w:rPr>
        <w:t>Nida</w:t>
      </w:r>
      <w:r>
        <w:rPr>
          <w:sz w:val="24"/>
          <w:szCs w:val="24"/>
        </w:rPr>
        <w:t xml:space="preserve"> (30b). The Gemara teaches:</w:t>
      </w:r>
    </w:p>
    <w:p w14:paraId="00759F15" w14:textId="77777777" w:rsidR="00104B6F" w:rsidRDefault="00104B6F" w:rsidP="00BD28A4">
      <w:pPr>
        <w:spacing w:line="240" w:lineRule="auto"/>
        <w:jc w:val="both"/>
        <w:rPr>
          <w:sz w:val="24"/>
          <w:szCs w:val="24"/>
        </w:rPr>
      </w:pPr>
    </w:p>
    <w:p w14:paraId="3B6487BA" w14:textId="77777777" w:rsidR="00104B6F" w:rsidRDefault="00104B6F" w:rsidP="00BD28A4">
      <w:pPr>
        <w:spacing w:line="240" w:lineRule="auto"/>
        <w:ind w:left="720"/>
        <w:jc w:val="both"/>
        <w:rPr>
          <w:sz w:val="24"/>
          <w:szCs w:val="24"/>
        </w:rPr>
      </w:pPr>
      <w:r>
        <w:rPr>
          <w:sz w:val="24"/>
          <w:szCs w:val="24"/>
        </w:rPr>
        <w:t>R. Simlai delivered the following discourse: What</w:t>
      </w:r>
      <w:r w:rsidR="005537A7">
        <w:rPr>
          <w:sz w:val="24"/>
          <w:szCs w:val="24"/>
        </w:rPr>
        <w:t xml:space="preserve"> is the fetus like in its mother’s womb</w:t>
      </w:r>
      <w:r>
        <w:rPr>
          <w:sz w:val="24"/>
          <w:szCs w:val="24"/>
        </w:rPr>
        <w:t>? A folded writing tablet. Its hands rest on its two temples respectively… A light burns above its head and it looks and sees from one end of the world to the other, as it is said, “Then his lamp shined above my head, and by His light I walked through darkness” (</w:t>
      </w:r>
      <w:r w:rsidR="00AB6F4F">
        <w:rPr>
          <w:i/>
          <w:sz w:val="24"/>
          <w:szCs w:val="24"/>
        </w:rPr>
        <w:t xml:space="preserve">Iyov </w:t>
      </w:r>
      <w:r>
        <w:rPr>
          <w:sz w:val="24"/>
          <w:szCs w:val="24"/>
        </w:rPr>
        <w:t>29</w:t>
      </w:r>
      <w:r w:rsidR="005537A7">
        <w:rPr>
          <w:sz w:val="24"/>
          <w:szCs w:val="24"/>
        </w:rPr>
        <w:t>:3</w:t>
      </w:r>
      <w:r>
        <w:rPr>
          <w:sz w:val="24"/>
          <w:szCs w:val="24"/>
        </w:rPr>
        <w:t>)... And there is no time in which a man enjoys greater happiness than in those days, for it is said, “O that I were as the months of old, as in the days when God watched over me” (ibid.</w:t>
      </w:r>
      <w:r w:rsidR="005537A7">
        <w:rPr>
          <w:sz w:val="24"/>
          <w:szCs w:val="24"/>
        </w:rPr>
        <w:t xml:space="preserve"> v. 2</w:t>
      </w:r>
      <w:r>
        <w:rPr>
          <w:sz w:val="24"/>
          <w:szCs w:val="24"/>
        </w:rPr>
        <w:t>).</w:t>
      </w:r>
      <w:r w:rsidR="005537A7">
        <w:rPr>
          <w:sz w:val="24"/>
          <w:szCs w:val="24"/>
        </w:rPr>
        <w:t xml:space="preserve"> </w:t>
      </w:r>
      <w:r>
        <w:rPr>
          <w:sz w:val="24"/>
          <w:szCs w:val="24"/>
        </w:rPr>
        <w:t>It is also taught all the Torah from beginning to end, for it is said, “And he taught me, and said unto me: Let</w:t>
      </w:r>
      <w:r w:rsidR="005537A7">
        <w:rPr>
          <w:sz w:val="24"/>
          <w:szCs w:val="24"/>
        </w:rPr>
        <w:t xml:space="preserve"> your</w:t>
      </w:r>
      <w:r>
        <w:rPr>
          <w:sz w:val="24"/>
          <w:szCs w:val="24"/>
        </w:rPr>
        <w:t xml:space="preserve"> heart hold fast my words, keep my commandments and live” (</w:t>
      </w:r>
      <w:r>
        <w:rPr>
          <w:i/>
          <w:sz w:val="24"/>
          <w:szCs w:val="24"/>
        </w:rPr>
        <w:t>Mishlei</w:t>
      </w:r>
      <w:r w:rsidR="005537A7">
        <w:rPr>
          <w:sz w:val="24"/>
          <w:szCs w:val="24"/>
        </w:rPr>
        <w:t xml:space="preserve"> </w:t>
      </w:r>
      <w:r>
        <w:rPr>
          <w:sz w:val="24"/>
          <w:szCs w:val="24"/>
        </w:rPr>
        <w:t>4</w:t>
      </w:r>
      <w:r w:rsidR="005537A7">
        <w:rPr>
          <w:sz w:val="24"/>
          <w:szCs w:val="24"/>
        </w:rPr>
        <w:t>:4</w:t>
      </w:r>
      <w:r>
        <w:rPr>
          <w:sz w:val="24"/>
          <w:szCs w:val="24"/>
        </w:rPr>
        <w:t>), and it is a</w:t>
      </w:r>
      <w:r w:rsidR="005537A7">
        <w:rPr>
          <w:sz w:val="24"/>
          <w:szCs w:val="24"/>
        </w:rPr>
        <w:t>lso said, “When God was familiar in</w:t>
      </w:r>
      <w:r>
        <w:rPr>
          <w:sz w:val="24"/>
          <w:szCs w:val="24"/>
        </w:rPr>
        <w:t xml:space="preserve"> my tent” (</w:t>
      </w:r>
      <w:r>
        <w:rPr>
          <w:i/>
          <w:sz w:val="24"/>
          <w:szCs w:val="24"/>
        </w:rPr>
        <w:t>Iyov</w:t>
      </w:r>
      <w:r>
        <w:rPr>
          <w:sz w:val="24"/>
          <w:szCs w:val="24"/>
        </w:rPr>
        <w:t xml:space="preserve"> 29</w:t>
      </w:r>
      <w:r w:rsidR="005537A7">
        <w:rPr>
          <w:sz w:val="24"/>
          <w:szCs w:val="24"/>
        </w:rPr>
        <w:t>:4</w:t>
      </w:r>
      <w:r>
        <w:rPr>
          <w:sz w:val="24"/>
          <w:szCs w:val="24"/>
        </w:rPr>
        <w:t>).</w:t>
      </w:r>
    </w:p>
    <w:p w14:paraId="1AB7ACA9" w14:textId="77777777" w:rsidR="00104B6F" w:rsidRDefault="00104B6F" w:rsidP="00BD28A4">
      <w:pPr>
        <w:spacing w:line="240" w:lineRule="auto"/>
        <w:jc w:val="both"/>
        <w:rPr>
          <w:sz w:val="24"/>
          <w:szCs w:val="24"/>
        </w:rPr>
      </w:pPr>
    </w:p>
    <w:p w14:paraId="13679648" w14:textId="77777777" w:rsidR="00104B6F" w:rsidRDefault="00104B6F" w:rsidP="00BD28A4">
      <w:pPr>
        <w:spacing w:line="240" w:lineRule="auto"/>
        <w:jc w:val="both"/>
        <w:rPr>
          <w:sz w:val="24"/>
          <w:szCs w:val="24"/>
        </w:rPr>
      </w:pPr>
      <w:r>
        <w:rPr>
          <w:sz w:val="24"/>
          <w:szCs w:val="24"/>
        </w:rPr>
        <w:t>What co</w:t>
      </w:r>
      <w:r w:rsidR="005537A7">
        <w:rPr>
          <w:sz w:val="24"/>
          <w:szCs w:val="24"/>
        </w:rPr>
        <w:t>uld this</w:t>
      </w:r>
      <w:r>
        <w:rPr>
          <w:sz w:val="24"/>
          <w:szCs w:val="24"/>
        </w:rPr>
        <w:t xml:space="preserve"> possibly mean? Why learn in order to forget? </w:t>
      </w:r>
    </w:p>
    <w:p w14:paraId="07FCF531" w14:textId="77777777" w:rsidR="00104B6F" w:rsidRDefault="00104B6F" w:rsidP="00BD28A4">
      <w:pPr>
        <w:spacing w:line="240" w:lineRule="auto"/>
        <w:jc w:val="both"/>
        <w:rPr>
          <w:sz w:val="24"/>
          <w:szCs w:val="24"/>
        </w:rPr>
      </w:pPr>
    </w:p>
    <w:p w14:paraId="0E5712A6" w14:textId="77777777" w:rsidR="00104B6F" w:rsidRDefault="005537A7" w:rsidP="00BD28A4">
      <w:pPr>
        <w:spacing w:line="240" w:lineRule="auto"/>
        <w:jc w:val="both"/>
        <w:rPr>
          <w:sz w:val="24"/>
          <w:szCs w:val="24"/>
        </w:rPr>
      </w:pPr>
      <w:r>
        <w:rPr>
          <w:sz w:val="24"/>
          <w:szCs w:val="24"/>
        </w:rPr>
        <w:t>As Rav Soloveitchik notes</w:t>
      </w:r>
      <w:r w:rsidR="00104B6F">
        <w:rPr>
          <w:sz w:val="24"/>
          <w:szCs w:val="24"/>
        </w:rPr>
        <w:t xml:space="preserve"> in his article “Redemption, Prayer, </w:t>
      </w:r>
      <w:r>
        <w:rPr>
          <w:i/>
          <w:sz w:val="24"/>
          <w:szCs w:val="24"/>
        </w:rPr>
        <w:t>T</w:t>
      </w:r>
      <w:r w:rsidR="00104B6F" w:rsidRPr="00104B6F">
        <w:rPr>
          <w:i/>
          <w:sz w:val="24"/>
          <w:szCs w:val="24"/>
        </w:rPr>
        <w:t>almud Torah</w:t>
      </w:r>
      <w:r w:rsidR="00104B6F">
        <w:rPr>
          <w:sz w:val="24"/>
          <w:szCs w:val="24"/>
        </w:rPr>
        <w:t>” (</w:t>
      </w:r>
      <w:r w:rsidR="00104B6F">
        <w:rPr>
          <w:i/>
          <w:sz w:val="24"/>
          <w:szCs w:val="24"/>
        </w:rPr>
        <w:t>Tradition</w:t>
      </w:r>
      <w:r w:rsidR="00104B6F">
        <w:rPr>
          <w:sz w:val="24"/>
          <w:szCs w:val="24"/>
        </w:rPr>
        <w:t xml:space="preserve"> 17:2, pp. 55-72)</w:t>
      </w:r>
      <w:r>
        <w:rPr>
          <w:sz w:val="24"/>
          <w:szCs w:val="24"/>
        </w:rPr>
        <w:t>,</w:t>
      </w:r>
      <w:r w:rsidR="00104B6F">
        <w:rPr>
          <w:sz w:val="24"/>
          <w:szCs w:val="24"/>
          <w:vertAlign w:val="superscript"/>
        </w:rPr>
        <w:footnoteReference w:id="7"/>
      </w:r>
      <w:r>
        <w:rPr>
          <w:sz w:val="24"/>
          <w:szCs w:val="24"/>
        </w:rPr>
        <w:t xml:space="preserve"> this passage</w:t>
      </w:r>
      <w:r w:rsidR="00104B6F">
        <w:rPr>
          <w:sz w:val="24"/>
          <w:szCs w:val="24"/>
        </w:rPr>
        <w:t xml:space="preserve"> is highly reminiscent of the Platonic theory of anamnesis, which asserts that all learning is really a form of recollection.</w:t>
      </w:r>
      <w:r w:rsidR="00104B6F">
        <w:rPr>
          <w:sz w:val="24"/>
          <w:szCs w:val="24"/>
          <w:vertAlign w:val="superscript"/>
        </w:rPr>
        <w:footnoteReference w:id="8"/>
      </w:r>
      <w:r w:rsidR="00104B6F">
        <w:rPr>
          <w:sz w:val="24"/>
          <w:szCs w:val="24"/>
        </w:rPr>
        <w:t xml:space="preserve"> While at least in some instances Plato presents this notion on the basis of the immortality of the soul, the Gemara does not invoke the transmigration of the soul. Ins</w:t>
      </w:r>
      <w:r>
        <w:rPr>
          <w:sz w:val="24"/>
          <w:szCs w:val="24"/>
        </w:rPr>
        <w:t>tead, as the Rav contends, the R</w:t>
      </w:r>
      <w:r w:rsidR="00104B6F">
        <w:rPr>
          <w:sz w:val="24"/>
          <w:szCs w:val="24"/>
        </w:rPr>
        <w:t>abbis seem to be suggesting that the Torah is an essential part of our identity. In the Rav’s words:</w:t>
      </w:r>
    </w:p>
    <w:p w14:paraId="3D732679" w14:textId="77777777" w:rsidR="00104B6F" w:rsidRDefault="00104B6F" w:rsidP="00BD28A4">
      <w:pPr>
        <w:spacing w:line="240" w:lineRule="auto"/>
        <w:jc w:val="both"/>
        <w:rPr>
          <w:sz w:val="24"/>
          <w:szCs w:val="24"/>
        </w:rPr>
      </w:pPr>
    </w:p>
    <w:p w14:paraId="0597C455" w14:textId="77777777" w:rsidR="00104B6F" w:rsidRDefault="00104B6F" w:rsidP="00BD28A4">
      <w:pPr>
        <w:spacing w:line="240" w:lineRule="auto"/>
        <w:ind w:left="720"/>
        <w:jc w:val="both"/>
        <w:rPr>
          <w:sz w:val="24"/>
          <w:szCs w:val="24"/>
        </w:rPr>
      </w:pPr>
      <w:r>
        <w:rPr>
          <w:sz w:val="24"/>
          <w:szCs w:val="24"/>
        </w:rPr>
        <w:t xml:space="preserve">R. Simlai wanted to tell us that when a Jew studies Torah he is confronted with something which is not foreign and extraneous, but rather intimate </w:t>
      </w:r>
      <w:r>
        <w:rPr>
          <w:sz w:val="24"/>
          <w:szCs w:val="24"/>
        </w:rPr>
        <w:lastRenderedPageBreak/>
        <w:t>and already familiar, because he has already studied it, and the knowledge was stored up in the recesses of his memory and became part of him. He studies, in effect, his own stuff. Learning is the recollection of something familiar. The Jew studying Torah is like the amnesia victim who tries to reconstruct from fragments the beautiful world he once experienced. In other words, by learning Torah man returns to his own self; man finds himself, and advances toward a charted, illuminated and speaking I-existence. Once he finds himself, he finds redemption. (</w:t>
      </w:r>
      <w:r w:rsidR="005D64E9">
        <w:rPr>
          <w:sz w:val="24"/>
          <w:szCs w:val="24"/>
        </w:rPr>
        <w:t>ibid.</w:t>
      </w:r>
      <w:r>
        <w:rPr>
          <w:sz w:val="24"/>
          <w:szCs w:val="24"/>
        </w:rPr>
        <w:t xml:space="preserve"> 69) </w:t>
      </w:r>
    </w:p>
    <w:p w14:paraId="2A539239" w14:textId="77777777" w:rsidR="00104B6F" w:rsidRDefault="00104B6F" w:rsidP="00BD28A4">
      <w:pPr>
        <w:spacing w:line="240" w:lineRule="auto"/>
        <w:jc w:val="both"/>
        <w:rPr>
          <w:sz w:val="24"/>
          <w:szCs w:val="24"/>
        </w:rPr>
      </w:pPr>
    </w:p>
    <w:p w14:paraId="631D6807" w14:textId="77777777" w:rsidR="00104B6F" w:rsidRDefault="00104B6F" w:rsidP="00BD28A4">
      <w:pPr>
        <w:spacing w:line="240" w:lineRule="auto"/>
        <w:jc w:val="both"/>
        <w:rPr>
          <w:sz w:val="24"/>
          <w:szCs w:val="24"/>
        </w:rPr>
      </w:pPr>
      <w:r>
        <w:rPr>
          <w:sz w:val="24"/>
          <w:szCs w:val="24"/>
        </w:rPr>
        <w:t xml:space="preserve">In light of Rav Soloveitchik’s striking thesis, we may better understand the nature of the mourner's </w:t>
      </w:r>
      <w:r w:rsidR="005537A7">
        <w:rPr>
          <w:sz w:val="24"/>
          <w:szCs w:val="24"/>
        </w:rPr>
        <w:t>exclusion from</w:t>
      </w:r>
      <w:r>
        <w:rPr>
          <w:sz w:val="24"/>
          <w:szCs w:val="24"/>
        </w:rPr>
        <w:t xml:space="preserve"> </w:t>
      </w:r>
      <w:r w:rsidRPr="00104B6F">
        <w:rPr>
          <w:i/>
          <w:sz w:val="24"/>
          <w:szCs w:val="24"/>
        </w:rPr>
        <w:t>talmud Torah</w:t>
      </w:r>
      <w:r>
        <w:rPr>
          <w:sz w:val="24"/>
          <w:szCs w:val="24"/>
        </w:rPr>
        <w:t xml:space="preserve">. </w:t>
      </w:r>
      <w:r w:rsidR="005537A7">
        <w:rPr>
          <w:i/>
          <w:sz w:val="24"/>
          <w:szCs w:val="24"/>
        </w:rPr>
        <w:t>T</w:t>
      </w:r>
      <w:r w:rsidRPr="00104B6F">
        <w:rPr>
          <w:i/>
          <w:sz w:val="24"/>
          <w:szCs w:val="24"/>
        </w:rPr>
        <w:t>almud Torah</w:t>
      </w:r>
      <w:r>
        <w:rPr>
          <w:sz w:val="24"/>
          <w:szCs w:val="24"/>
        </w:rPr>
        <w:t xml:space="preserve"> is a form of self-expression in that it constitutes a search for personal identity. By learning, we find not only the wisdom of Torah but also, in a sense, our deeper selves. Such a search for personal identity is contrary to the experience of the mourner. An </w:t>
      </w:r>
      <w:r>
        <w:rPr>
          <w:i/>
          <w:sz w:val="24"/>
          <w:szCs w:val="24"/>
        </w:rPr>
        <w:t>avel</w:t>
      </w:r>
      <w:r>
        <w:rPr>
          <w:sz w:val="24"/>
          <w:szCs w:val="24"/>
        </w:rPr>
        <w:t xml:space="preserve"> experiences a sense of alienation not only from those around him (</w:t>
      </w:r>
      <w:r w:rsidR="005537A7">
        <w:rPr>
          <w:sz w:val="24"/>
          <w:szCs w:val="24"/>
        </w:rPr>
        <w:t xml:space="preserve">as </w:t>
      </w:r>
      <w:r w:rsidR="000D3B22">
        <w:rPr>
          <w:sz w:val="24"/>
          <w:szCs w:val="24"/>
        </w:rPr>
        <w:t>exemplified</w:t>
      </w:r>
      <w:r w:rsidR="005537A7">
        <w:rPr>
          <w:sz w:val="24"/>
          <w:szCs w:val="24"/>
        </w:rPr>
        <w:t xml:space="preserve"> by the </w:t>
      </w:r>
      <w:r w:rsidR="000D3B22">
        <w:rPr>
          <w:sz w:val="24"/>
          <w:szCs w:val="24"/>
        </w:rPr>
        <w:t>prohibition</w:t>
      </w:r>
      <w:r w:rsidR="005537A7">
        <w:rPr>
          <w:sz w:val="24"/>
          <w:szCs w:val="24"/>
        </w:rPr>
        <w:t xml:space="preserve"> of </w:t>
      </w:r>
      <w:r>
        <w:rPr>
          <w:i/>
          <w:sz w:val="24"/>
          <w:szCs w:val="24"/>
        </w:rPr>
        <w:t>she’eilat shalom</w:t>
      </w:r>
      <w:r>
        <w:rPr>
          <w:sz w:val="24"/>
          <w:szCs w:val="24"/>
        </w:rPr>
        <w:t xml:space="preserve">) but also from himself. For this reason, the personal search of Torah study runs counter to the experience of the mourner, who is torn asunder by the terrifying news of personal loss. </w:t>
      </w:r>
    </w:p>
    <w:p w14:paraId="7A2CADC8" w14:textId="77777777" w:rsidR="00104B6F" w:rsidRDefault="00104B6F" w:rsidP="00BD28A4">
      <w:pPr>
        <w:spacing w:line="240" w:lineRule="auto"/>
        <w:jc w:val="both"/>
        <w:rPr>
          <w:sz w:val="24"/>
          <w:szCs w:val="24"/>
        </w:rPr>
      </w:pPr>
    </w:p>
    <w:p w14:paraId="1F13B84F" w14:textId="77777777" w:rsidR="00104B6F" w:rsidRDefault="00104B6F" w:rsidP="00BD28A4">
      <w:pPr>
        <w:spacing w:line="240" w:lineRule="auto"/>
        <w:jc w:val="both"/>
        <w:rPr>
          <w:sz w:val="24"/>
          <w:szCs w:val="24"/>
        </w:rPr>
      </w:pPr>
      <w:r>
        <w:rPr>
          <w:sz w:val="24"/>
          <w:szCs w:val="24"/>
        </w:rPr>
        <w:t xml:space="preserve">Armed with this interpretation, we may return to the two puzzling </w:t>
      </w:r>
      <w:r>
        <w:rPr>
          <w:i/>
          <w:sz w:val="24"/>
          <w:szCs w:val="24"/>
        </w:rPr>
        <w:t>halakhot</w:t>
      </w:r>
      <w:r w:rsidR="005537A7">
        <w:rPr>
          <w:sz w:val="24"/>
          <w:szCs w:val="24"/>
        </w:rPr>
        <w:t xml:space="preserve"> we noted above</w:t>
      </w:r>
      <w:r>
        <w:rPr>
          <w:sz w:val="24"/>
          <w:szCs w:val="24"/>
        </w:rPr>
        <w:t xml:space="preserve">. If Torah study is prohibited, why may the </w:t>
      </w:r>
      <w:r>
        <w:rPr>
          <w:i/>
          <w:sz w:val="24"/>
          <w:szCs w:val="24"/>
        </w:rPr>
        <w:t>avel</w:t>
      </w:r>
      <w:r>
        <w:rPr>
          <w:sz w:val="24"/>
          <w:szCs w:val="24"/>
        </w:rPr>
        <w:t xml:space="preserve"> teach if he is needed by the community? Perhaps the reason for this leniency is that in this instance, the mourner’s motivation</w:t>
      </w:r>
      <w:r w:rsidR="000D3B22">
        <w:rPr>
          <w:sz w:val="24"/>
          <w:szCs w:val="24"/>
        </w:rPr>
        <w:t xml:space="preserve"> in studying is not to forge one’s o</w:t>
      </w:r>
      <w:r>
        <w:rPr>
          <w:sz w:val="24"/>
          <w:szCs w:val="24"/>
        </w:rPr>
        <w:t xml:space="preserve">wn identity but to teach others. In this situation, there is </w:t>
      </w:r>
      <w:r w:rsidR="005537A7">
        <w:rPr>
          <w:sz w:val="24"/>
          <w:szCs w:val="24"/>
        </w:rPr>
        <w:t xml:space="preserve">a </w:t>
      </w:r>
      <w:r>
        <w:rPr>
          <w:sz w:val="24"/>
          <w:szCs w:val="24"/>
        </w:rPr>
        <w:t xml:space="preserve">unique reason for leniency. </w:t>
      </w:r>
    </w:p>
    <w:p w14:paraId="529282D8" w14:textId="77777777" w:rsidR="00104B6F" w:rsidRDefault="00104B6F" w:rsidP="00BD28A4">
      <w:pPr>
        <w:spacing w:line="240" w:lineRule="auto"/>
        <w:jc w:val="both"/>
        <w:rPr>
          <w:sz w:val="24"/>
          <w:szCs w:val="24"/>
        </w:rPr>
      </w:pPr>
    </w:p>
    <w:p w14:paraId="59B271A2" w14:textId="77777777" w:rsidR="00104B6F" w:rsidRDefault="005537A7" w:rsidP="00BD28A4">
      <w:pPr>
        <w:spacing w:line="240" w:lineRule="auto"/>
        <w:jc w:val="both"/>
        <w:rPr>
          <w:sz w:val="24"/>
          <w:szCs w:val="24"/>
        </w:rPr>
      </w:pPr>
      <w:r>
        <w:rPr>
          <w:sz w:val="24"/>
          <w:szCs w:val="24"/>
        </w:rPr>
        <w:t>We may similarly explain t</w:t>
      </w:r>
      <w:r w:rsidR="00104B6F">
        <w:rPr>
          <w:sz w:val="24"/>
          <w:szCs w:val="24"/>
        </w:rPr>
        <w:t xml:space="preserve">he </w:t>
      </w:r>
      <w:r>
        <w:rPr>
          <w:sz w:val="24"/>
          <w:szCs w:val="24"/>
        </w:rPr>
        <w:t xml:space="preserve">passage in the </w:t>
      </w:r>
      <w:r w:rsidR="00104B6F">
        <w:rPr>
          <w:sz w:val="24"/>
          <w:szCs w:val="24"/>
        </w:rPr>
        <w:t xml:space="preserve">Yerushalmi regarding someone who is emotionally attached to </w:t>
      </w:r>
      <w:r w:rsidR="00104B6F" w:rsidRPr="00104B6F">
        <w:rPr>
          <w:i/>
          <w:sz w:val="24"/>
          <w:szCs w:val="24"/>
        </w:rPr>
        <w:t>talmud Torah</w:t>
      </w:r>
      <w:r w:rsidR="000D3B22">
        <w:rPr>
          <w:sz w:val="24"/>
          <w:szCs w:val="24"/>
        </w:rPr>
        <w:t>. Due to one’s</w:t>
      </w:r>
      <w:r w:rsidR="00104B6F">
        <w:rPr>
          <w:sz w:val="24"/>
          <w:szCs w:val="24"/>
        </w:rPr>
        <w:t xml:space="preserve"> love for learning, one whose identity is so inextricably </w:t>
      </w:r>
      <w:r w:rsidR="000D3B22">
        <w:rPr>
          <w:sz w:val="24"/>
          <w:szCs w:val="24"/>
        </w:rPr>
        <w:t>inter</w:t>
      </w:r>
      <w:r w:rsidR="00104B6F">
        <w:rPr>
          <w:sz w:val="24"/>
          <w:szCs w:val="24"/>
        </w:rPr>
        <w:t xml:space="preserve">woven with Torah study will not be capable of foregoing </w:t>
      </w:r>
      <w:r w:rsidR="000D3B22">
        <w:rPr>
          <w:sz w:val="24"/>
          <w:szCs w:val="24"/>
        </w:rPr>
        <w:t>one’</w:t>
      </w:r>
      <w:r w:rsidR="00104B6F">
        <w:rPr>
          <w:sz w:val="24"/>
          <w:szCs w:val="24"/>
        </w:rPr>
        <w:t>s sense of personal identity during the mourning period. For such an individual, there is no use in prohibiting Torah study during</w:t>
      </w:r>
      <w:r w:rsidR="000D3B22">
        <w:rPr>
          <w:sz w:val="24"/>
          <w:szCs w:val="24"/>
        </w:rPr>
        <w:t xml:space="preserve"> this period of</w:t>
      </w:r>
      <w:r w:rsidR="00104B6F">
        <w:rPr>
          <w:sz w:val="24"/>
          <w:szCs w:val="24"/>
        </w:rPr>
        <w:t xml:space="preserve"> </w:t>
      </w:r>
      <w:r w:rsidR="00104B6F">
        <w:rPr>
          <w:i/>
          <w:sz w:val="24"/>
          <w:szCs w:val="24"/>
        </w:rPr>
        <w:t>aveilut</w:t>
      </w:r>
      <w:r w:rsidR="00104B6F">
        <w:rPr>
          <w:sz w:val="24"/>
          <w:szCs w:val="24"/>
        </w:rPr>
        <w:t xml:space="preserve">. </w:t>
      </w:r>
    </w:p>
    <w:p w14:paraId="2DBE3389" w14:textId="77777777" w:rsidR="000D3B22" w:rsidRDefault="000D3B22" w:rsidP="00BD28A4">
      <w:pPr>
        <w:spacing w:line="240" w:lineRule="auto"/>
        <w:jc w:val="both"/>
        <w:rPr>
          <w:sz w:val="24"/>
          <w:szCs w:val="24"/>
        </w:rPr>
      </w:pPr>
    </w:p>
    <w:p w14:paraId="74CBE6E2" w14:textId="77777777" w:rsidR="0019774E" w:rsidRDefault="000D3B22" w:rsidP="00BD28A4">
      <w:pPr>
        <w:spacing w:line="240" w:lineRule="auto"/>
        <w:jc w:val="both"/>
        <w:rPr>
          <w:sz w:val="24"/>
          <w:szCs w:val="24"/>
        </w:rPr>
      </w:pPr>
      <w:r>
        <w:rPr>
          <w:sz w:val="24"/>
          <w:szCs w:val="24"/>
        </w:rPr>
        <w:t xml:space="preserve">This approach allows for a fuller </w:t>
      </w:r>
      <w:r w:rsidR="00104B6F">
        <w:rPr>
          <w:sz w:val="24"/>
          <w:szCs w:val="24"/>
        </w:rPr>
        <w:t>appreciation</w:t>
      </w:r>
      <w:r>
        <w:rPr>
          <w:sz w:val="24"/>
          <w:szCs w:val="24"/>
        </w:rPr>
        <w:t xml:space="preserve"> of</w:t>
      </w:r>
      <w:r w:rsidR="00104B6F">
        <w:rPr>
          <w:sz w:val="24"/>
          <w:szCs w:val="24"/>
        </w:rPr>
        <w:t xml:space="preserve"> the importance of </w:t>
      </w:r>
      <w:r w:rsidR="00104B6F" w:rsidRPr="00104B6F">
        <w:rPr>
          <w:i/>
          <w:sz w:val="24"/>
          <w:szCs w:val="24"/>
        </w:rPr>
        <w:t>talmud Torah</w:t>
      </w:r>
      <w:r>
        <w:rPr>
          <w:sz w:val="24"/>
          <w:szCs w:val="24"/>
        </w:rPr>
        <w:t>. To properly grasp</w:t>
      </w:r>
      <w:r w:rsidR="00104B6F">
        <w:rPr>
          <w:sz w:val="24"/>
          <w:szCs w:val="24"/>
        </w:rPr>
        <w:t xml:space="preserve"> Torah study allows us to understand not only God’s will</w:t>
      </w:r>
      <w:r>
        <w:rPr>
          <w:sz w:val="24"/>
          <w:szCs w:val="24"/>
        </w:rPr>
        <w:t>,</w:t>
      </w:r>
      <w:r w:rsidR="00104B6F">
        <w:rPr>
          <w:sz w:val="24"/>
          <w:szCs w:val="24"/>
        </w:rPr>
        <w:t xml:space="preserve"> but also the Torah that He </w:t>
      </w:r>
      <w:r>
        <w:rPr>
          <w:sz w:val="24"/>
          <w:szCs w:val="24"/>
        </w:rPr>
        <w:t xml:space="preserve">has </w:t>
      </w:r>
      <w:r w:rsidR="00104B6F">
        <w:rPr>
          <w:sz w:val="24"/>
          <w:szCs w:val="24"/>
        </w:rPr>
        <w:t xml:space="preserve">implanted within us. </w:t>
      </w:r>
      <w:r w:rsidR="008B27FB">
        <w:rPr>
          <w:sz w:val="24"/>
          <w:szCs w:val="24"/>
        </w:rPr>
        <w:t xml:space="preserve"> </w:t>
      </w:r>
    </w:p>
    <w:bookmarkEnd w:id="0"/>
    <w:p w14:paraId="4D655D51" w14:textId="77777777" w:rsidR="0019774E" w:rsidRDefault="0019774E" w:rsidP="00BD28A4">
      <w:pPr>
        <w:spacing w:line="240" w:lineRule="auto"/>
        <w:jc w:val="both"/>
      </w:pPr>
    </w:p>
    <w:sectPr w:rsidR="0019774E" w:rsidSect="00C45533">
      <w:pgSz w:w="12240" w:h="15840"/>
      <w:pgMar w:top="1440" w:right="1797" w:bottom="1440" w:left="1797"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8B134B" w14:textId="77777777" w:rsidR="00D4310D" w:rsidRDefault="00D4310D">
      <w:pPr>
        <w:spacing w:line="240" w:lineRule="auto"/>
      </w:pPr>
      <w:r>
        <w:separator/>
      </w:r>
    </w:p>
  </w:endnote>
  <w:endnote w:type="continuationSeparator" w:id="0">
    <w:p w14:paraId="7B86A935" w14:textId="77777777" w:rsidR="00D4310D" w:rsidRDefault="00D431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B9D7F3" w14:textId="77777777" w:rsidR="00D4310D" w:rsidRDefault="00D4310D">
      <w:pPr>
        <w:spacing w:line="240" w:lineRule="auto"/>
      </w:pPr>
      <w:r>
        <w:separator/>
      </w:r>
    </w:p>
  </w:footnote>
  <w:footnote w:type="continuationSeparator" w:id="0">
    <w:p w14:paraId="5CB70A76" w14:textId="77777777" w:rsidR="00D4310D" w:rsidRDefault="00D4310D">
      <w:pPr>
        <w:spacing w:line="240" w:lineRule="auto"/>
      </w:pPr>
      <w:r>
        <w:continuationSeparator/>
      </w:r>
    </w:p>
  </w:footnote>
  <w:footnote w:id="1">
    <w:p w14:paraId="7BBCBB63" w14:textId="2F1A2C14" w:rsidR="00104B6F" w:rsidRDefault="00104B6F" w:rsidP="00104B6F">
      <w:pPr>
        <w:spacing w:line="240" w:lineRule="auto"/>
        <w:jc w:val="both"/>
        <w:rPr>
          <w:sz w:val="20"/>
          <w:szCs w:val="20"/>
        </w:rPr>
      </w:pPr>
      <w:r>
        <w:rPr>
          <w:vertAlign w:val="superscript"/>
        </w:rPr>
        <w:footnoteRef/>
      </w:r>
      <w:r>
        <w:rPr>
          <w:sz w:val="20"/>
          <w:szCs w:val="20"/>
        </w:rPr>
        <w:t xml:space="preserve"> See, for example: </w:t>
      </w:r>
      <w:r w:rsidRPr="005D64E9">
        <w:rPr>
          <w:iCs/>
          <w:sz w:val="20"/>
          <w:szCs w:val="20"/>
        </w:rPr>
        <w:t>Norman Solomon,</w:t>
      </w:r>
      <w:r w:rsidR="005D64E9">
        <w:rPr>
          <w:i/>
          <w:sz w:val="20"/>
          <w:szCs w:val="20"/>
        </w:rPr>
        <w:t xml:space="preserve"> The Analytic Movement: </w:t>
      </w:r>
      <w:r>
        <w:rPr>
          <w:i/>
          <w:sz w:val="20"/>
          <w:szCs w:val="20"/>
        </w:rPr>
        <w:t>Hayyim Soloveitchik and His Circle</w:t>
      </w:r>
      <w:r>
        <w:rPr>
          <w:sz w:val="20"/>
          <w:szCs w:val="20"/>
        </w:rPr>
        <w:t xml:space="preserve">; </w:t>
      </w:r>
      <w:r w:rsidR="005D64E9">
        <w:rPr>
          <w:sz w:val="20"/>
          <w:szCs w:val="20"/>
        </w:rPr>
        <w:t>Cha</w:t>
      </w:r>
      <w:r w:rsidRPr="00104B6F">
        <w:rPr>
          <w:sz w:val="20"/>
          <w:szCs w:val="20"/>
        </w:rPr>
        <w:t>im</w:t>
      </w:r>
      <w:r>
        <w:rPr>
          <w:sz w:val="20"/>
          <w:szCs w:val="20"/>
        </w:rPr>
        <w:t xml:space="preserve"> Saiman, “The Turn</w:t>
      </w:r>
      <w:r w:rsidR="005D64E9">
        <w:rPr>
          <w:sz w:val="20"/>
          <w:szCs w:val="20"/>
        </w:rPr>
        <w:t xml:space="preserve"> to Conceptualism in Nineteenth-</w:t>
      </w:r>
      <w:r w:rsidR="00D21F08">
        <w:rPr>
          <w:sz w:val="20"/>
          <w:szCs w:val="20"/>
        </w:rPr>
        <w:t>Century Jewish Law,</w:t>
      </w:r>
      <w:r>
        <w:rPr>
          <w:sz w:val="20"/>
          <w:szCs w:val="20"/>
        </w:rPr>
        <w:t xml:space="preserve">” </w:t>
      </w:r>
      <w:r w:rsidR="00D21F08">
        <w:rPr>
          <w:sz w:val="20"/>
          <w:szCs w:val="20"/>
        </w:rPr>
        <w:t xml:space="preserve">in </w:t>
      </w:r>
      <w:r>
        <w:rPr>
          <w:i/>
          <w:sz w:val="20"/>
          <w:szCs w:val="20"/>
        </w:rPr>
        <w:t>The Journal of Law and Religion</w:t>
      </w:r>
      <w:r>
        <w:rPr>
          <w:sz w:val="20"/>
          <w:szCs w:val="20"/>
        </w:rPr>
        <w:t xml:space="preserve"> </w:t>
      </w:r>
      <w:r w:rsidR="005D64E9">
        <w:rPr>
          <w:sz w:val="20"/>
          <w:szCs w:val="20"/>
        </w:rPr>
        <w:t>21 (2006), pp. 39-100; and Benjamin</w:t>
      </w:r>
      <w:r>
        <w:rPr>
          <w:sz w:val="20"/>
          <w:szCs w:val="20"/>
        </w:rPr>
        <w:t xml:space="preserve"> Brown, </w:t>
      </w:r>
      <w:r w:rsidR="005D64E9">
        <w:rPr>
          <w:i/>
          <w:sz w:val="20"/>
          <w:szCs w:val="20"/>
        </w:rPr>
        <w:t xml:space="preserve">The </w:t>
      </w:r>
      <w:r>
        <w:rPr>
          <w:i/>
          <w:sz w:val="20"/>
          <w:szCs w:val="20"/>
        </w:rPr>
        <w:t>Hazon Ish</w:t>
      </w:r>
      <w:r w:rsidR="00581AF4">
        <w:rPr>
          <w:i/>
          <w:sz w:val="20"/>
          <w:szCs w:val="20"/>
        </w:rPr>
        <w:t xml:space="preserve"> </w:t>
      </w:r>
      <w:r w:rsidR="00581AF4">
        <w:rPr>
          <w:sz w:val="20"/>
          <w:szCs w:val="20"/>
        </w:rPr>
        <w:t>(Jerusalem: Magnes Press, 2011)</w:t>
      </w:r>
      <w:r>
        <w:rPr>
          <w:sz w:val="20"/>
          <w:szCs w:val="20"/>
        </w:rPr>
        <w:t xml:space="preserve">. </w:t>
      </w:r>
    </w:p>
  </w:footnote>
  <w:footnote w:id="2">
    <w:p w14:paraId="126DC2D9" w14:textId="77777777" w:rsidR="00104B6F" w:rsidRDefault="00104B6F" w:rsidP="00104B6F">
      <w:pPr>
        <w:spacing w:line="240" w:lineRule="auto"/>
        <w:jc w:val="both"/>
        <w:rPr>
          <w:sz w:val="20"/>
          <w:szCs w:val="20"/>
        </w:rPr>
      </w:pPr>
      <w:r>
        <w:rPr>
          <w:vertAlign w:val="superscript"/>
        </w:rPr>
        <w:footnoteRef/>
      </w:r>
      <w:r>
        <w:rPr>
          <w:sz w:val="20"/>
          <w:szCs w:val="20"/>
        </w:rPr>
        <w:t xml:space="preserve"> See R. Natan Slifkin, “The Goal of Torah Study,” available at:  </w:t>
      </w:r>
      <w:hyperlink r:id="rId1" w:history="1">
        <w:r>
          <w:rPr>
            <w:rStyle w:val="Hyperlink"/>
            <w:color w:val="1155CC"/>
            <w:sz w:val="20"/>
            <w:szCs w:val="20"/>
          </w:rPr>
          <w:t>http://www.rationalistjudaism.com/2010/05/goal-of-torah-study.html</w:t>
        </w:r>
      </w:hyperlink>
    </w:p>
  </w:footnote>
  <w:footnote w:id="3">
    <w:p w14:paraId="17D8B84E" w14:textId="77777777" w:rsidR="00AC7C9C" w:rsidRDefault="00104B6F" w:rsidP="00AC7C9C">
      <w:pPr>
        <w:spacing w:line="240" w:lineRule="auto"/>
        <w:jc w:val="both"/>
        <w:rPr>
          <w:sz w:val="20"/>
          <w:szCs w:val="20"/>
        </w:rPr>
      </w:pPr>
      <w:r>
        <w:rPr>
          <w:vertAlign w:val="superscript"/>
        </w:rPr>
        <w:footnoteRef/>
      </w:r>
      <w:r>
        <w:rPr>
          <w:sz w:val="20"/>
          <w:szCs w:val="20"/>
        </w:rPr>
        <w:t xml:space="preserve"> </w:t>
      </w:r>
      <w:hyperlink r:id="rId2" w:history="1">
        <w:r w:rsidR="00AC7C9C" w:rsidRPr="00E07AE2">
          <w:rPr>
            <w:rStyle w:val="Hyperlink"/>
            <w:sz w:val="20"/>
            <w:szCs w:val="20"/>
          </w:rPr>
          <w:t>http://www.torahweb.org/torah/special/2003/rtwe_JA_women.html</w:t>
        </w:r>
      </w:hyperlink>
    </w:p>
    <w:p w14:paraId="70234806" w14:textId="77777777" w:rsidR="00AC7C9C" w:rsidRDefault="00AC7C9C" w:rsidP="00AC7C9C">
      <w:pPr>
        <w:spacing w:line="240" w:lineRule="auto"/>
        <w:jc w:val="both"/>
        <w:rPr>
          <w:sz w:val="20"/>
          <w:szCs w:val="20"/>
        </w:rPr>
      </w:pPr>
    </w:p>
  </w:footnote>
  <w:footnote w:id="4">
    <w:p w14:paraId="148EF728" w14:textId="77777777" w:rsidR="00104B6F" w:rsidRDefault="00104B6F" w:rsidP="00104B6F">
      <w:pPr>
        <w:spacing w:line="240" w:lineRule="auto"/>
        <w:jc w:val="both"/>
        <w:rPr>
          <w:sz w:val="20"/>
          <w:szCs w:val="20"/>
        </w:rPr>
      </w:pPr>
      <w:r>
        <w:rPr>
          <w:vertAlign w:val="superscript"/>
        </w:rPr>
        <w:footnoteRef/>
      </w:r>
      <w:r>
        <w:rPr>
          <w:sz w:val="20"/>
          <w:szCs w:val="20"/>
        </w:rPr>
        <w:t xml:space="preserve"> </w:t>
      </w:r>
      <w:r>
        <w:rPr>
          <w:i/>
          <w:sz w:val="20"/>
          <w:szCs w:val="20"/>
        </w:rPr>
        <w:t>Introduction, Yabia Omer</w:t>
      </w:r>
      <w:r>
        <w:rPr>
          <w:sz w:val="20"/>
          <w:szCs w:val="20"/>
        </w:rPr>
        <w:t xml:space="preserve">. </w:t>
      </w:r>
    </w:p>
  </w:footnote>
  <w:footnote w:id="5">
    <w:p w14:paraId="4BAC7F70" w14:textId="77777777" w:rsidR="00104B6F" w:rsidRDefault="00104B6F" w:rsidP="004E2B7E">
      <w:pPr>
        <w:spacing w:line="240" w:lineRule="auto"/>
        <w:jc w:val="both"/>
        <w:rPr>
          <w:sz w:val="20"/>
          <w:szCs w:val="20"/>
        </w:rPr>
      </w:pPr>
      <w:r>
        <w:rPr>
          <w:vertAlign w:val="superscript"/>
        </w:rPr>
        <w:footnoteRef/>
      </w:r>
      <w:r>
        <w:rPr>
          <w:sz w:val="20"/>
          <w:szCs w:val="20"/>
        </w:rPr>
        <w:t xml:space="preserve"> It should also be noted that some, such as Maharsha (</w:t>
      </w:r>
      <w:r>
        <w:rPr>
          <w:i/>
          <w:sz w:val="20"/>
          <w:szCs w:val="20"/>
        </w:rPr>
        <w:t>Taanit</w:t>
      </w:r>
      <w:r>
        <w:rPr>
          <w:sz w:val="20"/>
          <w:szCs w:val="20"/>
        </w:rPr>
        <w:t xml:space="preserve"> 30a s.v. </w:t>
      </w:r>
      <w:r w:rsidR="00E10694">
        <w:rPr>
          <w:i/>
          <w:sz w:val="20"/>
          <w:szCs w:val="20"/>
        </w:rPr>
        <w:t>V</w:t>
      </w:r>
      <w:r>
        <w:rPr>
          <w:i/>
          <w:sz w:val="20"/>
          <w:szCs w:val="20"/>
        </w:rPr>
        <w:t>e-asur</w:t>
      </w:r>
      <w:r>
        <w:rPr>
          <w:sz w:val="20"/>
          <w:szCs w:val="20"/>
        </w:rPr>
        <w:t xml:space="preserve">), maintain that even the prohibition on Tisha </w:t>
      </w:r>
      <w:r w:rsidR="00E10694">
        <w:rPr>
          <w:sz w:val="20"/>
          <w:szCs w:val="20"/>
        </w:rPr>
        <w:t>Be-Av</w:t>
      </w:r>
      <w:r>
        <w:rPr>
          <w:sz w:val="20"/>
          <w:szCs w:val="20"/>
        </w:rPr>
        <w:t xml:space="preserve"> is not rooted in </w:t>
      </w:r>
      <w:r>
        <w:rPr>
          <w:i/>
          <w:sz w:val="20"/>
          <w:szCs w:val="20"/>
        </w:rPr>
        <w:t>simcha</w:t>
      </w:r>
      <w:r>
        <w:rPr>
          <w:sz w:val="20"/>
          <w:szCs w:val="20"/>
        </w:rPr>
        <w:t xml:space="preserve"> but in the fact that Torah study distracts one from focusing on the mourning of this day. According to </w:t>
      </w:r>
      <w:r w:rsidR="005D64E9">
        <w:rPr>
          <w:sz w:val="20"/>
          <w:szCs w:val="20"/>
        </w:rPr>
        <w:t>Maharsha</w:t>
      </w:r>
      <w:r>
        <w:rPr>
          <w:sz w:val="20"/>
          <w:szCs w:val="20"/>
        </w:rPr>
        <w:t xml:space="preserve">, the Gemara’s citation of </w:t>
      </w:r>
      <w:r w:rsidR="004E2B7E">
        <w:rPr>
          <w:i/>
          <w:sz w:val="20"/>
          <w:szCs w:val="20"/>
        </w:rPr>
        <w:t>“P</w:t>
      </w:r>
      <w:r>
        <w:rPr>
          <w:i/>
          <w:sz w:val="20"/>
          <w:szCs w:val="20"/>
        </w:rPr>
        <w:t>ikudei Hashem yesharim</w:t>
      </w:r>
      <w:r w:rsidR="004E2B7E">
        <w:rPr>
          <w:i/>
          <w:sz w:val="20"/>
          <w:szCs w:val="20"/>
        </w:rPr>
        <w:t>”</w:t>
      </w:r>
      <w:r>
        <w:rPr>
          <w:sz w:val="20"/>
          <w:szCs w:val="20"/>
        </w:rPr>
        <w:t xml:space="preserve"> pertains specifically to children’s Torah study, </w:t>
      </w:r>
      <w:r w:rsidR="004E2B7E">
        <w:rPr>
          <w:sz w:val="20"/>
          <w:szCs w:val="20"/>
        </w:rPr>
        <w:t>as they</w:t>
      </w:r>
      <w:r>
        <w:rPr>
          <w:sz w:val="20"/>
          <w:szCs w:val="20"/>
        </w:rPr>
        <w:t xml:space="preserve"> are barred from learning </w:t>
      </w:r>
      <w:r w:rsidR="004E2B7E">
        <w:rPr>
          <w:sz w:val="20"/>
          <w:szCs w:val="20"/>
        </w:rPr>
        <w:t xml:space="preserve">even </w:t>
      </w:r>
      <w:r w:rsidR="000D3B22">
        <w:rPr>
          <w:sz w:val="20"/>
          <w:szCs w:val="20"/>
        </w:rPr>
        <w:t>though</w:t>
      </w:r>
      <w:r>
        <w:rPr>
          <w:sz w:val="20"/>
          <w:szCs w:val="20"/>
        </w:rPr>
        <w:t xml:space="preserve"> they may be too young to spend their day focusing on mourning </w:t>
      </w:r>
      <w:r w:rsidR="004E2B7E">
        <w:rPr>
          <w:sz w:val="20"/>
          <w:szCs w:val="20"/>
        </w:rPr>
        <w:t>regardless</w:t>
      </w:r>
      <w:r>
        <w:rPr>
          <w:sz w:val="20"/>
          <w:szCs w:val="20"/>
        </w:rPr>
        <w:t xml:space="preserve">. </w:t>
      </w:r>
    </w:p>
  </w:footnote>
  <w:footnote w:id="6">
    <w:p w14:paraId="33A1D796" w14:textId="77777777" w:rsidR="00104B6F" w:rsidRDefault="00104B6F" w:rsidP="00104B6F">
      <w:pPr>
        <w:spacing w:line="240" w:lineRule="auto"/>
        <w:jc w:val="both"/>
        <w:rPr>
          <w:sz w:val="20"/>
          <w:szCs w:val="20"/>
        </w:rPr>
      </w:pPr>
      <w:r>
        <w:rPr>
          <w:vertAlign w:val="superscript"/>
        </w:rPr>
        <w:footnoteRef/>
      </w:r>
      <w:r>
        <w:rPr>
          <w:sz w:val="20"/>
          <w:szCs w:val="20"/>
        </w:rPr>
        <w:t xml:space="preserve"> See </w:t>
      </w:r>
      <w:r>
        <w:rPr>
          <w:i/>
          <w:sz w:val="20"/>
          <w:szCs w:val="20"/>
        </w:rPr>
        <w:t xml:space="preserve">Shulchan Arukh </w:t>
      </w:r>
      <w:r w:rsidR="00E10694">
        <w:rPr>
          <w:i/>
          <w:sz w:val="20"/>
          <w:szCs w:val="20"/>
        </w:rPr>
        <w:t>YD</w:t>
      </w:r>
      <w:r>
        <w:rPr>
          <w:sz w:val="20"/>
          <w:szCs w:val="20"/>
        </w:rPr>
        <w:t xml:space="preserve"> 384:4.</w:t>
      </w:r>
      <w:r>
        <w:rPr>
          <w:sz w:val="24"/>
          <w:szCs w:val="24"/>
        </w:rPr>
        <w:t xml:space="preserve"> </w:t>
      </w:r>
    </w:p>
  </w:footnote>
  <w:footnote w:id="7">
    <w:p w14:paraId="62D85E8C" w14:textId="77777777" w:rsidR="00104B6F" w:rsidRDefault="00104B6F" w:rsidP="00104B6F">
      <w:pPr>
        <w:spacing w:line="240" w:lineRule="auto"/>
        <w:rPr>
          <w:sz w:val="20"/>
          <w:szCs w:val="20"/>
        </w:rPr>
      </w:pPr>
      <w:r>
        <w:rPr>
          <w:vertAlign w:val="superscript"/>
        </w:rPr>
        <w:footnoteRef/>
      </w:r>
      <w:r>
        <w:rPr>
          <w:sz w:val="20"/>
          <w:szCs w:val="20"/>
        </w:rPr>
        <w:t xml:space="preserve"> Footnote 20. Article available at: </w:t>
      </w:r>
      <w:hyperlink r:id="rId3" w:history="1">
        <w:r>
          <w:rPr>
            <w:rStyle w:val="Hyperlink"/>
            <w:sz w:val="20"/>
            <w:szCs w:val="20"/>
          </w:rPr>
          <w:t>http://traditionarchive.org/news/originals/Volume%2017/No.%202/Redemption,%20Prayer,Talmud.pdf</w:t>
        </w:r>
      </w:hyperlink>
    </w:p>
  </w:footnote>
  <w:footnote w:id="8">
    <w:p w14:paraId="21AFFE86" w14:textId="77777777" w:rsidR="00104B6F" w:rsidRDefault="00104B6F" w:rsidP="00104B6F">
      <w:pPr>
        <w:spacing w:line="240" w:lineRule="auto"/>
        <w:jc w:val="both"/>
        <w:rPr>
          <w:sz w:val="20"/>
          <w:szCs w:val="20"/>
        </w:rPr>
      </w:pPr>
      <w:r>
        <w:rPr>
          <w:vertAlign w:val="superscript"/>
        </w:rPr>
        <w:footnoteRef/>
      </w:r>
      <w:r>
        <w:rPr>
          <w:sz w:val="20"/>
          <w:szCs w:val="20"/>
        </w:rPr>
        <w:t xml:space="preserve"> See also David Fla</w:t>
      </w:r>
      <w:r w:rsidR="00AB6F4F">
        <w:rPr>
          <w:sz w:val="20"/>
          <w:szCs w:val="20"/>
        </w:rPr>
        <w:t>t</w:t>
      </w:r>
      <w:r>
        <w:rPr>
          <w:sz w:val="20"/>
          <w:szCs w:val="20"/>
        </w:rPr>
        <w:t xml:space="preserve">to, “The Angel’s Oath: The Relationship of Hazal to the Platonic Doctrine of Recollection,” available at: </w:t>
      </w:r>
      <w:hyperlink r:id="rId4" w:history="1">
        <w:r>
          <w:rPr>
            <w:rStyle w:val="Hyperlink"/>
            <w:color w:val="1155CC"/>
            <w:sz w:val="20"/>
            <w:szCs w:val="20"/>
          </w:rPr>
          <w:t>http://text.rcarabbis.org/the-angel%E2%80%99s-oath-the-relationship-of-hazal-to-the-platonic-doctrine-of-recollection/</w:t>
        </w:r>
      </w:hyperlink>
    </w:p>
    <w:p w14:paraId="77C4101A" w14:textId="77777777" w:rsidR="00104B6F" w:rsidRDefault="00104B6F" w:rsidP="00104B6F">
      <w:pPr>
        <w:spacing w:line="240" w:lineRule="auto"/>
        <w:jc w:val="both"/>
        <w:rPr>
          <w:sz w:val="20"/>
          <w:szCs w:val="20"/>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74E"/>
    <w:rsid w:val="000076C6"/>
    <w:rsid w:val="000246A4"/>
    <w:rsid w:val="000D3B22"/>
    <w:rsid w:val="00104B6F"/>
    <w:rsid w:val="00161551"/>
    <w:rsid w:val="0019774E"/>
    <w:rsid w:val="002E181F"/>
    <w:rsid w:val="0031596C"/>
    <w:rsid w:val="00315B0F"/>
    <w:rsid w:val="003C5762"/>
    <w:rsid w:val="003E3738"/>
    <w:rsid w:val="003F5BA4"/>
    <w:rsid w:val="0043322A"/>
    <w:rsid w:val="004E2B7E"/>
    <w:rsid w:val="004F15DC"/>
    <w:rsid w:val="005537A7"/>
    <w:rsid w:val="00566124"/>
    <w:rsid w:val="00581AF4"/>
    <w:rsid w:val="005B6B6C"/>
    <w:rsid w:val="005D64E9"/>
    <w:rsid w:val="00601E26"/>
    <w:rsid w:val="00610511"/>
    <w:rsid w:val="006C6FB1"/>
    <w:rsid w:val="00720B55"/>
    <w:rsid w:val="007369BB"/>
    <w:rsid w:val="00861AE0"/>
    <w:rsid w:val="008B27FB"/>
    <w:rsid w:val="009725BC"/>
    <w:rsid w:val="00994D62"/>
    <w:rsid w:val="00A72E6B"/>
    <w:rsid w:val="00AB6F4F"/>
    <w:rsid w:val="00AC7C9C"/>
    <w:rsid w:val="00B8566C"/>
    <w:rsid w:val="00BD28A4"/>
    <w:rsid w:val="00C37E2F"/>
    <w:rsid w:val="00C416A2"/>
    <w:rsid w:val="00C45533"/>
    <w:rsid w:val="00CA4D5E"/>
    <w:rsid w:val="00CE6E11"/>
    <w:rsid w:val="00D21F08"/>
    <w:rsid w:val="00D4310D"/>
    <w:rsid w:val="00DF027E"/>
    <w:rsid w:val="00E10694"/>
    <w:rsid w:val="00E561B2"/>
    <w:rsid w:val="00EF7D23"/>
    <w:rsid w:val="00F7021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C8E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he-IL"/>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104B6F"/>
    <w:rPr>
      <w:color w:val="0000FF" w:themeColor="hyperlink"/>
      <w:u w:val="single"/>
    </w:rPr>
  </w:style>
  <w:style w:type="paragraph" w:styleId="Header">
    <w:name w:val="header"/>
    <w:basedOn w:val="Normal"/>
    <w:link w:val="HeaderChar"/>
    <w:uiPriority w:val="99"/>
    <w:unhideWhenUsed/>
    <w:rsid w:val="00C416A2"/>
    <w:pPr>
      <w:tabs>
        <w:tab w:val="center" w:pos="4320"/>
        <w:tab w:val="right" w:pos="8640"/>
      </w:tabs>
      <w:spacing w:line="240" w:lineRule="auto"/>
    </w:pPr>
  </w:style>
  <w:style w:type="character" w:customStyle="1" w:styleId="HeaderChar">
    <w:name w:val="Header Char"/>
    <w:basedOn w:val="DefaultParagraphFont"/>
    <w:link w:val="Header"/>
    <w:uiPriority w:val="99"/>
    <w:rsid w:val="00C416A2"/>
  </w:style>
  <w:style w:type="paragraph" w:styleId="Footer">
    <w:name w:val="footer"/>
    <w:basedOn w:val="Normal"/>
    <w:link w:val="FooterChar"/>
    <w:uiPriority w:val="99"/>
    <w:unhideWhenUsed/>
    <w:rsid w:val="00C416A2"/>
    <w:pPr>
      <w:tabs>
        <w:tab w:val="center" w:pos="4320"/>
        <w:tab w:val="right" w:pos="8640"/>
      </w:tabs>
      <w:spacing w:line="240" w:lineRule="auto"/>
    </w:pPr>
  </w:style>
  <w:style w:type="character" w:customStyle="1" w:styleId="FooterChar">
    <w:name w:val="Footer Char"/>
    <w:basedOn w:val="DefaultParagraphFont"/>
    <w:link w:val="Footer"/>
    <w:uiPriority w:val="99"/>
    <w:rsid w:val="00C416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he-IL"/>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104B6F"/>
    <w:rPr>
      <w:color w:val="0000FF" w:themeColor="hyperlink"/>
      <w:u w:val="single"/>
    </w:rPr>
  </w:style>
  <w:style w:type="paragraph" w:styleId="Header">
    <w:name w:val="header"/>
    <w:basedOn w:val="Normal"/>
    <w:link w:val="HeaderChar"/>
    <w:uiPriority w:val="99"/>
    <w:unhideWhenUsed/>
    <w:rsid w:val="00C416A2"/>
    <w:pPr>
      <w:tabs>
        <w:tab w:val="center" w:pos="4320"/>
        <w:tab w:val="right" w:pos="8640"/>
      </w:tabs>
      <w:spacing w:line="240" w:lineRule="auto"/>
    </w:pPr>
  </w:style>
  <w:style w:type="character" w:customStyle="1" w:styleId="HeaderChar">
    <w:name w:val="Header Char"/>
    <w:basedOn w:val="DefaultParagraphFont"/>
    <w:link w:val="Header"/>
    <w:uiPriority w:val="99"/>
    <w:rsid w:val="00C416A2"/>
  </w:style>
  <w:style w:type="paragraph" w:styleId="Footer">
    <w:name w:val="footer"/>
    <w:basedOn w:val="Normal"/>
    <w:link w:val="FooterChar"/>
    <w:uiPriority w:val="99"/>
    <w:unhideWhenUsed/>
    <w:rsid w:val="00C416A2"/>
    <w:pPr>
      <w:tabs>
        <w:tab w:val="center" w:pos="4320"/>
        <w:tab w:val="right" w:pos="8640"/>
      </w:tabs>
      <w:spacing w:line="240" w:lineRule="auto"/>
    </w:pPr>
  </w:style>
  <w:style w:type="character" w:customStyle="1" w:styleId="FooterChar">
    <w:name w:val="Footer Char"/>
    <w:basedOn w:val="DefaultParagraphFont"/>
    <w:link w:val="Footer"/>
    <w:uiPriority w:val="99"/>
    <w:rsid w:val="00C41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362588">
      <w:bodyDiv w:val="1"/>
      <w:marLeft w:val="0"/>
      <w:marRight w:val="0"/>
      <w:marTop w:val="0"/>
      <w:marBottom w:val="0"/>
      <w:divBdr>
        <w:top w:val="none" w:sz="0" w:space="0" w:color="auto"/>
        <w:left w:val="none" w:sz="0" w:space="0" w:color="auto"/>
        <w:bottom w:val="none" w:sz="0" w:space="0" w:color="auto"/>
        <w:right w:val="none" w:sz="0" w:space="0" w:color="auto"/>
      </w:divBdr>
    </w:div>
    <w:div w:id="883255164">
      <w:bodyDiv w:val="1"/>
      <w:marLeft w:val="0"/>
      <w:marRight w:val="0"/>
      <w:marTop w:val="0"/>
      <w:marBottom w:val="0"/>
      <w:divBdr>
        <w:top w:val="none" w:sz="0" w:space="0" w:color="auto"/>
        <w:left w:val="none" w:sz="0" w:space="0" w:color="auto"/>
        <w:bottom w:val="none" w:sz="0" w:space="0" w:color="auto"/>
        <w:right w:val="none" w:sz="0" w:space="0" w:color="auto"/>
      </w:divBdr>
    </w:div>
    <w:div w:id="1895389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efaria.org/Deuteronomy.4.10" TargetMode="External"/><Relationship Id="rId3" Type="http://schemas.openxmlformats.org/officeDocument/2006/relationships/settings" Target="settings.xml"/><Relationship Id="rId7" Type="http://schemas.openxmlformats.org/officeDocument/2006/relationships/hyperlink" Target="https://www.sefaria.org/Deuteronomy.4.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traditionarchive.org/news/originals/Volume%2017/No.%202/Redemption,%20Prayer,Talmud.pdf" TargetMode="External"/><Relationship Id="rId2" Type="http://schemas.openxmlformats.org/officeDocument/2006/relationships/hyperlink" Target="http://www.torahweb.org/torah/special/2003/rtwe_JA_women.html" TargetMode="External"/><Relationship Id="rId1" Type="http://schemas.openxmlformats.org/officeDocument/2006/relationships/hyperlink" Target="http://www.rationalistjudaism.com/2010/05/goal-of-torah-study.html" TargetMode="External"/><Relationship Id="rId4" Type="http://schemas.openxmlformats.org/officeDocument/2006/relationships/hyperlink" Target="http://text.rcarabbis.org/the-angel%E2%80%99s-oath-the-relationship-of-hazal-to-the-platonic-doctrine-of-recoll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2776</Words>
  <Characters>15826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אנדי ריפקין</dc:creator>
  <cp:lastModifiedBy>tmpUser</cp:lastModifiedBy>
  <cp:revision>2</cp:revision>
  <dcterms:created xsi:type="dcterms:W3CDTF">2017-11-14T09:42:00Z</dcterms:created>
  <dcterms:modified xsi:type="dcterms:W3CDTF">2017-11-14T09:42:00Z</dcterms:modified>
</cp:coreProperties>
</file>