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FD918" w14:textId="77777777" w:rsidR="009D5639" w:rsidRDefault="00EB427A" w:rsidP="00BC5418">
      <w:pPr>
        <w:pStyle w:val="a8"/>
        <w:contextualSpacing/>
        <w:rPr>
          <w:rtl/>
        </w:rPr>
      </w:pPr>
      <w:r>
        <w:rPr>
          <w:rFonts w:hint="cs"/>
          <w:rtl/>
        </w:rPr>
        <w:t>הרב אביעד תבורי</w:t>
      </w:r>
    </w:p>
    <w:p w14:paraId="72884682" w14:textId="77777777" w:rsidR="00EB427A" w:rsidRPr="00C1023C" w:rsidRDefault="00EB427A" w:rsidP="00BC5418">
      <w:pPr>
        <w:pStyle w:val="a8"/>
        <w:contextualSpacing/>
        <w:rPr>
          <w:rtl/>
        </w:rPr>
      </w:pPr>
    </w:p>
    <w:p w14:paraId="7105CC6E" w14:textId="579D2FE7" w:rsidR="00EB427A" w:rsidRPr="00D870BC" w:rsidRDefault="00EB427A" w:rsidP="00EB427A">
      <w:pPr>
        <w:pStyle w:val="1"/>
        <w:rPr>
          <w:rtl/>
        </w:rPr>
      </w:pPr>
      <w:r>
        <w:rPr>
          <w:rFonts w:hint="cs"/>
          <w:rtl/>
        </w:rPr>
        <w:t xml:space="preserve">05 ה-18 למאי 1965 </w:t>
      </w:r>
      <w:r w:rsidRPr="00D870BC">
        <w:rPr>
          <w:rFonts w:hint="cs"/>
          <w:rtl/>
        </w:rPr>
        <w:t>"</w:t>
      </w:r>
      <w:r w:rsidRPr="00D870BC">
        <w:rPr>
          <w:rtl/>
        </w:rPr>
        <w:t>האיש שלנו בדמשק</w:t>
      </w:r>
      <w:r w:rsidRPr="00D870BC">
        <w:rPr>
          <w:rFonts w:hint="cs"/>
          <w:rtl/>
        </w:rPr>
        <w:t xml:space="preserve">" </w:t>
      </w:r>
      <w:r w:rsidRPr="00D870BC">
        <w:rPr>
          <w:rtl/>
        </w:rPr>
        <w:t>–</w:t>
      </w:r>
      <w:r w:rsidR="006373C3">
        <w:rPr>
          <w:rFonts w:hint="cs"/>
          <w:rtl/>
        </w:rPr>
        <w:t>פרשת אלי כהן</w:t>
      </w:r>
    </w:p>
    <w:p w14:paraId="71F38624" w14:textId="77777777" w:rsidR="007458F9" w:rsidRDefault="007458F9" w:rsidP="007458F9">
      <w:pPr>
        <w:pStyle w:val="2"/>
        <w:rPr>
          <w:rtl/>
        </w:rPr>
      </w:pPr>
    </w:p>
    <w:p w14:paraId="068084B0" w14:textId="60D54CE3" w:rsidR="00EB427A" w:rsidRPr="00D870BC" w:rsidRDefault="007458F9" w:rsidP="007458F9">
      <w:pPr>
        <w:pStyle w:val="2"/>
        <w:rPr>
          <w:rtl/>
        </w:rPr>
      </w:pPr>
      <w:bookmarkStart w:id="0" w:name="_GoBack"/>
      <w:r>
        <w:rPr>
          <w:rFonts w:hint="cs"/>
          <w:rtl/>
        </w:rPr>
        <w:t>פרשת אלי כהן</w:t>
      </w:r>
    </w:p>
    <w:p w14:paraId="0B6EF6A2" w14:textId="2E90D811" w:rsidR="00EB427A" w:rsidRDefault="00EB427A" w:rsidP="00EB427A">
      <w:pPr>
        <w:rPr>
          <w:rtl/>
        </w:rPr>
      </w:pPr>
      <w:r w:rsidRPr="003C0AB9">
        <w:rPr>
          <w:rtl/>
        </w:rPr>
        <w:t>אלי כהן נולד</w:t>
      </w:r>
      <w:r>
        <w:rPr>
          <w:rFonts w:hint="cs"/>
          <w:rtl/>
        </w:rPr>
        <w:t xml:space="preserve"> בשנת</w:t>
      </w:r>
      <w:r w:rsidRPr="003C0AB9">
        <w:rPr>
          <w:rtl/>
        </w:rPr>
        <w:t xml:space="preserve"> 1924 באלכסנדריה שבמצרים. </w:t>
      </w:r>
      <w:r w:rsidR="006373C3">
        <w:rPr>
          <w:rFonts w:hint="cs"/>
          <w:rtl/>
        </w:rPr>
        <w:t xml:space="preserve">היה שותף </w:t>
      </w:r>
      <w:r w:rsidR="002D4B33">
        <w:rPr>
          <w:rFonts w:hint="cs"/>
          <w:rtl/>
        </w:rPr>
        <w:t>בפעילות ה</w:t>
      </w:r>
      <w:r w:rsidRPr="003C0AB9">
        <w:rPr>
          <w:rtl/>
        </w:rPr>
        <w:t xml:space="preserve">תנועה הציונית ועלה </w:t>
      </w:r>
      <w:r>
        <w:rPr>
          <w:rFonts w:hint="cs"/>
          <w:rtl/>
        </w:rPr>
        <w:t xml:space="preserve">ארצה </w:t>
      </w:r>
      <w:r w:rsidRPr="003C0AB9">
        <w:rPr>
          <w:rtl/>
        </w:rPr>
        <w:t xml:space="preserve">בשנת 1957. בישראל, המוסד </w:t>
      </w:r>
      <w:r w:rsidR="002D4B33">
        <w:rPr>
          <w:rFonts w:hint="cs"/>
          <w:rtl/>
        </w:rPr>
        <w:t>זיהה את ה</w:t>
      </w:r>
      <w:r w:rsidRPr="003C0AB9">
        <w:rPr>
          <w:rtl/>
        </w:rPr>
        <w:t xml:space="preserve">פוטנציאל </w:t>
      </w:r>
      <w:r w:rsidR="00795DA8">
        <w:rPr>
          <w:rFonts w:hint="cs"/>
          <w:rtl/>
        </w:rPr>
        <w:t xml:space="preserve">הגלום בו </w:t>
      </w:r>
      <w:r w:rsidRPr="003C0AB9">
        <w:rPr>
          <w:rtl/>
        </w:rPr>
        <w:t>וגייס אותו</w:t>
      </w:r>
      <w:r w:rsidR="00795DA8">
        <w:rPr>
          <w:rFonts w:hint="cs"/>
          <w:rtl/>
        </w:rPr>
        <w:t xml:space="preserve"> לשורותיו</w:t>
      </w:r>
      <w:r w:rsidRPr="003C0AB9">
        <w:rPr>
          <w:rtl/>
        </w:rPr>
        <w:t>. המוסד יצר עבורו זהות שקרית חדשה כאיש עסקים סורי שחזר לביתו לאחר שהתגורר בארגנטינה. הוא קיבל את השם</w:t>
      </w:r>
      <w:r>
        <w:rPr>
          <w:rFonts w:hint="cs"/>
          <w:rtl/>
        </w:rPr>
        <w:t xml:space="preserve"> </w:t>
      </w:r>
      <w:r w:rsidR="002D4B33">
        <w:rPr>
          <w:rFonts w:hint="cs"/>
          <w:rtl/>
        </w:rPr>
        <w:t>"</w:t>
      </w:r>
      <w:r w:rsidRPr="003C0AB9">
        <w:rPr>
          <w:rtl/>
        </w:rPr>
        <w:t>כאמל אמין ת'אבת</w:t>
      </w:r>
      <w:r w:rsidR="002D4B33">
        <w:rPr>
          <w:rFonts w:hint="cs"/>
          <w:rtl/>
        </w:rPr>
        <w:t>"</w:t>
      </w:r>
      <w:r>
        <w:rPr>
          <w:rFonts w:hint="cs"/>
          <w:rtl/>
        </w:rPr>
        <w:t xml:space="preserve">. </w:t>
      </w:r>
      <w:r w:rsidRPr="003C0AB9">
        <w:rPr>
          <w:rtl/>
        </w:rPr>
        <w:t>חלק מתהליך ההכשרה כלל לימוד תפילות מוסלמיות ומנהגים דתיים.</w:t>
      </w:r>
      <w:r>
        <w:rPr>
          <w:rStyle w:val="a5"/>
          <w:rtl/>
        </w:rPr>
        <w:footnoteReference w:id="1"/>
      </w:r>
      <w:r w:rsidRPr="003C0AB9">
        <w:rPr>
          <w:rtl/>
        </w:rPr>
        <w:t xml:space="preserve"> לאחר שהתגורר זמן מה בבואנוס איירס, הוא הגיע לדמשק בפברואר 1962.</w:t>
      </w:r>
    </w:p>
    <w:p w14:paraId="3AF85C26" w14:textId="481F2FCD" w:rsidR="00EB427A" w:rsidRDefault="002D4B33" w:rsidP="00EB427A">
      <w:pPr>
        <w:rPr>
          <w:rtl/>
        </w:rPr>
      </w:pPr>
      <w:r>
        <w:rPr>
          <w:rFonts w:hint="cs"/>
          <w:rtl/>
        </w:rPr>
        <w:t xml:space="preserve">ת'אבת </w:t>
      </w:r>
      <w:r w:rsidR="00EB427A" w:rsidRPr="003C0AB9">
        <w:rPr>
          <w:rtl/>
        </w:rPr>
        <w:t xml:space="preserve">הפך לדמות ידועה בחברה הגבוהה של דמשק. הוא יצר קשרים עם האליטה של הקהילה הסורית, כולל שרים, אנשי עסקים </w:t>
      </w:r>
      <w:r>
        <w:rPr>
          <w:rFonts w:hint="cs"/>
          <w:rtl/>
        </w:rPr>
        <w:t>ו</w:t>
      </w:r>
      <w:r w:rsidR="00EB427A" w:rsidRPr="003C0AB9">
        <w:rPr>
          <w:rtl/>
        </w:rPr>
        <w:t xml:space="preserve">בעלי תפקידים </w:t>
      </w:r>
      <w:r>
        <w:rPr>
          <w:rFonts w:hint="cs"/>
          <w:rtl/>
        </w:rPr>
        <w:t>בכירים</w:t>
      </w:r>
      <w:r w:rsidR="00EB427A" w:rsidRPr="003C0AB9">
        <w:rPr>
          <w:rtl/>
        </w:rPr>
        <w:t>.</w:t>
      </w:r>
      <w:r w:rsidR="00EB427A" w:rsidRPr="00670A3D">
        <w:rPr>
          <w:rtl/>
        </w:rPr>
        <w:t xml:space="preserve"> </w:t>
      </w:r>
      <w:r>
        <w:rPr>
          <w:rFonts w:hint="cs"/>
          <w:rtl/>
        </w:rPr>
        <w:t>הוא נודע כ</w:t>
      </w:r>
      <w:r w:rsidR="00EB427A" w:rsidRPr="00670A3D">
        <w:rPr>
          <w:rtl/>
        </w:rPr>
        <w:t>לאומן עשיר</w:t>
      </w:r>
      <w:r>
        <w:rPr>
          <w:rFonts w:hint="cs"/>
          <w:rtl/>
        </w:rPr>
        <w:t xml:space="preserve"> </w:t>
      </w:r>
      <w:r w:rsidR="00795DA8">
        <w:rPr>
          <w:rFonts w:hint="cs"/>
          <w:rtl/>
        </w:rPr>
        <w:t xml:space="preserve">ונדיב </w:t>
      </w:r>
      <w:r>
        <w:rPr>
          <w:rFonts w:hint="cs"/>
          <w:rtl/>
        </w:rPr>
        <w:t>בהלווא</w:t>
      </w:r>
      <w:r w:rsidR="00795DA8">
        <w:rPr>
          <w:rFonts w:hint="cs"/>
          <w:rtl/>
        </w:rPr>
        <w:t>ו</w:t>
      </w:r>
      <w:r>
        <w:rPr>
          <w:rFonts w:hint="cs"/>
          <w:rtl/>
        </w:rPr>
        <w:t xml:space="preserve">ת ובייעוץ. בין היתר, תאב'ת </w:t>
      </w:r>
      <w:r w:rsidR="00EB427A" w:rsidRPr="00670A3D">
        <w:rPr>
          <w:rtl/>
        </w:rPr>
        <w:t xml:space="preserve">אירח מסיבות </w:t>
      </w:r>
      <w:r>
        <w:rPr>
          <w:rFonts w:hint="cs"/>
          <w:rtl/>
        </w:rPr>
        <w:t xml:space="preserve">רוויות </w:t>
      </w:r>
      <w:r w:rsidR="00EB427A" w:rsidRPr="00670A3D">
        <w:rPr>
          <w:rtl/>
        </w:rPr>
        <w:t xml:space="preserve">אלכוהול </w:t>
      </w:r>
      <w:r w:rsidR="00795DA8">
        <w:rPr>
          <w:rFonts w:hint="cs"/>
          <w:rtl/>
        </w:rPr>
        <w:t>ו</w:t>
      </w:r>
      <w:r w:rsidR="00EB427A" w:rsidRPr="00670A3D">
        <w:rPr>
          <w:rtl/>
        </w:rPr>
        <w:t xml:space="preserve">נשים, </w:t>
      </w:r>
      <w:r>
        <w:rPr>
          <w:rFonts w:hint="cs"/>
          <w:rtl/>
        </w:rPr>
        <w:t>בה</w:t>
      </w:r>
      <w:r w:rsidR="00795DA8">
        <w:rPr>
          <w:rFonts w:hint="cs"/>
          <w:rtl/>
        </w:rPr>
        <w:t>ן</w:t>
      </w:r>
      <w:r>
        <w:rPr>
          <w:rFonts w:hint="cs"/>
          <w:rtl/>
        </w:rPr>
        <w:t xml:space="preserve"> </w:t>
      </w:r>
      <w:r w:rsidR="00EB427A">
        <w:rPr>
          <w:rFonts w:hint="cs"/>
          <w:rtl/>
        </w:rPr>
        <w:t xml:space="preserve">העמיד פנים </w:t>
      </w:r>
      <w:r>
        <w:rPr>
          <w:rFonts w:hint="cs"/>
          <w:rtl/>
        </w:rPr>
        <w:t>כ</w:t>
      </w:r>
      <w:r w:rsidR="00EB427A" w:rsidRPr="00670A3D">
        <w:rPr>
          <w:rtl/>
        </w:rPr>
        <w:t>ש</w:t>
      </w:r>
      <w:r>
        <w:rPr>
          <w:rFonts w:hint="cs"/>
          <w:rtl/>
        </w:rPr>
        <w:t>י</w:t>
      </w:r>
      <w:r w:rsidR="00EB427A" w:rsidRPr="00670A3D">
        <w:rPr>
          <w:rtl/>
        </w:rPr>
        <w:t>כ</w:t>
      </w:r>
      <w:r>
        <w:rPr>
          <w:rFonts w:hint="cs"/>
          <w:rtl/>
        </w:rPr>
        <w:t>ו</w:t>
      </w:r>
      <w:r w:rsidR="00EB427A">
        <w:rPr>
          <w:rFonts w:hint="cs"/>
          <w:rtl/>
        </w:rPr>
        <w:t>ר</w:t>
      </w:r>
      <w:r>
        <w:rPr>
          <w:rFonts w:hint="cs"/>
          <w:rtl/>
        </w:rPr>
        <w:t xml:space="preserve"> ובזכות כך הצליח </w:t>
      </w:r>
      <w:r w:rsidR="00EB427A" w:rsidRPr="00670A3D">
        <w:rPr>
          <w:rtl/>
        </w:rPr>
        <w:t xml:space="preserve">לאסוף מידע </w:t>
      </w:r>
      <w:r>
        <w:rPr>
          <w:rFonts w:hint="cs"/>
          <w:rtl/>
        </w:rPr>
        <w:t>רגיש</w:t>
      </w:r>
      <w:r w:rsidR="00EB427A" w:rsidRPr="00670A3D">
        <w:rPr>
          <w:rtl/>
        </w:rPr>
        <w:t>.</w:t>
      </w:r>
    </w:p>
    <w:p w14:paraId="64F3F997" w14:textId="77777777" w:rsidR="00EB427A" w:rsidRDefault="00EB427A" w:rsidP="00EB427A">
      <w:r w:rsidRPr="00F003D3">
        <w:rPr>
          <w:rtl/>
        </w:rPr>
        <w:t xml:space="preserve">אלי כהן העביר לצבא </w:t>
      </w:r>
      <w:r>
        <w:rPr>
          <w:rFonts w:hint="cs"/>
          <w:rtl/>
        </w:rPr>
        <w:t>ה</w:t>
      </w:r>
      <w:r w:rsidRPr="00F003D3">
        <w:rPr>
          <w:rtl/>
        </w:rPr>
        <w:t>ישראל</w:t>
      </w:r>
      <w:r>
        <w:rPr>
          <w:rFonts w:hint="cs"/>
          <w:rtl/>
        </w:rPr>
        <w:t>י</w:t>
      </w:r>
      <w:r w:rsidRPr="00F003D3">
        <w:rPr>
          <w:rtl/>
        </w:rPr>
        <w:t xml:space="preserve"> מגוון נרחב של נתוני מודיעין במשך ארבע שנים (1961-1965). הוא שלח מודיעין לישראל ברדיו, </w:t>
      </w:r>
      <w:r>
        <w:rPr>
          <w:rFonts w:hint="cs"/>
          <w:rtl/>
        </w:rPr>
        <w:t>ב</w:t>
      </w:r>
      <w:r w:rsidRPr="00F003D3">
        <w:rPr>
          <w:rtl/>
        </w:rPr>
        <w:t>מכתבים סודיים ולע</w:t>
      </w:r>
      <w:r>
        <w:rPr>
          <w:rFonts w:hint="cs"/>
          <w:rtl/>
        </w:rPr>
        <w:t>י</w:t>
      </w:r>
      <w:r w:rsidRPr="00F003D3">
        <w:rPr>
          <w:rtl/>
        </w:rPr>
        <w:t>תים באופן אישי.</w:t>
      </w:r>
    </w:p>
    <w:p w14:paraId="7EBB033F" w14:textId="3628EA55" w:rsidR="00EB427A" w:rsidRDefault="00EB427A" w:rsidP="00EB427A">
      <w:pPr>
        <w:rPr>
          <w:rtl/>
        </w:rPr>
      </w:pPr>
      <w:r w:rsidRPr="001E738D">
        <w:rPr>
          <w:rtl/>
        </w:rPr>
        <w:t xml:space="preserve">המודיעין שסיפק מילא תפקיד מרכזי בניצחון </w:t>
      </w:r>
      <w:r>
        <w:rPr>
          <w:rFonts w:hint="cs"/>
          <w:rtl/>
        </w:rPr>
        <w:t xml:space="preserve">של </w:t>
      </w:r>
      <w:r w:rsidRPr="001E738D">
        <w:rPr>
          <w:rtl/>
        </w:rPr>
        <w:t>ישראל במלחמת ששת הימים. בעת ביקורו ברמת הגולן, הוא אסף מודיעין לגבי ביצורי סוריה.</w:t>
      </w:r>
      <w:r w:rsidRPr="00B12BC8">
        <w:rPr>
          <w:rtl/>
        </w:rPr>
        <w:t xml:space="preserve"> מתוך </w:t>
      </w:r>
      <w:r>
        <w:rPr>
          <w:rFonts w:hint="cs"/>
          <w:rtl/>
        </w:rPr>
        <w:t>"</w:t>
      </w:r>
      <w:r w:rsidRPr="00B12BC8">
        <w:rPr>
          <w:rtl/>
        </w:rPr>
        <w:t>אהדה</w:t>
      </w:r>
      <w:r>
        <w:rPr>
          <w:rFonts w:hint="cs"/>
          <w:rtl/>
        </w:rPr>
        <w:t>"</w:t>
      </w:r>
      <w:r w:rsidRPr="00B12BC8">
        <w:rPr>
          <w:rtl/>
        </w:rPr>
        <w:t xml:space="preserve"> כלפי החיילים ש</w:t>
      </w:r>
      <w:r>
        <w:rPr>
          <w:rFonts w:hint="cs"/>
          <w:rtl/>
        </w:rPr>
        <w:t>התלוננו מה</w:t>
      </w:r>
      <w:r w:rsidRPr="00B12BC8">
        <w:rPr>
          <w:rtl/>
        </w:rPr>
        <w:t xml:space="preserve">שמש, </w:t>
      </w:r>
      <w:r>
        <w:rPr>
          <w:rFonts w:hint="cs"/>
          <w:rtl/>
        </w:rPr>
        <w:t>הוא הציע ל</w:t>
      </w:r>
      <w:r w:rsidRPr="00B12BC8">
        <w:rPr>
          <w:rtl/>
        </w:rPr>
        <w:t>נטוע עצים בכל עמדה</w:t>
      </w:r>
      <w:r>
        <w:rPr>
          <w:rFonts w:hint="cs"/>
          <w:rtl/>
        </w:rPr>
        <w:t xml:space="preserve"> סורית בגולן</w:t>
      </w:r>
      <w:r w:rsidRPr="00B12BC8">
        <w:rPr>
          <w:rtl/>
        </w:rPr>
        <w:t>. העצים בהמשך ש</w:t>
      </w:r>
      <w:r w:rsidR="00795DA8">
        <w:rPr>
          <w:rFonts w:hint="cs"/>
          <w:rtl/>
        </w:rPr>
        <w:t>ו</w:t>
      </w:r>
      <w:r w:rsidRPr="00B12BC8">
        <w:rPr>
          <w:rtl/>
        </w:rPr>
        <w:t>משו כס</w:t>
      </w:r>
      <w:r w:rsidR="00795DA8">
        <w:rPr>
          <w:rFonts w:hint="cs"/>
          <w:rtl/>
        </w:rPr>
        <w:t>י</w:t>
      </w:r>
      <w:r w:rsidRPr="00B12BC8">
        <w:rPr>
          <w:rtl/>
        </w:rPr>
        <w:t>מ</w:t>
      </w:r>
      <w:r w:rsidR="00795DA8">
        <w:rPr>
          <w:rFonts w:hint="cs"/>
          <w:rtl/>
        </w:rPr>
        <w:t>ו</w:t>
      </w:r>
      <w:r w:rsidRPr="00B12BC8">
        <w:rPr>
          <w:rtl/>
        </w:rPr>
        <w:t>ני</w:t>
      </w:r>
      <w:r w:rsidR="00795DA8">
        <w:rPr>
          <w:rFonts w:hint="cs"/>
          <w:rtl/>
        </w:rPr>
        <w:t xml:space="preserve"> עמדות סוריות עבור ה</w:t>
      </w:r>
      <w:r w:rsidRPr="00B12BC8">
        <w:rPr>
          <w:rtl/>
        </w:rPr>
        <w:t>צבא הישראלי ואפשרו לישראל לתפוס את רמת הגולן בקלות יחסית.</w:t>
      </w:r>
    </w:p>
    <w:p w14:paraId="17291F2C" w14:textId="5D587259" w:rsidR="00EB427A" w:rsidRDefault="00EB427A" w:rsidP="00122231">
      <w:pPr>
        <w:rPr>
          <w:rtl/>
        </w:rPr>
      </w:pPr>
      <w:r w:rsidRPr="00B12BC8">
        <w:rPr>
          <w:rtl/>
        </w:rPr>
        <w:t xml:space="preserve">ב-24 בינואר </w:t>
      </w:r>
      <w:r w:rsidR="00795DA8">
        <w:rPr>
          <w:rFonts w:hint="cs"/>
          <w:rtl/>
        </w:rPr>
        <w:t xml:space="preserve">1965 </w:t>
      </w:r>
      <w:r w:rsidRPr="00B12BC8">
        <w:rPr>
          <w:rtl/>
        </w:rPr>
        <w:t xml:space="preserve">פרצו שירותי הביטחון הסורים לדירתו של כהן ועצרו אותו. לא ברור מי חשף את זהותו האמיתית וכיצד. לאחר משפט בפני בית </w:t>
      </w:r>
      <w:r>
        <w:rPr>
          <w:rFonts w:hint="cs"/>
          <w:rtl/>
        </w:rPr>
        <w:t xml:space="preserve">משפט </w:t>
      </w:r>
      <w:r w:rsidRPr="00B12BC8">
        <w:rPr>
          <w:rtl/>
        </w:rPr>
        <w:t xml:space="preserve">צבאי, הוא נמצא אשם בריגול ונידון למוות. נאמר עליו שהוא עונה שוב ושוב. ישראל ערכה קמפיין בינלאומי למען </w:t>
      </w:r>
      <w:r w:rsidRPr="00B12BC8">
        <w:rPr>
          <w:rtl/>
        </w:rPr>
        <w:t>חנינ</w:t>
      </w:r>
      <w:r>
        <w:rPr>
          <w:rFonts w:hint="cs"/>
          <w:rtl/>
        </w:rPr>
        <w:t>תו</w:t>
      </w:r>
      <w:r w:rsidRPr="00B12BC8">
        <w:rPr>
          <w:rtl/>
        </w:rPr>
        <w:t>, בתקווה לשכנע את הסורים שלא להוציאו להורג.</w:t>
      </w:r>
      <w:r w:rsidRPr="00AB5278">
        <w:rPr>
          <w:rtl/>
        </w:rPr>
        <w:t xml:space="preserve"> למרות ערעורים בינלאומיים </w:t>
      </w:r>
      <w:r w:rsidR="00122231">
        <w:rPr>
          <w:rFonts w:hint="cs"/>
          <w:rtl/>
        </w:rPr>
        <w:t xml:space="preserve">למניעת </w:t>
      </w:r>
      <w:r w:rsidRPr="00AB5278">
        <w:rPr>
          <w:rtl/>
        </w:rPr>
        <w:t xml:space="preserve">עונש המוות, גזר הדין </w:t>
      </w:r>
      <w:r w:rsidR="00122231">
        <w:rPr>
          <w:rFonts w:hint="cs"/>
          <w:rtl/>
        </w:rPr>
        <w:t>בוצע</w:t>
      </w:r>
      <w:r w:rsidRPr="00AB5278">
        <w:rPr>
          <w:rtl/>
        </w:rPr>
        <w:t>.</w:t>
      </w:r>
      <w:r w:rsidR="00122231">
        <w:rPr>
          <w:rFonts w:hint="cs"/>
          <w:rtl/>
        </w:rPr>
        <w:t xml:space="preserve"> </w:t>
      </w:r>
      <w:r w:rsidRPr="00AB5278">
        <w:rPr>
          <w:rtl/>
        </w:rPr>
        <w:t>ב-18 במאי 1965 נתלה כהן בפומבי בכיכר אל מרג'ה בדמשק.</w:t>
      </w:r>
      <w:r>
        <w:rPr>
          <w:rFonts w:hint="cs"/>
          <w:rtl/>
        </w:rPr>
        <w:t xml:space="preserve"> </w:t>
      </w:r>
      <w:r w:rsidRPr="00AB5278">
        <w:rPr>
          <w:rtl/>
        </w:rPr>
        <w:t>ביום הוצאתו להורג, כיבדו רשויות הכלא את משאלתו האחרונה של אלי כהן, לפגוש רב.</w:t>
      </w:r>
    </w:p>
    <w:p w14:paraId="7B90E0AC" w14:textId="1CB471D3" w:rsidR="00122231" w:rsidRDefault="00122231" w:rsidP="00122231">
      <w:pPr>
        <w:rPr>
          <w:rtl/>
        </w:rPr>
      </w:pPr>
      <w:r>
        <w:rPr>
          <w:rFonts w:hint="cs"/>
          <w:rtl/>
        </w:rPr>
        <w:t xml:space="preserve">סיפורו של אלי כהן נחשב חסר תקדים בשל הצלחתו לרכוש אמון מלא, ואף להיות אהוב על ידי מרבית המנהיגים הסורים. עד לרגעי החשיפה האחרונים, כהן </w:t>
      </w:r>
      <w:r w:rsidRPr="00AB5278">
        <w:rPr>
          <w:rtl/>
        </w:rPr>
        <w:t xml:space="preserve">מעולם לא </w:t>
      </w:r>
      <w:r>
        <w:rPr>
          <w:rFonts w:hint="cs"/>
          <w:rtl/>
        </w:rPr>
        <w:t>נחשד כמרגל</w:t>
      </w:r>
      <w:r w:rsidRPr="00AB5278">
        <w:rPr>
          <w:rtl/>
        </w:rPr>
        <w:t>.</w:t>
      </w:r>
      <w:r>
        <w:rPr>
          <w:rFonts w:hint="cs"/>
          <w:rtl/>
        </w:rPr>
        <w:t xml:space="preserve"> </w:t>
      </w:r>
      <w:r w:rsidR="00971023">
        <w:rPr>
          <w:rFonts w:hint="cs"/>
          <w:rtl/>
        </w:rPr>
        <w:t xml:space="preserve">לא בכדי, </w:t>
      </w:r>
      <w:r w:rsidR="0075146A">
        <w:rPr>
          <w:rFonts w:hint="cs"/>
          <w:rtl/>
        </w:rPr>
        <w:t>ש</w:t>
      </w:r>
      <w:r w:rsidRPr="00AB5278">
        <w:rPr>
          <w:rtl/>
        </w:rPr>
        <w:t>הרשויות הסוריות מסרבות לשחרר את גופתו</w:t>
      </w:r>
      <w:r w:rsidR="0075146A">
        <w:rPr>
          <w:rFonts w:hint="cs"/>
          <w:rtl/>
        </w:rPr>
        <w:t xml:space="preserve"> עד עצם היום</w:t>
      </w:r>
      <w:r w:rsidRPr="00AB5278">
        <w:rPr>
          <w:rtl/>
        </w:rPr>
        <w:t>.</w:t>
      </w:r>
    </w:p>
    <w:p w14:paraId="7CE49A37" w14:textId="77777777" w:rsidR="00EB427A" w:rsidRDefault="00EB427A" w:rsidP="00EB427A">
      <w:pPr>
        <w:pStyle w:val="2"/>
        <w:rPr>
          <w:rtl/>
        </w:rPr>
      </w:pPr>
    </w:p>
    <w:p w14:paraId="68FD1B93" w14:textId="771C1330" w:rsidR="00EB427A" w:rsidRPr="00E4020D" w:rsidRDefault="00EB427A" w:rsidP="00EB427A">
      <w:pPr>
        <w:pStyle w:val="2"/>
        <w:rPr>
          <w:rtl/>
        </w:rPr>
      </w:pPr>
      <w:r>
        <w:rPr>
          <w:rFonts w:hint="cs"/>
          <w:rtl/>
        </w:rPr>
        <w:t>התחזות ל</w:t>
      </w:r>
      <w:r w:rsidR="00E66778">
        <w:rPr>
          <w:rFonts w:hint="cs"/>
          <w:rtl/>
        </w:rPr>
        <w:t>עכו"ם</w:t>
      </w:r>
    </w:p>
    <w:p w14:paraId="5117D04F" w14:textId="77777777" w:rsidR="00EB427A" w:rsidRDefault="00EB427A" w:rsidP="00EB427A">
      <w:pPr>
        <w:rPr>
          <w:rtl/>
        </w:rPr>
      </w:pPr>
      <w:r w:rsidRPr="00E4020D">
        <w:rPr>
          <w:rtl/>
        </w:rPr>
        <w:t xml:space="preserve">לקיחת זהותו הפיקטיבית של גוי כרוכה בשאלות הלכתיות. </w:t>
      </w:r>
      <w:r>
        <w:rPr>
          <w:rFonts w:hint="cs"/>
          <w:rtl/>
        </w:rPr>
        <w:t xml:space="preserve">כך פוסק </w:t>
      </w:r>
      <w:r>
        <w:rPr>
          <w:rtl/>
        </w:rPr>
        <w:t>הרב יוסף קארו</w:t>
      </w:r>
      <w:r>
        <w:rPr>
          <w:rFonts w:hint="cs"/>
          <w:rtl/>
        </w:rPr>
        <w:t>:</w:t>
      </w:r>
    </w:p>
    <w:p w14:paraId="199F54D9" w14:textId="2C27B030" w:rsidR="00EB427A" w:rsidRDefault="00EB427A" w:rsidP="00EB427A">
      <w:pPr>
        <w:ind w:left="720"/>
        <w:rPr>
          <w:rtl/>
        </w:rPr>
      </w:pPr>
      <w:r w:rsidRPr="00E4020D">
        <w:rPr>
          <w:rtl/>
        </w:rPr>
        <w:t>אסור לאדם לומר שהוא עובד כוכבים כדי שלא יהרגוהו. אבל אם כדי שלא יכירוהו שהוא יהודי משנה מלבושו בשעת הגזרה, מותר כיון שאינו אומר שהוא עובד כוכבים.</w:t>
      </w:r>
    </w:p>
    <w:p w14:paraId="778EB1CA" w14:textId="6CB38D26" w:rsidR="00D94878" w:rsidRDefault="00D94878" w:rsidP="00D94878">
      <w:r w:rsidRPr="00D94878">
        <w:rPr>
          <w:sz w:val="20"/>
          <w:szCs w:val="20"/>
          <w:rtl/>
        </w:rPr>
        <w:tab/>
      </w:r>
      <w:r w:rsidRPr="00D94878">
        <w:rPr>
          <w:rFonts w:hint="cs"/>
          <w:sz w:val="20"/>
          <w:szCs w:val="20"/>
          <w:rtl/>
        </w:rPr>
        <w:t xml:space="preserve"> (שו"ע יו"ד </w:t>
      </w:r>
      <w:r w:rsidRPr="00D94878">
        <w:rPr>
          <w:sz w:val="20"/>
          <w:szCs w:val="20"/>
          <w:rtl/>
        </w:rPr>
        <w:t xml:space="preserve">הלכות עבודת כוכבים </w:t>
      </w:r>
      <w:r>
        <w:rPr>
          <w:rFonts w:hint="cs"/>
          <w:sz w:val="20"/>
          <w:szCs w:val="20"/>
          <w:rtl/>
        </w:rPr>
        <w:t xml:space="preserve">סימן </w:t>
      </w:r>
      <w:r w:rsidRPr="00D94878">
        <w:rPr>
          <w:sz w:val="20"/>
          <w:szCs w:val="20"/>
          <w:rtl/>
        </w:rPr>
        <w:t>קנז</w:t>
      </w:r>
      <w:r>
        <w:rPr>
          <w:rFonts w:hint="cs"/>
          <w:sz w:val="20"/>
          <w:szCs w:val="20"/>
          <w:rtl/>
        </w:rPr>
        <w:t>,</w:t>
      </w:r>
      <w:r w:rsidRPr="00D94878">
        <w:rPr>
          <w:sz w:val="20"/>
          <w:szCs w:val="20"/>
          <w:rtl/>
        </w:rPr>
        <w:t xml:space="preserve"> סעיף ב</w:t>
      </w:r>
      <w:r w:rsidRPr="00D94878">
        <w:rPr>
          <w:rFonts w:hint="cs"/>
          <w:sz w:val="20"/>
          <w:szCs w:val="20"/>
          <w:rtl/>
        </w:rPr>
        <w:t>)</w:t>
      </w:r>
      <w:r>
        <w:rPr>
          <w:rFonts w:hint="cs"/>
          <w:rtl/>
        </w:rPr>
        <w:t>.</w:t>
      </w:r>
    </w:p>
    <w:p w14:paraId="1086BCC3" w14:textId="4B985210" w:rsidR="00EB427A" w:rsidRDefault="00EB427A" w:rsidP="00EB427A">
      <w:pPr>
        <w:rPr>
          <w:rtl/>
        </w:rPr>
      </w:pPr>
      <w:r>
        <w:rPr>
          <w:rFonts w:hint="cs"/>
          <w:rtl/>
        </w:rPr>
        <w:t>והרמ"א מג</w:t>
      </w:r>
      <w:r w:rsidR="002F76D1">
        <w:rPr>
          <w:rFonts w:hint="cs"/>
          <w:rtl/>
        </w:rPr>
        <w:t>י</w:t>
      </w:r>
      <w:r>
        <w:rPr>
          <w:rFonts w:hint="cs"/>
          <w:rtl/>
        </w:rPr>
        <w:t>ה שם:</w:t>
      </w:r>
    </w:p>
    <w:p w14:paraId="1C043399" w14:textId="77777777" w:rsidR="00EB427A" w:rsidRDefault="00EB427A" w:rsidP="00EB427A">
      <w:pPr>
        <w:ind w:left="720"/>
        <w:rPr>
          <w:rtl/>
        </w:rPr>
      </w:pPr>
      <w:r w:rsidRPr="00E4020D">
        <w:rPr>
          <w:rtl/>
        </w:rPr>
        <w:t>ואף על גב דאסור לומר שהוא עובד כוכבים, מ"מ יוכל לומר להם לשון דמשתמע לתרי אפין (נמוקי יוסף פ' הגוזל), והעובדי כוכבים יבינו שהוא אומר שהוא עובד כוכבים והוא יכוין לדבר אחר. וכן אם יוכל להטעותם, שהם סוברים שהוא עובד כוכבים, שרי</w:t>
      </w:r>
      <w:r>
        <w:rPr>
          <w:rFonts w:hint="cs"/>
          <w:rtl/>
        </w:rPr>
        <w:t xml:space="preserve"> [</w:t>
      </w:r>
      <w:r w:rsidRPr="00E4020D">
        <w:rPr>
          <w:rtl/>
        </w:rPr>
        <w:t>.</w:t>
      </w:r>
      <w:r>
        <w:rPr>
          <w:rFonts w:hint="cs"/>
          <w:rtl/>
        </w:rPr>
        <w:t>..]</w:t>
      </w:r>
      <w:r w:rsidRPr="00E4020D">
        <w:rPr>
          <w:rtl/>
        </w:rPr>
        <w:t xml:space="preserve"> וכל זה לא שרי רק במקום סכנה</w:t>
      </w:r>
      <w:r>
        <w:rPr>
          <w:rFonts w:hint="cs"/>
          <w:rtl/>
        </w:rPr>
        <w:t>.</w:t>
      </w:r>
    </w:p>
    <w:p w14:paraId="683C353E" w14:textId="2D1F5C70" w:rsidR="00EB427A" w:rsidRDefault="00E66778" w:rsidP="00EB427A">
      <w:pPr>
        <w:rPr>
          <w:rtl/>
        </w:rPr>
      </w:pPr>
      <w:r>
        <w:rPr>
          <w:rFonts w:hint="cs"/>
          <w:rtl/>
        </w:rPr>
        <w:t>ברקע שאלות אלה</w:t>
      </w:r>
      <w:r w:rsidR="00EB427A" w:rsidRPr="00E4020D">
        <w:rPr>
          <w:rtl/>
        </w:rPr>
        <w:t>, תוהה הרב שלמה גורן</w:t>
      </w:r>
      <w:r w:rsidR="00EB427A">
        <w:rPr>
          <w:rFonts w:hint="cs"/>
          <w:rtl/>
        </w:rPr>
        <w:t xml:space="preserve">: </w:t>
      </w:r>
      <w:r w:rsidR="00EB427A" w:rsidRPr="00E4020D">
        <w:rPr>
          <w:rtl/>
        </w:rPr>
        <w:t>תחת אלו הנחות יסוד הלכתיות יכול</w:t>
      </w:r>
      <w:r w:rsidR="00EB427A">
        <w:rPr>
          <w:rFonts w:hint="cs"/>
          <w:rtl/>
        </w:rPr>
        <w:t>ים</w:t>
      </w:r>
      <w:r w:rsidR="00EB427A" w:rsidRPr="00E4020D">
        <w:rPr>
          <w:rtl/>
        </w:rPr>
        <w:t xml:space="preserve"> </w:t>
      </w:r>
      <w:r>
        <w:rPr>
          <w:rFonts w:hint="cs"/>
          <w:rtl/>
        </w:rPr>
        <w:t xml:space="preserve">סוכניות </w:t>
      </w:r>
      <w:r w:rsidR="00EB427A">
        <w:rPr>
          <w:rFonts w:hint="cs"/>
          <w:rtl/>
        </w:rPr>
        <w:t xml:space="preserve">הריגול </w:t>
      </w:r>
      <w:r w:rsidR="00EB427A" w:rsidRPr="00E4020D">
        <w:rPr>
          <w:rtl/>
        </w:rPr>
        <w:t xml:space="preserve">בישראל לשלוח מרגלים </w:t>
      </w:r>
      <w:r w:rsidR="00CC15D8">
        <w:rPr>
          <w:rFonts w:hint="cs"/>
          <w:rtl/>
        </w:rPr>
        <w:t>לשטח האויב ב</w:t>
      </w:r>
      <w:r w:rsidR="00EB427A" w:rsidRPr="00E4020D">
        <w:rPr>
          <w:rtl/>
        </w:rPr>
        <w:t xml:space="preserve">זהות של </w:t>
      </w:r>
      <w:r w:rsidR="00EB427A">
        <w:rPr>
          <w:rFonts w:hint="cs"/>
          <w:rtl/>
        </w:rPr>
        <w:t>גויים</w:t>
      </w:r>
      <w:r w:rsidR="00EB427A" w:rsidRPr="00E4020D">
        <w:rPr>
          <w:rtl/>
        </w:rPr>
        <w:t>?</w:t>
      </w:r>
      <w:r w:rsidR="002F76D1">
        <w:rPr>
          <w:rStyle w:val="a5"/>
          <w:rtl/>
        </w:rPr>
        <w:footnoteReference w:id="2"/>
      </w:r>
      <w:r w:rsidR="00EB427A" w:rsidRPr="00BA2F6E">
        <w:rPr>
          <w:rtl/>
        </w:rPr>
        <w:t xml:space="preserve"> </w:t>
      </w:r>
      <w:r w:rsidR="002F76D1">
        <w:rPr>
          <w:rFonts w:hint="cs"/>
          <w:rtl/>
        </w:rPr>
        <w:t xml:space="preserve">יש להניח כי </w:t>
      </w:r>
      <w:r w:rsidR="002F76D1" w:rsidRPr="00BA2F6E">
        <w:rPr>
          <w:rtl/>
        </w:rPr>
        <w:t xml:space="preserve">מרגלים ישראלים </w:t>
      </w:r>
      <w:r w:rsidR="00EB427A" w:rsidRPr="00BA2F6E">
        <w:rPr>
          <w:rtl/>
        </w:rPr>
        <w:t xml:space="preserve">במדינות מוסלמיות נדרשים להיות מוסלמים דתיים נאמנים. עליהם להתפלל ולפעול בהתאם לכל </w:t>
      </w:r>
      <w:r w:rsidR="00EB427A">
        <w:rPr>
          <w:rFonts w:hint="cs"/>
          <w:rtl/>
        </w:rPr>
        <w:t>ההלכה</w:t>
      </w:r>
      <w:r w:rsidR="00EB427A" w:rsidRPr="00BA2F6E">
        <w:rPr>
          <w:rtl/>
        </w:rPr>
        <w:t xml:space="preserve"> המוסלמי</w:t>
      </w:r>
      <w:r w:rsidR="00EB427A">
        <w:rPr>
          <w:rFonts w:hint="cs"/>
          <w:rtl/>
        </w:rPr>
        <w:t>ת</w:t>
      </w:r>
      <w:r w:rsidR="00EB427A" w:rsidRPr="00BA2F6E">
        <w:rPr>
          <w:rtl/>
        </w:rPr>
        <w:t>. עליהם להיות מסוגלים לשכנע את מכריהם שהם מי שהם טוענים שהם</w:t>
      </w:r>
      <w:r w:rsidR="009E4663">
        <w:rPr>
          <w:rFonts w:hint="cs"/>
          <w:rtl/>
        </w:rPr>
        <w:t xml:space="preserve"> </w:t>
      </w:r>
      <w:r w:rsidR="009E4663">
        <w:rPr>
          <w:rtl/>
        </w:rPr>
        <w:t>–</w:t>
      </w:r>
      <w:r w:rsidR="00EB427A" w:rsidRPr="00BA2F6E">
        <w:rPr>
          <w:rtl/>
        </w:rPr>
        <w:t xml:space="preserve"> מוסלמים אמיתיים. </w:t>
      </w:r>
      <w:r w:rsidR="00CC15D8">
        <w:rPr>
          <w:rFonts w:hint="cs"/>
          <w:rtl/>
        </w:rPr>
        <w:t xml:space="preserve">כלומר, </w:t>
      </w:r>
      <w:r w:rsidR="00EB427A" w:rsidRPr="00BA2F6E">
        <w:rPr>
          <w:rtl/>
        </w:rPr>
        <w:t xml:space="preserve">עליהם </w:t>
      </w:r>
      <w:r w:rsidR="00CC15D8">
        <w:rPr>
          <w:rFonts w:hint="cs"/>
          <w:rtl/>
        </w:rPr>
        <w:t xml:space="preserve">לקיים בפומבי </w:t>
      </w:r>
      <w:r w:rsidR="00EB427A" w:rsidRPr="00BA2F6E">
        <w:rPr>
          <w:rtl/>
        </w:rPr>
        <w:t xml:space="preserve">את </w:t>
      </w:r>
      <w:r w:rsidR="00CC15D8">
        <w:rPr>
          <w:rFonts w:hint="cs"/>
          <w:rtl/>
        </w:rPr>
        <w:t xml:space="preserve">מצוות </w:t>
      </w:r>
      <w:r w:rsidR="00EB427A" w:rsidRPr="00BA2F6E">
        <w:rPr>
          <w:rtl/>
        </w:rPr>
        <w:t>האמונה המוסלמית.</w:t>
      </w:r>
    </w:p>
    <w:p w14:paraId="68D3825C" w14:textId="54843844" w:rsidR="00EB427A" w:rsidRDefault="00EB427A" w:rsidP="00EB427A">
      <w:pPr>
        <w:rPr>
          <w:rtl/>
        </w:rPr>
      </w:pPr>
      <w:r w:rsidRPr="00BA2F6E">
        <w:rPr>
          <w:rtl/>
        </w:rPr>
        <w:t xml:space="preserve">בדרך כלל ניתן לטעון כי </w:t>
      </w:r>
      <w:r>
        <w:rPr>
          <w:rFonts w:hint="cs"/>
          <w:rtl/>
        </w:rPr>
        <w:t>ב</w:t>
      </w:r>
      <w:r w:rsidRPr="00BA2F6E">
        <w:rPr>
          <w:rtl/>
        </w:rPr>
        <w:t xml:space="preserve">כל </w:t>
      </w:r>
      <w:r>
        <w:rPr>
          <w:rFonts w:hint="cs"/>
          <w:rtl/>
        </w:rPr>
        <w:t>מצב של פיקוח נפש, על יהודי לעבור על כל עבירה שבתורה. אך הלכה ידוע</w:t>
      </w:r>
      <w:r w:rsidR="007A71B0">
        <w:rPr>
          <w:rFonts w:hint="cs"/>
          <w:rtl/>
        </w:rPr>
        <w:t>ה</w:t>
      </w:r>
      <w:r>
        <w:rPr>
          <w:rFonts w:hint="cs"/>
          <w:rtl/>
        </w:rPr>
        <w:t xml:space="preserve"> ה</w:t>
      </w:r>
      <w:r w:rsidR="007A71B0">
        <w:rPr>
          <w:rFonts w:hint="cs"/>
          <w:rtl/>
        </w:rPr>
        <w:t>י</w:t>
      </w:r>
      <w:r>
        <w:rPr>
          <w:rFonts w:hint="cs"/>
          <w:rtl/>
        </w:rPr>
        <w:t>א כי אפילו במצבים של פיקוח נפש, אסור לעבוד עבודת זרה. המקור לדין זה מופיע בגמרא</w:t>
      </w:r>
      <w:r w:rsidR="00ED0BD8">
        <w:rPr>
          <w:rFonts w:hint="cs"/>
          <w:rtl/>
        </w:rPr>
        <w:t xml:space="preserve"> בסנהדרין</w:t>
      </w:r>
      <w:r>
        <w:rPr>
          <w:rFonts w:hint="cs"/>
          <w:rtl/>
        </w:rPr>
        <w:t>:</w:t>
      </w:r>
    </w:p>
    <w:p w14:paraId="2284A250" w14:textId="77777777" w:rsidR="00A16D35" w:rsidRDefault="00EB427A" w:rsidP="00EB427A">
      <w:pPr>
        <w:ind w:left="720"/>
        <w:rPr>
          <w:rtl/>
        </w:rPr>
      </w:pPr>
      <w:r w:rsidRPr="00BA2F6E">
        <w:rPr>
          <w:rtl/>
        </w:rPr>
        <w:lastRenderedPageBreak/>
        <w:t>נימנו וגמרו בעלית בית נתזה בלוד: כל עבירות שבתורה אם אומרין לאדם עבור ואל תהרג - יעבור ואל יהרג, חוץ מעבודה זרה וגילוי עריות ושפיכות דמים.</w:t>
      </w:r>
    </w:p>
    <w:p w14:paraId="5B79DF94" w14:textId="0242AA40" w:rsidR="00EB427A" w:rsidRDefault="00A16D35" w:rsidP="00EB427A">
      <w:pPr>
        <w:ind w:left="720"/>
        <w:rPr>
          <w:rtl/>
        </w:rPr>
      </w:pPr>
      <w:r w:rsidRPr="00A16D35">
        <w:rPr>
          <w:sz w:val="20"/>
          <w:szCs w:val="20"/>
          <w:rtl/>
        </w:rPr>
        <w:tab/>
      </w:r>
      <w:r w:rsidRPr="00A16D35">
        <w:rPr>
          <w:rFonts w:hint="cs"/>
          <w:sz w:val="20"/>
          <w:szCs w:val="20"/>
          <w:rtl/>
        </w:rPr>
        <w:t>(</w:t>
      </w:r>
      <w:r>
        <w:rPr>
          <w:rFonts w:hint="cs"/>
          <w:sz w:val="20"/>
          <w:szCs w:val="20"/>
          <w:rtl/>
        </w:rPr>
        <w:t xml:space="preserve">סנהדרין </w:t>
      </w:r>
      <w:r w:rsidRPr="00A16D35">
        <w:rPr>
          <w:rFonts w:hint="cs"/>
          <w:sz w:val="20"/>
          <w:szCs w:val="20"/>
          <w:rtl/>
        </w:rPr>
        <w:t>נד ע"א)</w:t>
      </w:r>
      <w:r>
        <w:rPr>
          <w:rFonts w:hint="cs"/>
          <w:rtl/>
        </w:rPr>
        <w:t>.</w:t>
      </w:r>
    </w:p>
    <w:p w14:paraId="6D831CE2" w14:textId="77777777" w:rsidR="00EB427A" w:rsidRDefault="00EB427A" w:rsidP="00EB427A">
      <w:pPr>
        <w:pStyle w:val="2"/>
        <w:rPr>
          <w:rtl/>
        </w:rPr>
      </w:pPr>
    </w:p>
    <w:p w14:paraId="59F80E6C" w14:textId="77777777" w:rsidR="00EB427A" w:rsidRDefault="004F356A" w:rsidP="00EB427A">
      <w:pPr>
        <w:pStyle w:val="2"/>
        <w:rPr>
          <w:rtl/>
        </w:rPr>
      </w:pPr>
      <w:r>
        <w:rPr>
          <w:rFonts w:hint="cs"/>
          <w:rtl/>
        </w:rPr>
        <w:t xml:space="preserve">מעמד </w:t>
      </w:r>
      <w:r w:rsidR="00EB427A" w:rsidRPr="00C63628">
        <w:rPr>
          <w:rtl/>
        </w:rPr>
        <w:t xml:space="preserve">האיסלאם </w:t>
      </w:r>
      <w:r>
        <w:rPr>
          <w:rFonts w:hint="cs"/>
          <w:rtl/>
        </w:rPr>
        <w:t>והתאסלמות</w:t>
      </w:r>
    </w:p>
    <w:p w14:paraId="1C4E3D0C" w14:textId="6BD451C1" w:rsidR="00EB427A" w:rsidRDefault="00EB427A" w:rsidP="00EB427A">
      <w:pPr>
        <w:rPr>
          <w:rtl/>
        </w:rPr>
      </w:pPr>
      <w:r w:rsidRPr="00C63628">
        <w:rPr>
          <w:rtl/>
        </w:rPr>
        <w:t xml:space="preserve">הרב גורן מסביר כי </w:t>
      </w:r>
      <w:r>
        <w:rPr>
          <w:rFonts w:hint="cs"/>
          <w:rtl/>
        </w:rPr>
        <w:t>ההיתר</w:t>
      </w:r>
      <w:r w:rsidRPr="00C63628">
        <w:rPr>
          <w:rtl/>
        </w:rPr>
        <w:t xml:space="preserve"> מבוסס על </w:t>
      </w:r>
      <w:r>
        <w:rPr>
          <w:rFonts w:hint="cs"/>
          <w:rtl/>
        </w:rPr>
        <w:t xml:space="preserve">פסק </w:t>
      </w:r>
      <w:r w:rsidRPr="00C63628">
        <w:rPr>
          <w:rtl/>
        </w:rPr>
        <w:t>הלכ</w:t>
      </w:r>
      <w:r>
        <w:rPr>
          <w:rFonts w:hint="cs"/>
          <w:rtl/>
        </w:rPr>
        <w:t>ה</w:t>
      </w:r>
      <w:r w:rsidRPr="00C63628">
        <w:rPr>
          <w:rtl/>
        </w:rPr>
        <w:t xml:space="preserve"> של הרמב"ם כי מוסלמים אינם נחשבים </w:t>
      </w:r>
      <w:r>
        <w:rPr>
          <w:rFonts w:hint="cs"/>
          <w:rtl/>
        </w:rPr>
        <w:t>כ</w:t>
      </w:r>
      <w:r w:rsidRPr="00C63628">
        <w:rPr>
          <w:rtl/>
        </w:rPr>
        <w:t>עובדי עבודה זרה.</w:t>
      </w:r>
      <w:r>
        <w:rPr>
          <w:rFonts w:hint="cs"/>
          <w:rtl/>
        </w:rPr>
        <w:t xml:space="preserve"> הוא מביא את מכתבו של הרמב"ם </w:t>
      </w:r>
      <w:r w:rsidRPr="00C63628">
        <w:rPr>
          <w:rtl/>
        </w:rPr>
        <w:t>לר' עובדיה הגר</w:t>
      </w:r>
      <w:r>
        <w:rPr>
          <w:rFonts w:hint="cs"/>
          <w:rtl/>
        </w:rPr>
        <w:t>:</w:t>
      </w:r>
    </w:p>
    <w:p w14:paraId="20D41463" w14:textId="77777777" w:rsidR="0018760C" w:rsidRDefault="00EB427A" w:rsidP="00EB427A">
      <w:pPr>
        <w:ind w:left="720"/>
        <w:rPr>
          <w:rtl/>
        </w:rPr>
      </w:pPr>
      <w:r w:rsidRPr="003256FB">
        <w:rPr>
          <w:rtl/>
        </w:rPr>
        <w:t>אלו הישמעאלים אינם עובדי ע"ז כלל, וכבר נכרתה מפיהם ומלבם והם מיחדים לאל יתע' יחוד כראוי יחוד שאין בו דופי</w:t>
      </w:r>
      <w:r>
        <w:rPr>
          <w:rFonts w:hint="cs"/>
          <w:rtl/>
        </w:rPr>
        <w:t xml:space="preserve"> [...] </w:t>
      </w:r>
      <w:r w:rsidRPr="003256FB">
        <w:rPr>
          <w:rtl/>
        </w:rPr>
        <w:t>וכן אלו הישמעאלים היום כולם טף ונשים נכרתה ע"ז מפיהם וטעותם וטפשותם בדברים אחרים היא</w:t>
      </w:r>
      <w:r>
        <w:rPr>
          <w:rFonts w:hint="cs"/>
          <w:rtl/>
        </w:rPr>
        <w:t xml:space="preserve"> [...] </w:t>
      </w:r>
      <w:r w:rsidRPr="003256FB">
        <w:rPr>
          <w:rtl/>
        </w:rPr>
        <w:t>אבל ביחוד השם יתעלה אין להם טעות כלל</w:t>
      </w:r>
      <w:r>
        <w:rPr>
          <w:rFonts w:hint="cs"/>
          <w:rtl/>
        </w:rPr>
        <w:t>.</w:t>
      </w:r>
      <w:r w:rsidR="0018760C" w:rsidRPr="0018760C">
        <w:rPr>
          <w:rFonts w:hint="cs"/>
          <w:rtl/>
        </w:rPr>
        <w:t xml:space="preserve"> </w:t>
      </w:r>
    </w:p>
    <w:p w14:paraId="0088B9D9" w14:textId="58DE8655" w:rsidR="00EB427A" w:rsidRDefault="0018760C" w:rsidP="00EB427A">
      <w:pPr>
        <w:ind w:left="720"/>
        <w:rPr>
          <w:rtl/>
        </w:rPr>
      </w:pPr>
      <w:r w:rsidRPr="0018760C">
        <w:rPr>
          <w:sz w:val="20"/>
          <w:szCs w:val="20"/>
          <w:rtl/>
        </w:rPr>
        <w:tab/>
      </w:r>
      <w:r w:rsidRPr="0018760C">
        <w:rPr>
          <w:rFonts w:hint="cs"/>
          <w:sz w:val="20"/>
          <w:szCs w:val="20"/>
          <w:rtl/>
        </w:rPr>
        <w:t>(שו"ת הרמב"ם סימן תמח)</w:t>
      </w:r>
      <w:r>
        <w:rPr>
          <w:rFonts w:hint="cs"/>
          <w:rtl/>
        </w:rPr>
        <w:t>.</w:t>
      </w:r>
    </w:p>
    <w:p w14:paraId="184E6E0F" w14:textId="286B73EB" w:rsidR="00EB427A" w:rsidRDefault="00EB427A" w:rsidP="00EB427A">
      <w:pPr>
        <w:rPr>
          <w:rtl/>
        </w:rPr>
      </w:pPr>
      <w:r w:rsidRPr="009938E1">
        <w:rPr>
          <w:rtl/>
        </w:rPr>
        <w:t>פסיק</w:t>
      </w:r>
      <w:r>
        <w:rPr>
          <w:rFonts w:hint="cs"/>
          <w:rtl/>
        </w:rPr>
        <w:t>ה</w:t>
      </w:r>
      <w:r w:rsidRPr="009938E1">
        <w:rPr>
          <w:rtl/>
        </w:rPr>
        <w:t xml:space="preserve"> זו </w:t>
      </w:r>
      <w:r>
        <w:rPr>
          <w:rFonts w:hint="cs"/>
          <w:rtl/>
        </w:rPr>
        <w:t xml:space="preserve">של </w:t>
      </w:r>
      <w:r w:rsidRPr="009938E1">
        <w:rPr>
          <w:rtl/>
        </w:rPr>
        <w:t xml:space="preserve">הרמב"ם מופיעה שוב בדיון בדבר </w:t>
      </w:r>
      <w:r>
        <w:rPr>
          <w:rFonts w:hint="cs"/>
          <w:rtl/>
        </w:rPr>
        <w:t xml:space="preserve">ההיתר </w:t>
      </w:r>
      <w:r w:rsidRPr="009938E1">
        <w:rPr>
          <w:rtl/>
        </w:rPr>
        <w:t xml:space="preserve">להפיק </w:t>
      </w:r>
      <w:r>
        <w:rPr>
          <w:rFonts w:hint="cs"/>
          <w:rtl/>
        </w:rPr>
        <w:t xml:space="preserve">הנאה </w:t>
      </w:r>
      <w:r w:rsidRPr="009938E1">
        <w:rPr>
          <w:rtl/>
        </w:rPr>
        <w:t xml:space="preserve">מיין של מוסלמי. </w:t>
      </w:r>
      <w:r w:rsidR="0018760C">
        <w:rPr>
          <w:rFonts w:hint="cs"/>
          <w:rtl/>
        </w:rPr>
        <w:t>ה</w:t>
      </w:r>
      <w:r>
        <w:rPr>
          <w:rFonts w:hint="cs"/>
          <w:rtl/>
        </w:rPr>
        <w:t xml:space="preserve">הלכה </w:t>
      </w:r>
      <w:r w:rsidRPr="009938E1">
        <w:rPr>
          <w:rtl/>
        </w:rPr>
        <w:t>אוסר</w:t>
      </w:r>
      <w:r>
        <w:rPr>
          <w:rFonts w:hint="cs"/>
          <w:rtl/>
        </w:rPr>
        <w:t>ת</w:t>
      </w:r>
      <w:r w:rsidRPr="009938E1">
        <w:rPr>
          <w:rtl/>
        </w:rPr>
        <w:t xml:space="preserve"> על יהודים לשתות יין של עובדי עבודה זרה </w:t>
      </w:r>
      <w:r w:rsidR="0018760C">
        <w:rPr>
          <w:rFonts w:hint="cs"/>
          <w:rtl/>
        </w:rPr>
        <w:t xml:space="preserve">(יין נסך) </w:t>
      </w:r>
      <w:r w:rsidRPr="009938E1">
        <w:rPr>
          <w:rtl/>
        </w:rPr>
        <w:t xml:space="preserve">וכן להפיק ממנו </w:t>
      </w:r>
      <w:r>
        <w:rPr>
          <w:rFonts w:hint="cs"/>
          <w:rtl/>
        </w:rPr>
        <w:t>הנאה</w:t>
      </w:r>
      <w:r w:rsidRPr="009938E1">
        <w:rPr>
          <w:rtl/>
        </w:rPr>
        <w:t>. אם ה</w:t>
      </w:r>
      <w:r>
        <w:rPr>
          <w:rFonts w:hint="cs"/>
          <w:rtl/>
        </w:rPr>
        <w:t xml:space="preserve">גוי </w:t>
      </w:r>
      <w:r w:rsidRPr="009938E1">
        <w:rPr>
          <w:rtl/>
        </w:rPr>
        <w:t>אינו מקוטלג לפי ההלכה כע</w:t>
      </w:r>
      <w:r>
        <w:rPr>
          <w:rFonts w:hint="cs"/>
          <w:rtl/>
        </w:rPr>
        <w:t xml:space="preserve">ובד עבודה </w:t>
      </w:r>
      <w:r w:rsidRPr="009938E1">
        <w:rPr>
          <w:rtl/>
        </w:rPr>
        <w:t xml:space="preserve">זרה, אזי אפשר להפיק </w:t>
      </w:r>
      <w:r>
        <w:rPr>
          <w:rFonts w:hint="cs"/>
          <w:rtl/>
        </w:rPr>
        <w:t>ממנו הנאה</w:t>
      </w:r>
      <w:r w:rsidR="0018760C">
        <w:rPr>
          <w:rFonts w:hint="cs"/>
          <w:rtl/>
        </w:rPr>
        <w:t>:</w:t>
      </w:r>
    </w:p>
    <w:p w14:paraId="13E10015" w14:textId="35E82D12" w:rsidR="00EB427A" w:rsidRDefault="00EB427A" w:rsidP="00EB427A">
      <w:pPr>
        <w:ind w:left="720"/>
        <w:rPr>
          <w:rtl/>
        </w:rPr>
      </w:pPr>
      <w:r w:rsidRPr="009938E1">
        <w:rPr>
          <w:rtl/>
        </w:rPr>
        <w:t>וכן כל עכו"ם שאינו עובד עכו"ם כגון אלו הישמעאלים יינן אסור בשתייה ומותר בהנייה וכן הורו כל הגאונים, אבל אותם העובדים עכו"ם סתם יינם אסור בהנייה.</w:t>
      </w:r>
    </w:p>
    <w:p w14:paraId="0C362120" w14:textId="76344EE7" w:rsidR="0018760C" w:rsidRDefault="0018760C" w:rsidP="0018760C">
      <w:r w:rsidRPr="0018760C">
        <w:rPr>
          <w:sz w:val="20"/>
          <w:szCs w:val="20"/>
          <w:rtl/>
        </w:rPr>
        <w:tab/>
      </w:r>
      <w:r w:rsidRPr="0018760C">
        <w:rPr>
          <w:rFonts w:hint="cs"/>
          <w:sz w:val="20"/>
          <w:szCs w:val="20"/>
          <w:rtl/>
        </w:rPr>
        <w:t>(</w:t>
      </w:r>
      <w:r w:rsidRPr="0018760C">
        <w:rPr>
          <w:sz w:val="20"/>
          <w:szCs w:val="20"/>
          <w:rtl/>
        </w:rPr>
        <w:t xml:space="preserve">הלכות מאכלות אסורות </w:t>
      </w:r>
      <w:r w:rsidRPr="0018760C">
        <w:rPr>
          <w:rFonts w:hint="cs"/>
          <w:sz w:val="20"/>
          <w:szCs w:val="20"/>
          <w:rtl/>
        </w:rPr>
        <w:t>פ</w:t>
      </w:r>
      <w:r w:rsidRPr="0018760C">
        <w:rPr>
          <w:sz w:val="20"/>
          <w:szCs w:val="20"/>
          <w:rtl/>
        </w:rPr>
        <w:t>י</w:t>
      </w:r>
      <w:r w:rsidRPr="0018760C">
        <w:rPr>
          <w:rFonts w:hint="cs"/>
          <w:sz w:val="20"/>
          <w:szCs w:val="20"/>
          <w:rtl/>
        </w:rPr>
        <w:t>"</w:t>
      </w:r>
      <w:r w:rsidRPr="0018760C">
        <w:rPr>
          <w:sz w:val="20"/>
          <w:szCs w:val="20"/>
          <w:rtl/>
        </w:rPr>
        <w:t>א</w:t>
      </w:r>
      <w:r w:rsidRPr="0018760C">
        <w:rPr>
          <w:rFonts w:hint="cs"/>
          <w:sz w:val="20"/>
          <w:szCs w:val="20"/>
          <w:rtl/>
        </w:rPr>
        <w:t xml:space="preserve"> ה"ז)</w:t>
      </w:r>
      <w:r>
        <w:rPr>
          <w:rFonts w:hint="cs"/>
          <w:rtl/>
        </w:rPr>
        <w:t>.</w:t>
      </w:r>
    </w:p>
    <w:p w14:paraId="39CCE14F" w14:textId="7A02308C" w:rsidR="00EB427A" w:rsidRDefault="00EB427A" w:rsidP="00EB427A">
      <w:pPr>
        <w:rPr>
          <w:rtl/>
        </w:rPr>
      </w:pPr>
      <w:r w:rsidRPr="009938E1">
        <w:rPr>
          <w:rtl/>
        </w:rPr>
        <w:t>הרב עובדיה יוסף, בהתבסס על דעתו של רמב"ם, מתיר ליהודים להיכנס למסגד</w:t>
      </w:r>
      <w:r w:rsidR="0018760C">
        <w:rPr>
          <w:rFonts w:hint="cs"/>
          <w:rtl/>
        </w:rPr>
        <w:t>:</w:t>
      </w:r>
    </w:p>
    <w:p w14:paraId="03EC7453" w14:textId="64EA7DEF" w:rsidR="00EB427A" w:rsidRDefault="00EB427A" w:rsidP="00EB427A">
      <w:pPr>
        <w:ind w:left="720"/>
        <w:rPr>
          <w:rtl/>
        </w:rPr>
      </w:pPr>
      <w:r w:rsidRPr="009938E1">
        <w:rPr>
          <w:rtl/>
        </w:rPr>
        <w:t>ושוב מצאתי להגאון רבי יצחק אלחנן בשו"ת עין יצחק (חאו"ח סי' יא), שנשאל אודות אנשי צבא יהודים שבקשו מאת השר לתת להם מקום כדי להתפלל, ונתן להם את המסגד של הישמעאלים, האם מותר להם להתפלל שם, והשיב, שהואיל ומבואר בטור (סי' קכד) בשם הגאונים והרמב"ם והרשב"א שהישמעאלים אינם עובדי ע"ז, וכ"כ הרמ"א (בסי' קמו ס"ה), יש להתיר בפשיטות להתפלל שם</w:t>
      </w:r>
      <w:r>
        <w:rPr>
          <w:rFonts w:hint="cs"/>
          <w:rtl/>
        </w:rPr>
        <w:t>.</w:t>
      </w:r>
    </w:p>
    <w:p w14:paraId="7C217909" w14:textId="793AEEDD" w:rsidR="00F41F5B" w:rsidRDefault="00F41F5B" w:rsidP="00EB427A">
      <w:pPr>
        <w:ind w:left="720"/>
        <w:rPr>
          <w:rtl/>
        </w:rPr>
      </w:pPr>
      <w:r w:rsidRPr="00F41F5B">
        <w:rPr>
          <w:sz w:val="20"/>
          <w:szCs w:val="20"/>
          <w:rtl/>
        </w:rPr>
        <w:tab/>
      </w:r>
      <w:r w:rsidRPr="00F41F5B">
        <w:rPr>
          <w:rFonts w:hint="cs"/>
          <w:sz w:val="20"/>
          <w:szCs w:val="20"/>
          <w:rtl/>
        </w:rPr>
        <w:t>(שו"ת יביע אומר ח"ז יו"ד, סימן יב)</w:t>
      </w:r>
      <w:r>
        <w:rPr>
          <w:rFonts w:hint="cs"/>
          <w:rtl/>
        </w:rPr>
        <w:t>.</w:t>
      </w:r>
    </w:p>
    <w:p w14:paraId="21373D11" w14:textId="1EF93B7B" w:rsidR="00EB427A" w:rsidRDefault="0018760C" w:rsidP="00EB427A">
      <w:pPr>
        <w:rPr>
          <w:rtl/>
        </w:rPr>
      </w:pPr>
      <w:r>
        <w:rPr>
          <w:rFonts w:hint="cs"/>
          <w:rtl/>
        </w:rPr>
        <w:t xml:space="preserve">מעתה, </w:t>
      </w:r>
      <w:r w:rsidR="00EB427A" w:rsidRPr="009938E1">
        <w:rPr>
          <w:rtl/>
        </w:rPr>
        <w:t xml:space="preserve">מובן </w:t>
      </w:r>
      <w:r>
        <w:rPr>
          <w:rFonts w:hint="cs"/>
          <w:rtl/>
        </w:rPr>
        <w:t xml:space="preserve">גם </w:t>
      </w:r>
      <w:r w:rsidR="00EB427A" w:rsidRPr="009938E1">
        <w:rPr>
          <w:rtl/>
        </w:rPr>
        <w:t xml:space="preserve">מדוע הרמב"ם </w:t>
      </w:r>
      <w:r>
        <w:rPr>
          <w:rFonts w:hint="cs"/>
          <w:rtl/>
        </w:rPr>
        <w:t xml:space="preserve">פוסק שיהודי לא </w:t>
      </w:r>
      <w:r w:rsidR="00EB427A">
        <w:rPr>
          <w:rFonts w:hint="cs"/>
          <w:rtl/>
        </w:rPr>
        <w:t>צריך למסור את נפשו</w:t>
      </w:r>
      <w:r>
        <w:rPr>
          <w:rFonts w:hint="cs"/>
          <w:rtl/>
        </w:rPr>
        <w:t xml:space="preserve"> כאשר עומדת לפניו בחירה בין התאסלמות או מוות:</w:t>
      </w:r>
    </w:p>
    <w:p w14:paraId="5F2E6F65" w14:textId="0BBD1738" w:rsidR="00EB427A" w:rsidRDefault="00EB427A" w:rsidP="004F356A">
      <w:pPr>
        <w:ind w:left="720"/>
        <w:rPr>
          <w:rtl/>
        </w:rPr>
      </w:pPr>
      <w:r w:rsidRPr="00C37933">
        <w:rPr>
          <w:rtl/>
        </w:rPr>
        <w:t>וכל מי שנהרג כדי שלא יודה בשליחות אותו האיש לא יאמר עליו אלא שעשה הישר והטוב, ויש לו שכר גדול לפני השם, ומעלתו במעלה עליונה, כי הוא מסר עצמו לקדושת השם יתברך ויתעלה, אבל מי שבא לישאל אותנו: אם יהרג או יודה? או</w:t>
      </w:r>
      <w:r>
        <w:rPr>
          <w:rtl/>
        </w:rPr>
        <w:t>מרים לו שיודה ולא יהרג</w:t>
      </w:r>
      <w:r>
        <w:rPr>
          <w:rFonts w:hint="cs"/>
          <w:rtl/>
        </w:rPr>
        <w:t>.</w:t>
      </w:r>
      <w:r w:rsidR="00981954">
        <w:rPr>
          <w:rStyle w:val="a5"/>
          <w:rtl/>
        </w:rPr>
        <w:footnoteReference w:id="3"/>
      </w:r>
    </w:p>
    <w:p w14:paraId="137454B4" w14:textId="77777777" w:rsidR="00EB427A" w:rsidRDefault="00EB427A" w:rsidP="00EB427A">
      <w:pPr>
        <w:rPr>
          <w:rtl/>
        </w:rPr>
      </w:pPr>
      <w:r w:rsidRPr="00C37933">
        <w:rPr>
          <w:rtl/>
        </w:rPr>
        <w:t>עם זאת, אף שרוב הפוסקים מסכימים עם הרמב"ם כי האמונה המוסלמית אינ</w:t>
      </w:r>
      <w:r>
        <w:rPr>
          <w:rFonts w:hint="cs"/>
          <w:rtl/>
        </w:rPr>
        <w:t>נ</w:t>
      </w:r>
      <w:r w:rsidRPr="00C37933">
        <w:rPr>
          <w:rtl/>
        </w:rPr>
        <w:t xml:space="preserve">ה </w:t>
      </w:r>
      <w:r>
        <w:rPr>
          <w:rFonts w:hint="cs"/>
          <w:rtl/>
        </w:rPr>
        <w:t>עבודה זרה</w:t>
      </w:r>
      <w:r w:rsidRPr="00C37933">
        <w:rPr>
          <w:rtl/>
        </w:rPr>
        <w:t>,</w:t>
      </w:r>
      <w:r>
        <w:rPr>
          <w:rStyle w:val="a5"/>
          <w:rtl/>
        </w:rPr>
        <w:footnoteReference w:id="4"/>
      </w:r>
      <w:r w:rsidRPr="00C37933">
        <w:rPr>
          <w:rtl/>
        </w:rPr>
        <w:t xml:space="preserve"> לא כולם מסכימים עם מסקנתו כי המרה </w:t>
      </w:r>
      <w:r w:rsidRPr="00C37933">
        <w:rPr>
          <w:rFonts w:hint="cs"/>
          <w:rtl/>
        </w:rPr>
        <w:t>לאסלאם</w:t>
      </w:r>
      <w:r w:rsidRPr="00C37933">
        <w:rPr>
          <w:rtl/>
        </w:rPr>
        <w:t xml:space="preserve"> גוברת על סכנת חיים.</w:t>
      </w:r>
    </w:p>
    <w:p w14:paraId="70E23D27" w14:textId="1EF503B0" w:rsidR="00EB427A" w:rsidRDefault="00EB427A" w:rsidP="00EB427A">
      <w:pPr>
        <w:rPr>
          <w:rtl/>
        </w:rPr>
      </w:pPr>
      <w:r>
        <w:rPr>
          <w:rFonts w:hint="cs"/>
          <w:rtl/>
        </w:rPr>
        <w:t xml:space="preserve">הרב </w:t>
      </w:r>
      <w:r w:rsidRPr="00F4585E">
        <w:rPr>
          <w:rtl/>
        </w:rPr>
        <w:t>דוד אבן זמרא</w:t>
      </w:r>
      <w:r>
        <w:rPr>
          <w:rFonts w:hint="cs"/>
          <w:rtl/>
        </w:rPr>
        <w:t xml:space="preserve"> (רדב"ז, </w:t>
      </w:r>
      <w:r w:rsidRPr="00F4585E">
        <w:rPr>
          <w:rtl/>
        </w:rPr>
        <w:t>1479-1589</w:t>
      </w:r>
      <w:r>
        <w:rPr>
          <w:rFonts w:hint="cs"/>
          <w:rtl/>
        </w:rPr>
        <w:t xml:space="preserve">) </w:t>
      </w:r>
      <w:r w:rsidRPr="00F4585E">
        <w:rPr>
          <w:rtl/>
        </w:rPr>
        <w:t xml:space="preserve">לא מסכים עם עמדתו של </w:t>
      </w:r>
      <w:r>
        <w:rPr>
          <w:rFonts w:hint="cs"/>
          <w:rtl/>
        </w:rPr>
        <w:t>ה</w:t>
      </w:r>
      <w:r w:rsidRPr="00F4585E">
        <w:rPr>
          <w:rtl/>
        </w:rPr>
        <w:t xml:space="preserve">רמב"ם וטוען שיהודים חייבים </w:t>
      </w:r>
      <w:r>
        <w:rPr>
          <w:rFonts w:hint="cs"/>
          <w:rtl/>
        </w:rPr>
        <w:t xml:space="preserve">למסור את נפשם </w:t>
      </w:r>
      <w:r w:rsidRPr="00F4585E">
        <w:rPr>
          <w:rtl/>
        </w:rPr>
        <w:t xml:space="preserve">ולא להתאסלם. </w:t>
      </w:r>
      <w:r w:rsidR="002F76D1">
        <w:rPr>
          <w:rFonts w:hint="cs"/>
          <w:rtl/>
        </w:rPr>
        <w:t>זאת, בהתבסס על כך ש</w:t>
      </w:r>
      <w:r w:rsidRPr="00F4585E">
        <w:rPr>
          <w:rtl/>
        </w:rPr>
        <w:t xml:space="preserve">הסכמתו </w:t>
      </w:r>
      <w:r w:rsidR="002F76D1">
        <w:rPr>
          <w:rFonts w:hint="cs"/>
          <w:rtl/>
        </w:rPr>
        <w:t xml:space="preserve">של יהודי </w:t>
      </w:r>
      <w:r w:rsidRPr="00F4585E">
        <w:rPr>
          <w:rtl/>
        </w:rPr>
        <w:t xml:space="preserve">למשימתו הנבואית של מוחמד, </w:t>
      </w:r>
      <w:r>
        <w:rPr>
          <w:rFonts w:hint="cs"/>
          <w:rtl/>
        </w:rPr>
        <w:t xml:space="preserve">דומה </w:t>
      </w:r>
      <w:r w:rsidRPr="00F4585E">
        <w:rPr>
          <w:rtl/>
        </w:rPr>
        <w:t>לשלילת תוקף התורה.</w:t>
      </w:r>
      <w:r>
        <w:rPr>
          <w:rStyle w:val="a5"/>
          <w:rtl/>
        </w:rPr>
        <w:footnoteReference w:id="5"/>
      </w:r>
    </w:p>
    <w:p w14:paraId="3250F11D" w14:textId="77777777" w:rsidR="004F356A" w:rsidRDefault="004F356A" w:rsidP="004F356A">
      <w:pPr>
        <w:pStyle w:val="2"/>
        <w:rPr>
          <w:rtl/>
        </w:rPr>
      </w:pPr>
    </w:p>
    <w:p w14:paraId="663EA765" w14:textId="77777777" w:rsidR="00EB427A" w:rsidRPr="00E644B3" w:rsidRDefault="004F356A" w:rsidP="004F356A">
      <w:pPr>
        <w:pStyle w:val="2"/>
        <w:rPr>
          <w:rtl/>
        </w:rPr>
      </w:pPr>
      <w:r>
        <w:rPr>
          <w:rFonts w:hint="cs"/>
          <w:rtl/>
        </w:rPr>
        <w:t>איסור חיתון</w:t>
      </w:r>
    </w:p>
    <w:p w14:paraId="0CA8C0EF" w14:textId="367176C1" w:rsidR="00EB427A" w:rsidRDefault="000B0B06" w:rsidP="00EB427A">
      <w:pPr>
        <w:rPr>
          <w:rtl/>
        </w:rPr>
      </w:pPr>
      <w:r>
        <w:rPr>
          <w:rFonts w:hint="cs"/>
          <w:rtl/>
        </w:rPr>
        <w:t xml:space="preserve">בנוסף, טוען </w:t>
      </w:r>
      <w:r w:rsidR="00EB427A" w:rsidRPr="008569F1">
        <w:rPr>
          <w:rtl/>
        </w:rPr>
        <w:t xml:space="preserve">הרב גורן </w:t>
      </w:r>
      <w:r>
        <w:rPr>
          <w:rFonts w:hint="cs"/>
          <w:rtl/>
        </w:rPr>
        <w:t xml:space="preserve">כי </w:t>
      </w:r>
      <w:r w:rsidR="00EB427A" w:rsidRPr="008569F1">
        <w:rPr>
          <w:rtl/>
        </w:rPr>
        <w:t>יש</w:t>
      </w:r>
      <w:r>
        <w:rPr>
          <w:rFonts w:hint="cs"/>
          <w:rtl/>
        </w:rPr>
        <w:t>נה</w:t>
      </w:r>
      <w:r w:rsidR="00EB427A" w:rsidRPr="008569F1">
        <w:rPr>
          <w:rtl/>
        </w:rPr>
        <w:t xml:space="preserve"> </w:t>
      </w:r>
      <w:r>
        <w:rPr>
          <w:rFonts w:hint="cs"/>
          <w:rtl/>
        </w:rPr>
        <w:t xml:space="preserve">עוד </w:t>
      </w:r>
      <w:r w:rsidR="00EB427A" w:rsidRPr="008569F1">
        <w:rPr>
          <w:rtl/>
        </w:rPr>
        <w:t xml:space="preserve">סוגיה הלכתית </w:t>
      </w:r>
      <w:r>
        <w:rPr>
          <w:rFonts w:hint="cs"/>
          <w:rtl/>
        </w:rPr>
        <w:t>הנוגעת לנושא</w:t>
      </w:r>
      <w:r w:rsidR="00EB427A" w:rsidRPr="008569F1">
        <w:rPr>
          <w:rtl/>
        </w:rPr>
        <w:t>. על מנת לשמור על זהות</w:t>
      </w:r>
      <w:r>
        <w:rPr>
          <w:rFonts w:hint="cs"/>
          <w:rtl/>
        </w:rPr>
        <w:t>ם</w:t>
      </w:r>
      <w:r w:rsidR="00EB427A" w:rsidRPr="008569F1">
        <w:rPr>
          <w:rtl/>
        </w:rPr>
        <w:t xml:space="preserve"> הכוזבת, יתכן </w:t>
      </w:r>
      <w:r w:rsidR="00EB427A" w:rsidRPr="008569F1">
        <w:rPr>
          <w:rFonts w:hint="cs"/>
          <w:rtl/>
        </w:rPr>
        <w:t>ו</w:t>
      </w:r>
      <w:r w:rsidR="00EB427A">
        <w:rPr>
          <w:rFonts w:hint="cs"/>
          <w:rtl/>
        </w:rPr>
        <w:t>י</w:t>
      </w:r>
      <w:r w:rsidR="00EB427A" w:rsidRPr="008569F1">
        <w:rPr>
          <w:rFonts w:hint="cs"/>
          <w:rtl/>
        </w:rPr>
        <w:t>ידר</w:t>
      </w:r>
      <w:r w:rsidR="00EB427A" w:rsidRPr="008569F1">
        <w:rPr>
          <w:rFonts w:hint="eastAsia"/>
          <w:rtl/>
        </w:rPr>
        <w:t>ש</w:t>
      </w:r>
      <w:r w:rsidR="00EB427A" w:rsidRPr="008569F1">
        <w:rPr>
          <w:rtl/>
        </w:rPr>
        <w:t xml:space="preserve"> </w:t>
      </w:r>
      <w:r w:rsidR="00EB427A">
        <w:rPr>
          <w:rFonts w:hint="cs"/>
          <w:rtl/>
        </w:rPr>
        <w:t>מה</w:t>
      </w:r>
      <w:r w:rsidR="00EB427A" w:rsidRPr="008569F1">
        <w:rPr>
          <w:rtl/>
        </w:rPr>
        <w:t xml:space="preserve">מרגלים </w:t>
      </w:r>
      <w:r w:rsidRPr="00CA4361">
        <w:rPr>
          <w:rFonts w:hint="cs"/>
          <w:rtl/>
        </w:rPr>
        <w:t>לקיים חיי אישות פיקטיבים</w:t>
      </w:r>
      <w:r>
        <w:rPr>
          <w:rFonts w:hint="cs"/>
          <w:rtl/>
        </w:rPr>
        <w:t xml:space="preserve">. </w:t>
      </w:r>
      <w:r w:rsidR="00EB427A">
        <w:rPr>
          <w:rFonts w:hint="cs"/>
          <w:rtl/>
        </w:rPr>
        <w:t xml:space="preserve">למשל, </w:t>
      </w:r>
      <w:r w:rsidR="00EB427A" w:rsidRPr="008569F1">
        <w:rPr>
          <w:rtl/>
        </w:rPr>
        <w:t xml:space="preserve">רווק מבוגר </w:t>
      </w:r>
      <w:r w:rsidR="00EB427A">
        <w:rPr>
          <w:rFonts w:hint="cs"/>
          <w:rtl/>
        </w:rPr>
        <w:t xml:space="preserve">מדי </w:t>
      </w:r>
      <w:r w:rsidR="00EB427A" w:rsidRPr="008569F1">
        <w:rPr>
          <w:rtl/>
        </w:rPr>
        <w:t xml:space="preserve">בעולם המוסלמי עשוי לעורר חשדות </w:t>
      </w:r>
      <w:r>
        <w:rPr>
          <w:rFonts w:hint="cs"/>
          <w:rtl/>
        </w:rPr>
        <w:t>ו</w:t>
      </w:r>
      <w:r w:rsidR="00EB427A" w:rsidRPr="008569F1">
        <w:rPr>
          <w:rtl/>
        </w:rPr>
        <w:t xml:space="preserve">יתכן שיהיה צורך לארגן נישואים פיקטיביים. </w:t>
      </w:r>
      <w:r>
        <w:rPr>
          <w:rFonts w:hint="cs"/>
          <w:rtl/>
        </w:rPr>
        <w:t xml:space="preserve">האיסור </w:t>
      </w:r>
      <w:r w:rsidR="00075737">
        <w:rPr>
          <w:rFonts w:hint="cs"/>
          <w:rtl/>
        </w:rPr>
        <w:t xml:space="preserve">המובהק המצוי בסיטואציה כזו הוא </w:t>
      </w:r>
      <w:r w:rsidR="00EB427A">
        <w:rPr>
          <w:rFonts w:hint="cs"/>
          <w:rtl/>
        </w:rPr>
        <w:t xml:space="preserve">גילוי </w:t>
      </w:r>
      <w:r w:rsidR="00EB427A" w:rsidRPr="008569F1">
        <w:rPr>
          <w:rtl/>
        </w:rPr>
        <w:t>עריות</w:t>
      </w:r>
      <w:r w:rsidR="00075737">
        <w:rPr>
          <w:rFonts w:hint="cs"/>
          <w:rtl/>
        </w:rPr>
        <w:t>,</w:t>
      </w:r>
      <w:r w:rsidR="00EB427A" w:rsidRPr="008569F1">
        <w:rPr>
          <w:rtl/>
        </w:rPr>
        <w:t xml:space="preserve"> </w:t>
      </w:r>
      <w:r>
        <w:rPr>
          <w:rFonts w:hint="cs"/>
          <w:rtl/>
        </w:rPr>
        <w:t xml:space="preserve">איסור </w:t>
      </w:r>
      <w:r w:rsidR="00EB427A" w:rsidRPr="008569F1">
        <w:rPr>
          <w:rtl/>
        </w:rPr>
        <w:t>שיש לשמור עלי</w:t>
      </w:r>
      <w:r>
        <w:rPr>
          <w:rFonts w:hint="cs"/>
          <w:rtl/>
        </w:rPr>
        <w:t>ו</w:t>
      </w:r>
      <w:r w:rsidR="00EB427A" w:rsidRPr="008569F1">
        <w:rPr>
          <w:rtl/>
        </w:rPr>
        <w:t xml:space="preserve"> בכל מחיר, גם אם </w:t>
      </w:r>
      <w:r>
        <w:rPr>
          <w:rFonts w:hint="cs"/>
          <w:rtl/>
        </w:rPr>
        <w:t xml:space="preserve">החלופה </w:t>
      </w:r>
      <w:r w:rsidR="00EB427A" w:rsidRPr="008569F1">
        <w:rPr>
          <w:rtl/>
        </w:rPr>
        <w:t>היא מוות.</w:t>
      </w:r>
    </w:p>
    <w:p w14:paraId="40FE523D" w14:textId="1B34B223" w:rsidR="00EB427A" w:rsidRDefault="00EB427A" w:rsidP="00EB427A">
      <w:pPr>
        <w:rPr>
          <w:rtl/>
        </w:rPr>
      </w:pPr>
      <w:r>
        <w:rPr>
          <w:rFonts w:hint="cs"/>
          <w:rtl/>
        </w:rPr>
        <w:t xml:space="preserve">כמה רחוק </w:t>
      </w:r>
      <w:r w:rsidR="002F76D1">
        <w:rPr>
          <w:rFonts w:hint="cs"/>
          <w:rtl/>
        </w:rPr>
        <w:t xml:space="preserve">אפוא </w:t>
      </w:r>
      <w:r w:rsidRPr="008569F1">
        <w:rPr>
          <w:rtl/>
        </w:rPr>
        <w:t xml:space="preserve">מרגל יכול להמשיך </w:t>
      </w:r>
      <w:r>
        <w:rPr>
          <w:rFonts w:hint="cs"/>
          <w:rtl/>
        </w:rPr>
        <w:t>בחזותו המטעה</w:t>
      </w:r>
      <w:r w:rsidRPr="008569F1">
        <w:rPr>
          <w:rtl/>
        </w:rPr>
        <w:t xml:space="preserve">? האם מותר לו להינשא לאישה </w:t>
      </w:r>
      <w:r>
        <w:rPr>
          <w:rFonts w:hint="cs"/>
          <w:rtl/>
        </w:rPr>
        <w:t xml:space="preserve">גוייה על מנת </w:t>
      </w:r>
      <w:r w:rsidRPr="008569F1">
        <w:rPr>
          <w:rtl/>
        </w:rPr>
        <w:t>לשכנע את מכריו שהוא אחד מהם?</w:t>
      </w:r>
      <w:r>
        <w:rPr>
          <w:rStyle w:val="a5"/>
          <w:rtl/>
        </w:rPr>
        <w:footnoteReference w:id="6"/>
      </w:r>
    </w:p>
    <w:p w14:paraId="77A5B796" w14:textId="524E691F" w:rsidR="00EB427A" w:rsidRDefault="00EB427A" w:rsidP="00EB427A">
      <w:pPr>
        <w:rPr>
          <w:rtl/>
        </w:rPr>
      </w:pPr>
      <w:r w:rsidRPr="008569F1">
        <w:rPr>
          <w:rtl/>
        </w:rPr>
        <w:t xml:space="preserve">הרב גורן </w:t>
      </w:r>
      <w:r w:rsidR="00075737">
        <w:rPr>
          <w:rFonts w:hint="cs"/>
          <w:rtl/>
        </w:rPr>
        <w:t>דן</w:t>
      </w:r>
      <w:r>
        <w:rPr>
          <w:rFonts w:hint="cs"/>
          <w:rtl/>
        </w:rPr>
        <w:t xml:space="preserve"> </w:t>
      </w:r>
      <w:r w:rsidR="00075737">
        <w:rPr>
          <w:rFonts w:hint="cs"/>
          <w:rtl/>
        </w:rPr>
        <w:t>ב</w:t>
      </w:r>
      <w:r w:rsidRPr="008569F1">
        <w:rPr>
          <w:rtl/>
        </w:rPr>
        <w:t xml:space="preserve">שאלה זו </w:t>
      </w:r>
      <w:r>
        <w:rPr>
          <w:rFonts w:hint="cs"/>
          <w:rtl/>
        </w:rPr>
        <w:t xml:space="preserve">בעיון </w:t>
      </w:r>
      <w:r w:rsidRPr="008569F1">
        <w:rPr>
          <w:rtl/>
        </w:rPr>
        <w:t xml:space="preserve">ומצטט את רבנו תם (1100-1171), הסובר כי העיקרון המפורסם של </w:t>
      </w:r>
      <w:r>
        <w:rPr>
          <w:rFonts w:hint="cs"/>
          <w:rtl/>
        </w:rPr>
        <w:t xml:space="preserve">גילוי </w:t>
      </w:r>
      <w:r w:rsidRPr="008569F1">
        <w:rPr>
          <w:rtl/>
        </w:rPr>
        <w:t xml:space="preserve">עריות </w:t>
      </w:r>
      <w:r w:rsidR="00075737">
        <w:rPr>
          <w:rFonts w:hint="cs"/>
          <w:rtl/>
        </w:rPr>
        <w:t>ש</w:t>
      </w:r>
      <w:r w:rsidRPr="008569F1">
        <w:rPr>
          <w:rtl/>
        </w:rPr>
        <w:t xml:space="preserve">גובר על פיקוח נפש נכון רק כאשר שני האנשים המעורבים הם יהודים. </w:t>
      </w:r>
      <w:r w:rsidR="002F76D1">
        <w:rPr>
          <w:rFonts w:hint="cs"/>
          <w:rtl/>
        </w:rPr>
        <w:t>אולם</w:t>
      </w:r>
      <w:r w:rsidRPr="008569F1">
        <w:rPr>
          <w:rtl/>
        </w:rPr>
        <w:t xml:space="preserve">, אם אחד </w:t>
      </w:r>
      <w:r>
        <w:rPr>
          <w:rFonts w:hint="cs"/>
          <w:rtl/>
        </w:rPr>
        <w:t xml:space="preserve">איננו </w:t>
      </w:r>
      <w:r w:rsidRPr="008569F1">
        <w:rPr>
          <w:rtl/>
        </w:rPr>
        <w:t xml:space="preserve">יהודי, מותר ליהודי לקיים יחסים </w:t>
      </w:r>
      <w:r>
        <w:rPr>
          <w:rFonts w:hint="cs"/>
          <w:rtl/>
        </w:rPr>
        <w:t>על מנת להציל את נפשו</w:t>
      </w:r>
      <w:r w:rsidRPr="008569F1">
        <w:rPr>
          <w:rtl/>
        </w:rPr>
        <w:t>.</w:t>
      </w:r>
      <w:r>
        <w:rPr>
          <w:rStyle w:val="a5"/>
          <w:rtl/>
        </w:rPr>
        <w:footnoteReference w:id="7"/>
      </w:r>
    </w:p>
    <w:p w14:paraId="2B80F5FF" w14:textId="6B512924" w:rsidR="00EB427A" w:rsidRDefault="00075737" w:rsidP="00EB427A">
      <w:pPr>
        <w:rPr>
          <w:rtl/>
        </w:rPr>
      </w:pPr>
      <w:r>
        <w:rPr>
          <w:rFonts w:hint="cs"/>
          <w:rtl/>
        </w:rPr>
        <w:lastRenderedPageBreak/>
        <w:t>יתרה מזאת</w:t>
      </w:r>
      <w:r w:rsidR="00EB427A" w:rsidRPr="008569F1">
        <w:rPr>
          <w:rtl/>
        </w:rPr>
        <w:t xml:space="preserve">, </w:t>
      </w:r>
      <w:r>
        <w:rPr>
          <w:rFonts w:hint="cs"/>
          <w:rtl/>
        </w:rPr>
        <w:t xml:space="preserve">לדעת </w:t>
      </w:r>
      <w:r w:rsidR="00EB427A" w:rsidRPr="008569F1">
        <w:rPr>
          <w:rtl/>
        </w:rPr>
        <w:t xml:space="preserve">הרב גורן, יש סוגיה נוספת </w:t>
      </w:r>
      <w:r w:rsidR="00EB427A">
        <w:rPr>
          <w:rFonts w:hint="cs"/>
          <w:rtl/>
        </w:rPr>
        <w:t>הדורשת עיון</w:t>
      </w:r>
      <w:r w:rsidR="00EB427A" w:rsidRPr="008569F1">
        <w:rPr>
          <w:rtl/>
        </w:rPr>
        <w:t xml:space="preserve">. </w:t>
      </w:r>
      <w:r>
        <w:rPr>
          <w:rFonts w:hint="cs"/>
          <w:rtl/>
        </w:rPr>
        <w:t>ב</w:t>
      </w:r>
      <w:r w:rsidR="00EB427A" w:rsidRPr="008569F1">
        <w:rPr>
          <w:rtl/>
        </w:rPr>
        <w:t xml:space="preserve">תורה </w:t>
      </w:r>
      <w:r>
        <w:rPr>
          <w:rFonts w:hint="cs"/>
          <w:rtl/>
        </w:rPr>
        <w:t>מופיע פסוק מפורש ה</w:t>
      </w:r>
      <w:r w:rsidR="00EB427A" w:rsidRPr="008569F1">
        <w:rPr>
          <w:rtl/>
        </w:rPr>
        <w:t>אוסר להינשא לנשים לא יהודיות</w:t>
      </w:r>
      <w:r w:rsidR="00EB427A">
        <w:rPr>
          <w:rFonts w:hint="cs"/>
          <w:rtl/>
        </w:rPr>
        <w:t>:</w:t>
      </w:r>
    </w:p>
    <w:p w14:paraId="6F9DFFB0" w14:textId="77777777" w:rsidR="00075737" w:rsidRDefault="00EB427A" w:rsidP="004F356A">
      <w:pPr>
        <w:ind w:left="720"/>
        <w:rPr>
          <w:rtl/>
        </w:rPr>
      </w:pPr>
      <w:r w:rsidRPr="008569F1">
        <w:rPr>
          <w:rtl/>
        </w:rPr>
        <w:t>וְלֹא תִתְחַתֵּן בָּם בִּתְּךָ לֹא תִתֵּן לִבְנוֹ וּבִתּוֹ לֹא תִקַּח לִבְנֶךָ:</w:t>
      </w:r>
      <w:r w:rsidR="00075737">
        <w:rPr>
          <w:rFonts w:hint="cs"/>
          <w:rtl/>
        </w:rPr>
        <w:t xml:space="preserve"> </w:t>
      </w:r>
    </w:p>
    <w:p w14:paraId="0D69FEE6" w14:textId="34E27B39" w:rsidR="00EB427A" w:rsidRDefault="00075737" w:rsidP="004F356A">
      <w:pPr>
        <w:ind w:left="720"/>
        <w:rPr>
          <w:rtl/>
        </w:rPr>
      </w:pPr>
      <w:r>
        <w:rPr>
          <w:rtl/>
        </w:rPr>
        <w:tab/>
      </w:r>
      <w:r w:rsidRPr="00075737">
        <w:rPr>
          <w:rFonts w:hint="cs"/>
          <w:sz w:val="20"/>
          <w:szCs w:val="20"/>
          <w:rtl/>
        </w:rPr>
        <w:t>(דברים ז, ג)</w:t>
      </w:r>
      <w:r>
        <w:rPr>
          <w:rFonts w:hint="cs"/>
          <w:rtl/>
        </w:rPr>
        <w:t>.</w:t>
      </w:r>
    </w:p>
    <w:p w14:paraId="36646711" w14:textId="33BC1F70" w:rsidR="00EB427A" w:rsidRDefault="00EB427A" w:rsidP="00EB427A">
      <w:pPr>
        <w:rPr>
          <w:rtl/>
        </w:rPr>
      </w:pPr>
      <w:r w:rsidRPr="00724583">
        <w:rPr>
          <w:rtl/>
        </w:rPr>
        <w:t>תיאורטית</w:t>
      </w:r>
      <w:r w:rsidR="002F76D1">
        <w:rPr>
          <w:rFonts w:hint="cs"/>
          <w:rtl/>
        </w:rPr>
        <w:t>,</w:t>
      </w:r>
      <w:r w:rsidRPr="00724583">
        <w:rPr>
          <w:rtl/>
        </w:rPr>
        <w:t xml:space="preserve"> </w:t>
      </w:r>
      <w:r>
        <w:rPr>
          <w:rFonts w:hint="cs"/>
          <w:rtl/>
        </w:rPr>
        <w:t xml:space="preserve">הלכה </w:t>
      </w:r>
      <w:r w:rsidRPr="00724583">
        <w:rPr>
          <w:rtl/>
        </w:rPr>
        <w:t xml:space="preserve">זו צריכה להיות </w:t>
      </w:r>
      <w:r>
        <w:rPr>
          <w:rFonts w:hint="cs"/>
          <w:rtl/>
        </w:rPr>
        <w:t xml:space="preserve">שייכת </w:t>
      </w:r>
      <w:r w:rsidRPr="00724583">
        <w:rPr>
          <w:rtl/>
        </w:rPr>
        <w:t>לענייננו.</w:t>
      </w:r>
      <w:r>
        <w:rPr>
          <w:rFonts w:hint="cs"/>
          <w:rtl/>
        </w:rPr>
        <w:t xml:space="preserve"> למרות שמדובר </w:t>
      </w:r>
      <w:r w:rsidR="002F76D1">
        <w:rPr>
          <w:rFonts w:hint="cs"/>
          <w:rtl/>
        </w:rPr>
        <w:t xml:space="preserve">במצוות </w:t>
      </w:r>
      <w:r>
        <w:rPr>
          <w:rFonts w:hint="cs"/>
          <w:rtl/>
        </w:rPr>
        <w:t>לא תעשה, הלכה זו</w:t>
      </w:r>
      <w:r w:rsidR="00F10FE8">
        <w:rPr>
          <w:rFonts w:hint="cs"/>
          <w:rtl/>
        </w:rPr>
        <w:t xml:space="preserve"> היא בגדר "ייהרג ואל יעבור"</w:t>
      </w:r>
      <w:r>
        <w:rPr>
          <w:rFonts w:hint="cs"/>
          <w:rtl/>
        </w:rPr>
        <w:t xml:space="preserve">. </w:t>
      </w:r>
      <w:r w:rsidRPr="00724583">
        <w:rPr>
          <w:rtl/>
        </w:rPr>
        <w:t>פיקוח נפש מתקיים בכל המצוות, למעט השלושה שהוזכרו לעיל.</w:t>
      </w:r>
      <w:r>
        <w:rPr>
          <w:rFonts w:hint="cs"/>
          <w:rtl/>
        </w:rPr>
        <w:t xml:space="preserve"> </w:t>
      </w:r>
      <w:r w:rsidR="002F76D1">
        <w:rPr>
          <w:rFonts w:hint="cs"/>
          <w:rtl/>
        </w:rPr>
        <w:t xml:space="preserve">אמנם, </w:t>
      </w:r>
      <w:r w:rsidRPr="00724583">
        <w:rPr>
          <w:rtl/>
        </w:rPr>
        <w:t>הרמב"ם</w:t>
      </w:r>
      <w:r w:rsidR="002F76D1">
        <w:rPr>
          <w:rFonts w:hint="cs"/>
          <w:rtl/>
        </w:rPr>
        <w:t xml:space="preserve"> מסביר</w:t>
      </w:r>
      <w:r w:rsidRPr="00724583">
        <w:rPr>
          <w:rtl/>
        </w:rPr>
        <w:t xml:space="preserve"> </w:t>
      </w:r>
      <w:r w:rsidR="002F76D1">
        <w:rPr>
          <w:rFonts w:hint="cs"/>
          <w:rtl/>
        </w:rPr>
        <w:t xml:space="preserve">כי </w:t>
      </w:r>
      <w:r w:rsidRPr="00724583">
        <w:rPr>
          <w:rtl/>
        </w:rPr>
        <w:t>איסור זה שונה ומיוחד:</w:t>
      </w:r>
    </w:p>
    <w:p w14:paraId="44D2C2C7" w14:textId="77777777" w:rsidR="00EB427A" w:rsidRDefault="00EB427A" w:rsidP="004F356A">
      <w:pPr>
        <w:ind w:left="720"/>
        <w:rPr>
          <w:rtl/>
        </w:rPr>
      </w:pPr>
      <w:r>
        <w:rPr>
          <w:rtl/>
        </w:rPr>
        <w:t xml:space="preserve">עון זה אף על פי שאין בו מיתת ב"ד אל יהי קל בעיניך, אלא יש בו הפסד שאין בכל העריות כמותו שהבן מן הערוה בנו הוא לכל דבר ובכלל ישראל נחשב אף על פי שהוא ממזר והבן מן הכותית אינו בנו שנאמר כי יסיר את בנך מאחרי מסיר אותו מלהיות אחרי י"י. </w:t>
      </w:r>
    </w:p>
    <w:p w14:paraId="463812E4" w14:textId="77777777" w:rsidR="00533117" w:rsidRDefault="00EB427A" w:rsidP="00533117">
      <w:pPr>
        <w:ind w:left="720"/>
        <w:rPr>
          <w:rtl/>
        </w:rPr>
      </w:pPr>
      <w:r>
        <w:rPr>
          <w:rtl/>
        </w:rPr>
        <w:t>ודבר זה גורם להדבק בעכו"ם שהבדילנו הקדוש ברוך הוא מהם ולשוב מאחרי י"י ולמעול בו.</w:t>
      </w:r>
      <w:r w:rsidR="00533117">
        <w:rPr>
          <w:rFonts w:hint="cs"/>
          <w:rtl/>
        </w:rPr>
        <w:t xml:space="preserve"> </w:t>
      </w:r>
    </w:p>
    <w:p w14:paraId="648730B2" w14:textId="1E3CE361" w:rsidR="00EB427A" w:rsidRDefault="00533117" w:rsidP="00533117">
      <w:pPr>
        <w:ind w:left="720"/>
        <w:rPr>
          <w:rtl/>
        </w:rPr>
      </w:pPr>
      <w:r w:rsidRPr="00533117">
        <w:rPr>
          <w:sz w:val="20"/>
          <w:szCs w:val="20"/>
          <w:rtl/>
        </w:rPr>
        <w:tab/>
      </w:r>
      <w:r w:rsidRPr="00533117">
        <w:rPr>
          <w:rFonts w:hint="cs"/>
          <w:sz w:val="20"/>
          <w:szCs w:val="20"/>
          <w:rtl/>
        </w:rPr>
        <w:t>(איסורי ביאה פי"ב ה"ז-ה"ח)</w:t>
      </w:r>
      <w:r>
        <w:rPr>
          <w:rFonts w:hint="cs"/>
          <w:rtl/>
        </w:rPr>
        <w:t>.</w:t>
      </w:r>
    </w:p>
    <w:p w14:paraId="316405CA" w14:textId="20EBB703" w:rsidR="00EB427A" w:rsidRDefault="00EB427A" w:rsidP="00EB427A">
      <w:pPr>
        <w:rPr>
          <w:rtl/>
        </w:rPr>
      </w:pPr>
      <w:r w:rsidRPr="00B02293">
        <w:rPr>
          <w:rtl/>
        </w:rPr>
        <w:t>הרב גורן מציע כי רעיון זה המוזכר ברמב"ם, עשוי להוות סיבה לאיסור קיום נישואי תערובת גם במצבים מסכני חיים. לכן הוא מציע מקור חלופי.</w:t>
      </w:r>
    </w:p>
    <w:p w14:paraId="653EEA27" w14:textId="77777777" w:rsidR="00EB427A" w:rsidRDefault="00EB427A" w:rsidP="00EB427A">
      <w:pPr>
        <w:rPr>
          <w:rtl/>
        </w:rPr>
      </w:pPr>
    </w:p>
    <w:p w14:paraId="39A9B6DB" w14:textId="77777777" w:rsidR="00EB427A" w:rsidRPr="00B02293" w:rsidRDefault="00EB427A" w:rsidP="004F356A">
      <w:pPr>
        <w:pStyle w:val="2"/>
        <w:rPr>
          <w:rtl/>
        </w:rPr>
      </w:pPr>
      <w:r w:rsidRPr="00B02293">
        <w:rPr>
          <w:rtl/>
        </w:rPr>
        <w:t xml:space="preserve">פיקוח נפש </w:t>
      </w:r>
      <w:r w:rsidRPr="00B02293">
        <w:rPr>
          <w:rFonts w:hint="cs"/>
          <w:rtl/>
        </w:rPr>
        <w:t>ל</w:t>
      </w:r>
      <w:r w:rsidRPr="00B02293">
        <w:rPr>
          <w:rtl/>
        </w:rPr>
        <w:t>עם היהודי</w:t>
      </w:r>
    </w:p>
    <w:p w14:paraId="3ED8BD7C" w14:textId="32F1C6E3" w:rsidR="00EB427A" w:rsidRDefault="00EB427A" w:rsidP="00EB427A">
      <w:pPr>
        <w:rPr>
          <w:rtl/>
        </w:rPr>
      </w:pPr>
      <w:r>
        <w:rPr>
          <w:rtl/>
        </w:rPr>
        <w:t>הגמרא דנה במעשיה של יעל, שהרגה את הגנרל הכנעני סיסרא וע</w:t>
      </w:r>
      <w:r w:rsidRPr="00B02293">
        <w:rPr>
          <w:rtl/>
        </w:rPr>
        <w:t>זר</w:t>
      </w:r>
      <w:r>
        <w:rPr>
          <w:rFonts w:hint="cs"/>
          <w:rtl/>
        </w:rPr>
        <w:t>ה</w:t>
      </w:r>
      <w:r w:rsidRPr="00B02293">
        <w:rPr>
          <w:rtl/>
        </w:rPr>
        <w:t xml:space="preserve"> לנצח במלחמה</w:t>
      </w:r>
      <w:r>
        <w:rPr>
          <w:rFonts w:hint="cs"/>
          <w:rtl/>
        </w:rPr>
        <w:t xml:space="preserve">. </w:t>
      </w:r>
      <w:r w:rsidRPr="00497D0E">
        <w:rPr>
          <w:rtl/>
        </w:rPr>
        <w:t>הבנ</w:t>
      </w:r>
      <w:r>
        <w:rPr>
          <w:rFonts w:hint="cs"/>
          <w:rtl/>
        </w:rPr>
        <w:t>ת</w:t>
      </w:r>
      <w:r w:rsidRPr="00497D0E">
        <w:rPr>
          <w:rtl/>
        </w:rPr>
        <w:t xml:space="preserve"> </w:t>
      </w:r>
      <w:r>
        <w:rPr>
          <w:rFonts w:hint="cs"/>
          <w:rtl/>
        </w:rPr>
        <w:t>ה</w:t>
      </w:r>
      <w:r w:rsidRPr="00497D0E">
        <w:rPr>
          <w:rtl/>
        </w:rPr>
        <w:t xml:space="preserve">גמרא היא שיעל מפתה את סיסרא כדי להרוג אותו. </w:t>
      </w:r>
      <w:r w:rsidR="002F76D1">
        <w:rPr>
          <w:rFonts w:hint="cs"/>
          <w:rtl/>
        </w:rPr>
        <w:t xml:space="preserve">אמנם, </w:t>
      </w:r>
      <w:r w:rsidRPr="00497D0E">
        <w:rPr>
          <w:rtl/>
        </w:rPr>
        <w:t xml:space="preserve">למרות שיעל </w:t>
      </w:r>
      <w:r>
        <w:rPr>
          <w:rFonts w:hint="cs"/>
          <w:rtl/>
        </w:rPr>
        <w:t xml:space="preserve">עוברת </w:t>
      </w:r>
      <w:r w:rsidRPr="00497D0E">
        <w:rPr>
          <w:rtl/>
        </w:rPr>
        <w:t>עבירה, התלמוד מצדיק את מעשיה</w:t>
      </w:r>
      <w:r>
        <w:rPr>
          <w:rFonts w:hint="cs"/>
          <w:rtl/>
        </w:rPr>
        <w:t>:</w:t>
      </w:r>
    </w:p>
    <w:p w14:paraId="1BEA144B" w14:textId="77777777" w:rsidR="00EB427A" w:rsidRDefault="00EB427A" w:rsidP="004F356A">
      <w:pPr>
        <w:ind w:left="720"/>
        <w:rPr>
          <w:rtl/>
        </w:rPr>
      </w:pPr>
      <w:r w:rsidRPr="007A56A9">
        <w:rPr>
          <w:rtl/>
        </w:rPr>
        <w:t>אמר ר"נ בר יצחק: גדולה עבירה לשמה ממצוה שלא לשמה. והאמר רב יהודה אמר רב: לעולם יעסוק אדם בתורה ובמצות אפי' שלא לשמן, שמתוך שלא לשמן בא לשמן! אלא אימא: כמצוה שלא לשמה, דכתיב</w:t>
      </w:r>
      <w:r>
        <w:rPr>
          <w:rFonts w:hint="cs"/>
          <w:rtl/>
        </w:rPr>
        <w:t xml:space="preserve"> (שופטים ה', כד)</w:t>
      </w:r>
      <w:r w:rsidRPr="007A56A9">
        <w:rPr>
          <w:rtl/>
        </w:rPr>
        <w:t xml:space="preserve">: תבורך מנשים יעל אשת חבר הקני מנשים באהל תבורך, מאן נשים שבאהל? שרה, רבקה, רחל ולאה. </w:t>
      </w:r>
    </w:p>
    <w:p w14:paraId="7E193757" w14:textId="3BDEE04D" w:rsidR="00EB427A" w:rsidRDefault="00EB427A" w:rsidP="004F356A">
      <w:pPr>
        <w:ind w:left="720"/>
        <w:rPr>
          <w:rtl/>
        </w:rPr>
      </w:pPr>
      <w:r w:rsidRPr="007A56A9">
        <w:rPr>
          <w:rtl/>
        </w:rPr>
        <w:t>א"ר יוחנן: שבע בעילות בעל אותו רשע באותה שעה, שנאמר</w:t>
      </w:r>
      <w:r>
        <w:rPr>
          <w:rFonts w:hint="cs"/>
          <w:rtl/>
        </w:rPr>
        <w:t xml:space="preserve"> (שם, פסוק כז)</w:t>
      </w:r>
      <w:r w:rsidRPr="007A56A9">
        <w:rPr>
          <w:rtl/>
        </w:rPr>
        <w:t>: בין רגליה כרע נפל שכב וגו'.</w:t>
      </w:r>
    </w:p>
    <w:p w14:paraId="704FB160" w14:textId="56ABD1F3" w:rsidR="00D94878" w:rsidRDefault="00D94878" w:rsidP="004F356A">
      <w:pPr>
        <w:ind w:left="720"/>
        <w:rPr>
          <w:rtl/>
        </w:rPr>
      </w:pPr>
      <w:r w:rsidRPr="00D94878">
        <w:rPr>
          <w:sz w:val="20"/>
          <w:szCs w:val="20"/>
          <w:rtl/>
        </w:rPr>
        <w:tab/>
      </w:r>
      <w:r w:rsidRPr="00D94878">
        <w:rPr>
          <w:rFonts w:hint="cs"/>
          <w:sz w:val="20"/>
          <w:szCs w:val="20"/>
          <w:rtl/>
        </w:rPr>
        <w:t>(נזיר כג ע"ב)</w:t>
      </w:r>
      <w:r>
        <w:rPr>
          <w:rFonts w:hint="cs"/>
          <w:rtl/>
        </w:rPr>
        <w:t>.</w:t>
      </w:r>
    </w:p>
    <w:p w14:paraId="286D0A5B" w14:textId="44619032" w:rsidR="00EB427A" w:rsidRDefault="00EB427A" w:rsidP="00EB427A">
      <w:pPr>
        <w:rPr>
          <w:rtl/>
        </w:rPr>
      </w:pPr>
      <w:r w:rsidRPr="00FD0E04">
        <w:rPr>
          <w:rtl/>
        </w:rPr>
        <w:t xml:space="preserve">הגמרא </w:t>
      </w:r>
      <w:r w:rsidR="00CD693A">
        <w:rPr>
          <w:rFonts w:hint="cs"/>
          <w:rtl/>
        </w:rPr>
        <w:t xml:space="preserve">אפוא </w:t>
      </w:r>
      <w:r w:rsidRPr="00FD0E04">
        <w:rPr>
          <w:rtl/>
        </w:rPr>
        <w:t xml:space="preserve">מצדיקה את מעשיה של יעל למרות שהיא </w:t>
      </w:r>
      <w:r>
        <w:rPr>
          <w:rFonts w:hint="cs"/>
          <w:rtl/>
        </w:rPr>
        <w:t>עוברת על גילוי עריות</w:t>
      </w:r>
      <w:r w:rsidRPr="00FD0E04">
        <w:rPr>
          <w:rtl/>
        </w:rPr>
        <w:t>.</w:t>
      </w:r>
      <w:r>
        <w:rPr>
          <w:rFonts w:hint="cs"/>
          <w:rtl/>
        </w:rPr>
        <w:t xml:space="preserve"> </w:t>
      </w:r>
      <w:r w:rsidR="00533117">
        <w:rPr>
          <w:rFonts w:hint="cs"/>
          <w:rtl/>
        </w:rPr>
        <w:t xml:space="preserve">הרב גורן מסביר </w:t>
      </w:r>
      <w:r w:rsidR="00CD693A">
        <w:rPr>
          <w:rFonts w:hint="cs"/>
          <w:rtl/>
        </w:rPr>
        <w:t xml:space="preserve">שלדעת </w:t>
      </w:r>
      <w:r w:rsidR="00533117">
        <w:rPr>
          <w:rFonts w:hint="cs"/>
          <w:rtl/>
        </w:rPr>
        <w:t xml:space="preserve">הגמרא </w:t>
      </w:r>
      <w:r w:rsidRPr="00FD0E04">
        <w:rPr>
          <w:rtl/>
        </w:rPr>
        <w:t xml:space="preserve">יעל </w:t>
      </w:r>
      <w:r w:rsidR="00CD693A">
        <w:rPr>
          <w:rFonts w:hint="cs"/>
          <w:rtl/>
        </w:rPr>
        <w:t>ה</w:t>
      </w:r>
      <w:r w:rsidRPr="00FD0E04">
        <w:rPr>
          <w:rtl/>
        </w:rPr>
        <w:t xml:space="preserve">צילה את העם היהודי ולא רק את עצמה. </w:t>
      </w:r>
      <w:r w:rsidR="00533117">
        <w:rPr>
          <w:rFonts w:hint="cs"/>
          <w:rtl/>
        </w:rPr>
        <w:t xml:space="preserve">כלומר, </w:t>
      </w:r>
      <w:r w:rsidRPr="00FD0E04">
        <w:rPr>
          <w:rtl/>
        </w:rPr>
        <w:t xml:space="preserve">כאשר הגמרא טוענת כי </w:t>
      </w:r>
      <w:r>
        <w:rPr>
          <w:rFonts w:hint="cs"/>
          <w:rtl/>
        </w:rPr>
        <w:t>על אחד למסור את נפשו במקרה של גילוי עריות,</w:t>
      </w:r>
      <w:r w:rsidRPr="00FD0E04">
        <w:rPr>
          <w:rtl/>
        </w:rPr>
        <w:t xml:space="preserve"> הכוונה היא להצלת חיי</w:t>
      </w:r>
      <w:r>
        <w:rPr>
          <w:rFonts w:hint="cs"/>
          <w:rtl/>
        </w:rPr>
        <w:t>ם של בודדים</w:t>
      </w:r>
      <w:r w:rsidRPr="00FD0E04">
        <w:rPr>
          <w:rtl/>
        </w:rPr>
        <w:t>.</w:t>
      </w:r>
      <w:r>
        <w:rPr>
          <w:rFonts w:hint="cs"/>
          <w:rtl/>
        </w:rPr>
        <w:t xml:space="preserve"> </w:t>
      </w:r>
      <w:r w:rsidR="00533117">
        <w:rPr>
          <w:rFonts w:hint="cs"/>
          <w:rtl/>
        </w:rPr>
        <w:t xml:space="preserve">אך </w:t>
      </w:r>
      <w:r w:rsidRPr="00FD0E04">
        <w:rPr>
          <w:rtl/>
        </w:rPr>
        <w:t>כ</w:t>
      </w:r>
      <w:r w:rsidR="00533117">
        <w:rPr>
          <w:rFonts w:hint="cs"/>
          <w:rtl/>
        </w:rPr>
        <w:t xml:space="preserve">אשר </w:t>
      </w:r>
      <w:r w:rsidRPr="00FD0E04">
        <w:rPr>
          <w:rtl/>
        </w:rPr>
        <w:t>כל גוף העם היהודי בסכנה, מותר ל</w:t>
      </w:r>
      <w:r w:rsidR="0039785D">
        <w:rPr>
          <w:rFonts w:hint="cs"/>
          <w:rtl/>
        </w:rPr>
        <w:t>אדם ל</w:t>
      </w:r>
      <w:r w:rsidRPr="00FD0E04">
        <w:rPr>
          <w:rtl/>
        </w:rPr>
        <w:t>הפר את כל איסורי התורה.</w:t>
      </w:r>
      <w:r>
        <w:rPr>
          <w:rStyle w:val="a5"/>
          <w:rtl/>
        </w:rPr>
        <w:footnoteReference w:id="8"/>
      </w:r>
    </w:p>
    <w:p w14:paraId="7A33015F" w14:textId="4C64A838" w:rsidR="00EB427A" w:rsidRDefault="00EB427A" w:rsidP="00EB427A">
      <w:pPr>
        <w:rPr>
          <w:rtl/>
        </w:rPr>
      </w:pPr>
      <w:r>
        <w:rPr>
          <w:rFonts w:hint="cs"/>
          <w:rtl/>
        </w:rPr>
        <w:t xml:space="preserve">אם כן, </w:t>
      </w:r>
      <w:r w:rsidRPr="00FD0E04">
        <w:rPr>
          <w:rtl/>
        </w:rPr>
        <w:t>טוען הרב גורן</w:t>
      </w:r>
      <w:r>
        <w:rPr>
          <w:rFonts w:hint="cs"/>
          <w:rtl/>
        </w:rPr>
        <w:t xml:space="preserve">, שליחת </w:t>
      </w:r>
      <w:r w:rsidRPr="00FD0E04">
        <w:rPr>
          <w:rtl/>
        </w:rPr>
        <w:t>מרגל במדינות אויב</w:t>
      </w:r>
      <w:r>
        <w:rPr>
          <w:rFonts w:hint="cs"/>
          <w:rtl/>
        </w:rPr>
        <w:t xml:space="preserve">ות </w:t>
      </w:r>
      <w:r w:rsidRPr="00FD0E04">
        <w:rPr>
          <w:rtl/>
        </w:rPr>
        <w:t>נחשבת למעשה של פיקוח נפש עבור כל עם ישראל. לכן מותר ליהודי להפר את ההלכה גם אם מדובר ב</w:t>
      </w:r>
      <w:r>
        <w:rPr>
          <w:rFonts w:hint="cs"/>
          <w:rtl/>
        </w:rPr>
        <w:t xml:space="preserve">גילוי </w:t>
      </w:r>
      <w:r w:rsidRPr="00FD0E04">
        <w:rPr>
          <w:rtl/>
        </w:rPr>
        <w:t>עריות.</w:t>
      </w:r>
    </w:p>
    <w:p w14:paraId="4C9652C5" w14:textId="3DF23505" w:rsidR="00CB68D4" w:rsidRDefault="00CB68D4" w:rsidP="00EB427A">
      <w:pPr>
        <w:rPr>
          <w:rtl/>
        </w:rPr>
      </w:pPr>
    </w:p>
    <w:p w14:paraId="0FE8D869" w14:textId="77777777" w:rsidR="00CB68D4" w:rsidRDefault="00CB68D4" w:rsidP="00EB427A">
      <w:pPr>
        <w:rPr>
          <w:rtl/>
        </w:rPr>
      </w:pPr>
    </w:p>
    <w:p w14:paraId="11C8A22F" w14:textId="4F2F3681" w:rsidR="00C07EF2" w:rsidRDefault="00C07EF2" w:rsidP="00C07EF2">
      <w:pPr>
        <w:rPr>
          <w:rtl/>
        </w:rPr>
      </w:pPr>
    </w:p>
    <w:p w14:paraId="5902A48A" w14:textId="77777777" w:rsidR="004F356A" w:rsidRDefault="004F356A" w:rsidP="00C07EF2">
      <w:pPr>
        <w:rPr>
          <w:rtl/>
        </w:rPr>
      </w:pPr>
    </w:p>
    <w:p w14:paraId="556F1634" w14:textId="77777777" w:rsidR="004F356A" w:rsidRDefault="004F356A" w:rsidP="00C07EF2">
      <w:pPr>
        <w:rPr>
          <w:rtl/>
        </w:rPr>
      </w:pPr>
    </w:p>
    <w:p w14:paraId="34782EDB" w14:textId="77777777" w:rsidR="00C07EF2" w:rsidRPr="00CB4529" w:rsidRDefault="00C07EF2" w:rsidP="00C07EF2"/>
    <w:bookmarkEnd w:id="0"/>
    <w:p w14:paraId="01AA5470"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0066FE39" w14:textId="77777777" w:rsidTr="002C3C5F">
        <w:trPr>
          <w:cantSplit/>
        </w:trPr>
        <w:tc>
          <w:tcPr>
            <w:tcW w:w="283" w:type="dxa"/>
            <w:tcBorders>
              <w:top w:val="nil"/>
              <w:left w:val="nil"/>
              <w:bottom w:val="nil"/>
              <w:right w:val="nil"/>
            </w:tcBorders>
          </w:tcPr>
          <w:p w14:paraId="7E760E19" w14:textId="77777777" w:rsidR="002C3C5F" w:rsidRDefault="002C3C5F" w:rsidP="002C3C5F">
            <w:pPr>
              <w:pStyle w:val="ab"/>
              <w:contextualSpacing/>
            </w:pPr>
            <w:r>
              <w:rPr>
                <w:rtl/>
              </w:rPr>
              <w:t>*</w:t>
            </w:r>
          </w:p>
        </w:tc>
        <w:tc>
          <w:tcPr>
            <w:tcW w:w="4111" w:type="dxa"/>
            <w:tcBorders>
              <w:top w:val="nil"/>
              <w:left w:val="nil"/>
              <w:bottom w:val="nil"/>
              <w:right w:val="nil"/>
            </w:tcBorders>
          </w:tcPr>
          <w:p w14:paraId="1207C4E1" w14:textId="77777777" w:rsidR="002C3C5F" w:rsidRDefault="002C3C5F" w:rsidP="002C3C5F">
            <w:pPr>
              <w:pStyle w:val="ab"/>
              <w:contextualSpacing/>
            </w:pPr>
            <w:r>
              <w:rPr>
                <w:rtl/>
              </w:rPr>
              <w:t>**********************************************************</w:t>
            </w:r>
          </w:p>
        </w:tc>
        <w:tc>
          <w:tcPr>
            <w:tcW w:w="284" w:type="dxa"/>
            <w:tcBorders>
              <w:top w:val="nil"/>
              <w:left w:val="nil"/>
              <w:bottom w:val="nil"/>
              <w:right w:val="nil"/>
            </w:tcBorders>
          </w:tcPr>
          <w:p w14:paraId="4F18AB0D" w14:textId="77777777" w:rsidR="002C3C5F" w:rsidRDefault="002C3C5F" w:rsidP="002C3C5F">
            <w:pPr>
              <w:pStyle w:val="ab"/>
              <w:contextualSpacing/>
            </w:pPr>
            <w:r>
              <w:rPr>
                <w:rtl/>
              </w:rPr>
              <w:t>*</w:t>
            </w:r>
          </w:p>
        </w:tc>
      </w:tr>
      <w:tr w:rsidR="002C3C5F" w14:paraId="094F3F67" w14:textId="77777777" w:rsidTr="002C3C5F">
        <w:trPr>
          <w:cantSplit/>
        </w:trPr>
        <w:tc>
          <w:tcPr>
            <w:tcW w:w="283" w:type="dxa"/>
            <w:tcBorders>
              <w:top w:val="nil"/>
              <w:left w:val="nil"/>
              <w:bottom w:val="nil"/>
              <w:right w:val="nil"/>
            </w:tcBorders>
          </w:tcPr>
          <w:p w14:paraId="0A3384C9"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7579CFB6" w14:textId="4AA538E4" w:rsidR="002C3C5F" w:rsidRDefault="002C3C5F" w:rsidP="002C3C5F">
            <w:pPr>
              <w:pStyle w:val="ab"/>
              <w:contextualSpacing/>
              <w:rPr>
                <w:rtl/>
              </w:rPr>
            </w:pPr>
            <w:r>
              <w:rPr>
                <w:rtl/>
              </w:rPr>
              <w:t>כל הזכויות שמורות לישיבת הר עציון</w:t>
            </w:r>
            <w:r>
              <w:rPr>
                <w:rFonts w:hint="cs"/>
                <w:rtl/>
              </w:rPr>
              <w:t xml:space="preserve"> ו</w:t>
            </w:r>
            <w:r w:rsidR="00EB427A">
              <w:rPr>
                <w:rFonts w:hint="cs"/>
                <w:rtl/>
              </w:rPr>
              <w:t>ל</w:t>
            </w:r>
            <w:r w:rsidR="007B6B92">
              <w:rPr>
                <w:rFonts w:hint="cs"/>
                <w:rtl/>
              </w:rPr>
              <w:t>רב אביעד תבורי</w:t>
            </w:r>
          </w:p>
          <w:p w14:paraId="5D226647" w14:textId="77777777" w:rsidR="007B6B92" w:rsidRDefault="007B6B92" w:rsidP="002C3C5F">
            <w:pPr>
              <w:pStyle w:val="ab"/>
              <w:contextualSpacing/>
              <w:rPr>
                <w:rtl/>
              </w:rPr>
            </w:pPr>
            <w:r>
              <w:rPr>
                <w:rFonts w:hint="cs"/>
                <w:rtl/>
              </w:rPr>
              <w:t>תרגום: אילן בוכריס</w:t>
            </w:r>
          </w:p>
          <w:p w14:paraId="0BBA9560" w14:textId="571FB88C"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p>
          <w:p w14:paraId="100146B7" w14:textId="77777777" w:rsidR="002C3C5F" w:rsidRDefault="002C3C5F" w:rsidP="002C3C5F">
            <w:pPr>
              <w:pStyle w:val="ab"/>
              <w:contextualSpacing/>
              <w:rPr>
                <w:rtl/>
              </w:rPr>
            </w:pPr>
            <w:r>
              <w:rPr>
                <w:rtl/>
              </w:rPr>
              <w:t>*******************************************************</w:t>
            </w:r>
          </w:p>
          <w:p w14:paraId="1C028EDC" w14:textId="77777777" w:rsidR="002C3C5F" w:rsidRDefault="002C3C5F" w:rsidP="002C3C5F">
            <w:pPr>
              <w:pStyle w:val="ab"/>
              <w:contextualSpacing/>
              <w:rPr>
                <w:rtl/>
              </w:rPr>
            </w:pPr>
            <w:r>
              <w:rPr>
                <w:rtl/>
              </w:rPr>
              <w:t xml:space="preserve">בית המדרש הוירטואלי </w:t>
            </w:r>
          </w:p>
          <w:p w14:paraId="292F4020" w14:textId="77777777" w:rsidR="002C3C5F" w:rsidRPr="005734F1" w:rsidRDefault="002C3C5F" w:rsidP="002C3C5F">
            <w:pPr>
              <w:pStyle w:val="ab"/>
              <w:contextualSpacing/>
              <w:rPr>
                <w:rtl/>
              </w:rPr>
            </w:pPr>
            <w:r w:rsidRPr="005734F1">
              <w:rPr>
                <w:rtl/>
              </w:rPr>
              <w:t xml:space="preserve">מיסודו של </w:t>
            </w:r>
          </w:p>
          <w:p w14:paraId="14BBD9EE" w14:textId="77777777" w:rsidR="002C3C5F" w:rsidRPr="005734F1" w:rsidRDefault="002C3C5F" w:rsidP="002C3C5F">
            <w:pPr>
              <w:pStyle w:val="ab"/>
              <w:contextualSpacing/>
              <w:rPr>
                <w:rtl/>
              </w:rPr>
            </w:pPr>
            <w:r w:rsidRPr="005734F1">
              <w:t>The Israel Koschitzky Virtual Beit Midrash</w:t>
            </w:r>
          </w:p>
          <w:p w14:paraId="05A42BD3"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0631DF26"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24A6FB3" w14:textId="77777777" w:rsidR="002C3C5F" w:rsidRDefault="002C3C5F" w:rsidP="002C3C5F">
            <w:pPr>
              <w:pStyle w:val="ab"/>
              <w:contextualSpacing/>
              <w:rPr>
                <w:rtl/>
              </w:rPr>
            </w:pPr>
          </w:p>
          <w:p w14:paraId="3CABF706" w14:textId="77777777" w:rsidR="002C3C5F" w:rsidRDefault="002C3C5F" w:rsidP="002C3C5F">
            <w:pPr>
              <w:pStyle w:val="ab"/>
              <w:contextualSpacing/>
              <w:rPr>
                <w:rtl/>
              </w:rPr>
            </w:pPr>
            <w:r>
              <w:rPr>
                <w:rtl/>
              </w:rPr>
              <w:t xml:space="preserve">משרדי בית המדרש הוירטואלי: 02-9937300 שלוחה 5 </w:t>
            </w:r>
          </w:p>
          <w:p w14:paraId="2C308895"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CF48914" w14:textId="77777777" w:rsidR="002C3C5F" w:rsidRDefault="002C3C5F" w:rsidP="002C3C5F">
            <w:pPr>
              <w:pStyle w:val="ab"/>
              <w:contextualSpacing/>
            </w:pPr>
          </w:p>
        </w:tc>
        <w:tc>
          <w:tcPr>
            <w:tcW w:w="284" w:type="dxa"/>
            <w:tcBorders>
              <w:top w:val="nil"/>
              <w:left w:val="nil"/>
              <w:bottom w:val="nil"/>
              <w:right w:val="nil"/>
            </w:tcBorders>
          </w:tcPr>
          <w:p w14:paraId="2C3BB303" w14:textId="77777777" w:rsidR="002C3C5F" w:rsidRDefault="002C3C5F" w:rsidP="002C3C5F">
            <w:pPr>
              <w:pStyle w:val="ab"/>
              <w:contextualSpacing/>
              <w:rPr>
                <w:rtl/>
              </w:rPr>
            </w:pPr>
            <w:r>
              <w:rPr>
                <w:rtl/>
              </w:rPr>
              <w:t xml:space="preserve">* * * * * * * </w:t>
            </w:r>
          </w:p>
        </w:tc>
      </w:tr>
    </w:tbl>
    <w:p w14:paraId="40400692"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1B808" w14:textId="77777777" w:rsidR="00DA51F9" w:rsidRDefault="00DA51F9" w:rsidP="00405665">
      <w:r>
        <w:separator/>
      </w:r>
    </w:p>
  </w:endnote>
  <w:endnote w:type="continuationSeparator" w:id="0">
    <w:p w14:paraId="696E90E1" w14:textId="77777777" w:rsidR="00DA51F9" w:rsidRDefault="00DA51F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03614" w14:textId="77777777" w:rsidR="00DA51F9" w:rsidRDefault="00DA51F9" w:rsidP="00405665">
      <w:r>
        <w:separator/>
      </w:r>
    </w:p>
  </w:footnote>
  <w:footnote w:type="continuationSeparator" w:id="0">
    <w:p w14:paraId="52DCF522" w14:textId="77777777" w:rsidR="00DA51F9" w:rsidRDefault="00DA51F9" w:rsidP="00405665">
      <w:r>
        <w:continuationSeparator/>
      </w:r>
    </w:p>
  </w:footnote>
  <w:footnote w:id="1">
    <w:p w14:paraId="3A1996FB" w14:textId="77777777" w:rsidR="00EB427A" w:rsidRDefault="00EB427A" w:rsidP="00EB427A">
      <w:pPr>
        <w:pStyle w:val="a3"/>
      </w:pPr>
      <w:r>
        <w:rPr>
          <w:rStyle w:val="a5"/>
          <w:rFonts w:eastAsia="Narkisim"/>
        </w:rPr>
        <w:footnoteRef/>
      </w:r>
      <w:r>
        <w:rPr>
          <w:rtl/>
        </w:rPr>
        <w:t xml:space="preserve"> </w:t>
      </w:r>
      <w:r w:rsidRPr="003C0AB9">
        <w:rPr>
          <w:rtl/>
        </w:rPr>
        <w:t xml:space="preserve">ישעיהו בן-פורת </w:t>
      </w:r>
      <w:r>
        <w:rPr>
          <w:rFonts w:hint="cs"/>
          <w:rtl/>
        </w:rPr>
        <w:t>ו</w:t>
      </w:r>
      <w:r w:rsidRPr="003C0AB9">
        <w:rPr>
          <w:rtl/>
        </w:rPr>
        <w:t xml:space="preserve">אורי דן, המרגל שבא מישראל-פרשת אלי כהן, </w:t>
      </w:r>
      <w:r>
        <w:rPr>
          <w:rFonts w:hint="cs"/>
          <w:rtl/>
        </w:rPr>
        <w:t>(</w:t>
      </w:r>
      <w:r w:rsidRPr="003C0AB9">
        <w:rPr>
          <w:rtl/>
        </w:rPr>
        <w:t>הוצאת מסדה, 1968</w:t>
      </w:r>
      <w:r>
        <w:rPr>
          <w:rFonts w:hint="cs"/>
          <w:rtl/>
        </w:rPr>
        <w:t>) עמוד 48.</w:t>
      </w:r>
    </w:p>
  </w:footnote>
  <w:footnote w:id="2">
    <w:p w14:paraId="50771696" w14:textId="77777777" w:rsidR="002F76D1" w:rsidRDefault="002F76D1" w:rsidP="002F76D1">
      <w:pPr>
        <w:pStyle w:val="a3"/>
      </w:pPr>
      <w:r>
        <w:rPr>
          <w:rStyle w:val="a5"/>
          <w:rFonts w:eastAsia="Narkisim"/>
        </w:rPr>
        <w:footnoteRef/>
      </w:r>
      <w:r>
        <w:rPr>
          <w:rtl/>
        </w:rPr>
        <w:t xml:space="preserve"> </w:t>
      </w:r>
      <w:r>
        <w:rPr>
          <w:rFonts w:hint="cs"/>
          <w:rtl/>
        </w:rPr>
        <w:t xml:space="preserve">משנת המדינה, עמודים 140-144. </w:t>
      </w:r>
    </w:p>
  </w:footnote>
  <w:footnote w:id="3">
    <w:p w14:paraId="70307344" w14:textId="721E09C2" w:rsidR="00981954" w:rsidRDefault="00981954">
      <w:pPr>
        <w:pStyle w:val="a3"/>
        <w:rPr>
          <w:rtl/>
        </w:rPr>
      </w:pPr>
      <w:r>
        <w:rPr>
          <w:rStyle w:val="a5"/>
          <w:rFonts w:eastAsia="Narkisim"/>
        </w:rPr>
        <w:footnoteRef/>
      </w:r>
      <w:r>
        <w:rPr>
          <w:rtl/>
        </w:rPr>
        <w:t xml:space="preserve"> </w:t>
      </w:r>
      <w:r w:rsidRPr="00981954">
        <w:rPr>
          <w:rtl/>
        </w:rPr>
        <w:t>מתוך: אגרת השמד לרמב"ם (מאמר קידוש השם)</w:t>
      </w:r>
      <w:r>
        <w:rPr>
          <w:rFonts w:hint="cs"/>
          <w:rtl/>
        </w:rPr>
        <w:t>.</w:t>
      </w:r>
    </w:p>
  </w:footnote>
  <w:footnote w:id="4">
    <w:p w14:paraId="55F3011D" w14:textId="77777777" w:rsidR="00EB427A" w:rsidRDefault="00EB427A" w:rsidP="00EB427A">
      <w:pPr>
        <w:pStyle w:val="a3"/>
        <w:rPr>
          <w:rtl/>
        </w:rPr>
      </w:pPr>
      <w:r>
        <w:rPr>
          <w:rStyle w:val="a5"/>
          <w:rFonts w:eastAsia="Narkisim"/>
        </w:rPr>
        <w:footnoteRef/>
      </w:r>
      <w:r>
        <w:rPr>
          <w:rtl/>
        </w:rPr>
        <w:t xml:space="preserve"> </w:t>
      </w:r>
      <w:r>
        <w:rPr>
          <w:rFonts w:hint="cs"/>
          <w:rtl/>
        </w:rPr>
        <w:t xml:space="preserve">ראו מאמרו של </w:t>
      </w:r>
      <w:r w:rsidRPr="00F4585E">
        <w:t>Marc Shapiro</w:t>
      </w:r>
      <w:r>
        <w:rPr>
          <w:rFonts w:hint="cs"/>
          <w:rtl/>
        </w:rPr>
        <w:t>, "</w:t>
      </w:r>
      <w:r w:rsidRPr="00F4585E">
        <w:t>Islam and the Halakha</w:t>
      </w:r>
      <w:r>
        <w:rPr>
          <w:rFonts w:hint="cs"/>
          <w:rtl/>
        </w:rPr>
        <w:t xml:space="preserve">" בתוך: </w:t>
      </w:r>
      <w:r w:rsidRPr="00F4585E">
        <w:t>Judaism (Summer 1993)</w:t>
      </w:r>
      <w:r>
        <w:rPr>
          <w:rFonts w:hint="cs"/>
          <w:rtl/>
        </w:rPr>
        <w:t xml:space="preserve">. </w:t>
      </w:r>
    </w:p>
  </w:footnote>
  <w:footnote w:id="5">
    <w:p w14:paraId="667E9777" w14:textId="77777777" w:rsidR="00EB427A" w:rsidRDefault="00EB427A" w:rsidP="00EB427A">
      <w:pPr>
        <w:pStyle w:val="a3"/>
      </w:pPr>
      <w:r>
        <w:rPr>
          <w:rStyle w:val="a5"/>
          <w:rFonts w:eastAsia="Narkisim"/>
        </w:rPr>
        <w:footnoteRef/>
      </w:r>
      <w:r>
        <w:rPr>
          <w:rtl/>
        </w:rPr>
        <w:t xml:space="preserve"> </w:t>
      </w:r>
      <w:r w:rsidRPr="00F4585E">
        <w:rPr>
          <w:rtl/>
        </w:rPr>
        <w:t>שו"ת רדב"ז חלק ד סימן צב</w:t>
      </w:r>
      <w:r>
        <w:rPr>
          <w:rFonts w:hint="cs"/>
          <w:rtl/>
        </w:rPr>
        <w:t xml:space="preserve">; וכן חלק ה סימן מ. </w:t>
      </w:r>
    </w:p>
  </w:footnote>
  <w:footnote w:id="6">
    <w:p w14:paraId="21859995" w14:textId="18A22907" w:rsidR="00EB427A" w:rsidRDefault="00EB427A" w:rsidP="00EB427A">
      <w:pPr>
        <w:pStyle w:val="a3"/>
      </w:pPr>
      <w:r>
        <w:rPr>
          <w:rStyle w:val="a5"/>
          <w:rFonts w:eastAsia="Narkisim"/>
        </w:rPr>
        <w:footnoteRef/>
      </w:r>
      <w:r>
        <w:rPr>
          <w:rtl/>
        </w:rPr>
        <w:t xml:space="preserve"> </w:t>
      </w:r>
      <w:r>
        <w:rPr>
          <w:rFonts w:hint="cs"/>
          <w:rtl/>
        </w:rPr>
        <w:t>לדיון ארוך בנושא זה, עיינו במאמרו של הרב ארי שבט, "</w:t>
      </w:r>
      <w:r w:rsidRPr="008569F1">
        <w:rPr>
          <w:rtl/>
        </w:rPr>
        <w:t>גילוי עריות למען בטחון המדינה</w:t>
      </w:r>
      <w:r>
        <w:rPr>
          <w:rFonts w:hint="cs"/>
          <w:rtl/>
        </w:rPr>
        <w:t>", בתוך</w:t>
      </w:r>
      <w:r w:rsidR="00D94878">
        <w:rPr>
          <w:rFonts w:hint="cs"/>
          <w:rtl/>
        </w:rPr>
        <w:t>:</w:t>
      </w:r>
      <w:r>
        <w:rPr>
          <w:rFonts w:hint="cs"/>
          <w:rtl/>
        </w:rPr>
        <w:t xml:space="preserve"> תחומין כרך ל' עמודים 68-81.</w:t>
      </w:r>
    </w:p>
  </w:footnote>
  <w:footnote w:id="7">
    <w:p w14:paraId="1D61AB71" w14:textId="1DF91722" w:rsidR="00EB427A" w:rsidRDefault="00EB427A" w:rsidP="00EB427A">
      <w:pPr>
        <w:pStyle w:val="a3"/>
      </w:pPr>
      <w:r>
        <w:rPr>
          <w:rStyle w:val="a5"/>
          <w:rFonts w:eastAsia="Narkisim"/>
        </w:rPr>
        <w:footnoteRef/>
      </w:r>
      <w:r>
        <w:rPr>
          <w:rtl/>
        </w:rPr>
        <w:t xml:space="preserve"> </w:t>
      </w:r>
      <w:r w:rsidR="00075737">
        <w:rPr>
          <w:rFonts w:hint="cs"/>
          <w:rtl/>
        </w:rPr>
        <w:t xml:space="preserve">ראו: </w:t>
      </w:r>
      <w:r>
        <w:rPr>
          <w:rFonts w:hint="cs"/>
          <w:rtl/>
        </w:rPr>
        <w:t xml:space="preserve">תוספות כתובות ג ע"ב, ד"ה </w:t>
      </w:r>
      <w:r w:rsidRPr="00B02293">
        <w:rPr>
          <w:rtl/>
        </w:rPr>
        <w:t>ולדרוש</w:t>
      </w:r>
      <w:r>
        <w:rPr>
          <w:rFonts w:hint="cs"/>
          <w:rtl/>
        </w:rPr>
        <w:t xml:space="preserve">. </w:t>
      </w:r>
    </w:p>
  </w:footnote>
  <w:footnote w:id="8">
    <w:p w14:paraId="6C4E194D" w14:textId="77777777" w:rsidR="00EB427A" w:rsidRDefault="00EB427A" w:rsidP="00EB427A">
      <w:pPr>
        <w:pStyle w:val="a3"/>
      </w:pPr>
      <w:r>
        <w:rPr>
          <w:rStyle w:val="a5"/>
          <w:rFonts w:eastAsia="Narkisim"/>
        </w:rPr>
        <w:footnoteRef/>
      </w:r>
      <w:r>
        <w:rPr>
          <w:rtl/>
        </w:rPr>
        <w:t xml:space="preserve"> </w:t>
      </w:r>
      <w:r>
        <w:rPr>
          <w:rFonts w:hint="cs"/>
          <w:rtl/>
        </w:rPr>
        <w:t>רעיון זה גם כן מופיע אצל הרב מנחם המאירי. ראו את פירושו לסנהדרין עד ע"ב.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FCE4"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0098F">
      <w:rPr>
        <w:noProof/>
        <w:rtl/>
      </w:rPr>
      <w:t>3</w:t>
    </w:r>
    <w:r>
      <w:rPr>
        <w:rtl/>
      </w:rPr>
      <w:fldChar w:fldCharType="end"/>
    </w:r>
    <w:r>
      <w:rPr>
        <w:rtl/>
      </w:rPr>
      <w:t xml:space="preserve"> -</w:t>
    </w:r>
  </w:p>
  <w:p w14:paraId="6FB09BAE"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434E32C3" w14:textId="77777777" w:rsidTr="00FA1793">
      <w:tc>
        <w:tcPr>
          <w:tcW w:w="6506" w:type="dxa"/>
          <w:tcBorders>
            <w:bottom w:val="double" w:sz="4" w:space="0" w:color="auto"/>
          </w:tcBorders>
        </w:tcPr>
        <w:p w14:paraId="7B483022"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1B6B949F" w14:textId="77777777" w:rsidR="002B0904" w:rsidRPr="006216C9" w:rsidRDefault="007777C2"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09314C71" w14:textId="77777777" w:rsidR="002B0904" w:rsidRPr="006216C9" w:rsidRDefault="002B0904" w:rsidP="006216C9">
          <w:pPr>
            <w:bidi w:val="0"/>
            <w:spacing w:after="0"/>
            <w:rPr>
              <w:sz w:val="22"/>
              <w:szCs w:val="22"/>
            </w:rPr>
          </w:pPr>
          <w:r w:rsidRPr="006216C9">
            <w:rPr>
              <w:sz w:val="22"/>
              <w:szCs w:val="22"/>
            </w:rPr>
            <w:t>etzion.org.il</w:t>
          </w:r>
        </w:p>
      </w:tc>
    </w:tr>
  </w:tbl>
  <w:p w14:paraId="29FE4705"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7A"/>
    <w:rsid w:val="0000098F"/>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B2D"/>
    <w:rsid w:val="00043F83"/>
    <w:rsid w:val="00056413"/>
    <w:rsid w:val="00057741"/>
    <w:rsid w:val="00062796"/>
    <w:rsid w:val="00062C83"/>
    <w:rsid w:val="0006305C"/>
    <w:rsid w:val="0006682D"/>
    <w:rsid w:val="00066C50"/>
    <w:rsid w:val="00072052"/>
    <w:rsid w:val="000720B2"/>
    <w:rsid w:val="00074142"/>
    <w:rsid w:val="00075737"/>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64C7"/>
    <w:rsid w:val="000A70A9"/>
    <w:rsid w:val="000A7A3E"/>
    <w:rsid w:val="000B0B06"/>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174D"/>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231"/>
    <w:rsid w:val="00122E5A"/>
    <w:rsid w:val="001240AA"/>
    <w:rsid w:val="00125BFF"/>
    <w:rsid w:val="00126DB2"/>
    <w:rsid w:val="00127AB3"/>
    <w:rsid w:val="00130089"/>
    <w:rsid w:val="00130F07"/>
    <w:rsid w:val="00132923"/>
    <w:rsid w:val="00135BCE"/>
    <w:rsid w:val="001372F8"/>
    <w:rsid w:val="00140172"/>
    <w:rsid w:val="00141C9A"/>
    <w:rsid w:val="00143985"/>
    <w:rsid w:val="00144C37"/>
    <w:rsid w:val="00146C1D"/>
    <w:rsid w:val="00147F05"/>
    <w:rsid w:val="00151635"/>
    <w:rsid w:val="001545A9"/>
    <w:rsid w:val="001571DB"/>
    <w:rsid w:val="00160BB3"/>
    <w:rsid w:val="0016153A"/>
    <w:rsid w:val="001615CD"/>
    <w:rsid w:val="00163EE5"/>
    <w:rsid w:val="00164CE6"/>
    <w:rsid w:val="00165923"/>
    <w:rsid w:val="00171247"/>
    <w:rsid w:val="00175D42"/>
    <w:rsid w:val="001771DB"/>
    <w:rsid w:val="001820F1"/>
    <w:rsid w:val="001852B1"/>
    <w:rsid w:val="0018760C"/>
    <w:rsid w:val="0018776A"/>
    <w:rsid w:val="00190FEA"/>
    <w:rsid w:val="001935D9"/>
    <w:rsid w:val="001A160E"/>
    <w:rsid w:val="001A2703"/>
    <w:rsid w:val="001A4B13"/>
    <w:rsid w:val="001A5C79"/>
    <w:rsid w:val="001A6573"/>
    <w:rsid w:val="001B0107"/>
    <w:rsid w:val="001B7F24"/>
    <w:rsid w:val="001C1CAA"/>
    <w:rsid w:val="001C4940"/>
    <w:rsid w:val="001C4B5E"/>
    <w:rsid w:val="001C4E63"/>
    <w:rsid w:val="001C6C39"/>
    <w:rsid w:val="001E11C3"/>
    <w:rsid w:val="001E1D48"/>
    <w:rsid w:val="001E3883"/>
    <w:rsid w:val="001E5152"/>
    <w:rsid w:val="001F7DD3"/>
    <w:rsid w:val="00203453"/>
    <w:rsid w:val="002115E2"/>
    <w:rsid w:val="00211DA7"/>
    <w:rsid w:val="00212A5E"/>
    <w:rsid w:val="00213345"/>
    <w:rsid w:val="002142D4"/>
    <w:rsid w:val="00214428"/>
    <w:rsid w:val="00216AF7"/>
    <w:rsid w:val="0022042F"/>
    <w:rsid w:val="00220D4A"/>
    <w:rsid w:val="0022223D"/>
    <w:rsid w:val="00222E16"/>
    <w:rsid w:val="00223CEC"/>
    <w:rsid w:val="002314D2"/>
    <w:rsid w:val="002323FF"/>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C605B"/>
    <w:rsid w:val="002D22C4"/>
    <w:rsid w:val="002D4B33"/>
    <w:rsid w:val="002E0589"/>
    <w:rsid w:val="002E098C"/>
    <w:rsid w:val="002E0D3F"/>
    <w:rsid w:val="002E2489"/>
    <w:rsid w:val="002E417E"/>
    <w:rsid w:val="002E602A"/>
    <w:rsid w:val="002E644E"/>
    <w:rsid w:val="002E65D7"/>
    <w:rsid w:val="002F2680"/>
    <w:rsid w:val="002F76D1"/>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D90"/>
    <w:rsid w:val="00332A56"/>
    <w:rsid w:val="003349E8"/>
    <w:rsid w:val="003403F3"/>
    <w:rsid w:val="0034040A"/>
    <w:rsid w:val="00340D7F"/>
    <w:rsid w:val="0034157B"/>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1004"/>
    <w:rsid w:val="00393D29"/>
    <w:rsid w:val="0039677C"/>
    <w:rsid w:val="0039785D"/>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B3"/>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3D73"/>
    <w:rsid w:val="0047435C"/>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6A"/>
    <w:rsid w:val="004F3587"/>
    <w:rsid w:val="004F5AC8"/>
    <w:rsid w:val="004F7707"/>
    <w:rsid w:val="0050074F"/>
    <w:rsid w:val="00504931"/>
    <w:rsid w:val="00506D17"/>
    <w:rsid w:val="005141A4"/>
    <w:rsid w:val="00514939"/>
    <w:rsid w:val="005160F8"/>
    <w:rsid w:val="00521C86"/>
    <w:rsid w:val="005221B7"/>
    <w:rsid w:val="00526F83"/>
    <w:rsid w:val="00527203"/>
    <w:rsid w:val="00533117"/>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76A6"/>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1A50"/>
    <w:rsid w:val="005E33F6"/>
    <w:rsid w:val="005E50E0"/>
    <w:rsid w:val="005E604F"/>
    <w:rsid w:val="005E65BE"/>
    <w:rsid w:val="005F4985"/>
    <w:rsid w:val="005F7954"/>
    <w:rsid w:val="00601C2B"/>
    <w:rsid w:val="00603920"/>
    <w:rsid w:val="00604592"/>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3C3"/>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3B1"/>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A693B"/>
    <w:rsid w:val="006B09D1"/>
    <w:rsid w:val="006B1A58"/>
    <w:rsid w:val="006B48C3"/>
    <w:rsid w:val="006B4964"/>
    <w:rsid w:val="006B4E71"/>
    <w:rsid w:val="006B57AF"/>
    <w:rsid w:val="006B57DE"/>
    <w:rsid w:val="006B648A"/>
    <w:rsid w:val="006C157A"/>
    <w:rsid w:val="006C1C74"/>
    <w:rsid w:val="006C330B"/>
    <w:rsid w:val="006D1E42"/>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458F9"/>
    <w:rsid w:val="0075146A"/>
    <w:rsid w:val="00754383"/>
    <w:rsid w:val="00755D64"/>
    <w:rsid w:val="00760C49"/>
    <w:rsid w:val="007633BC"/>
    <w:rsid w:val="00772EFB"/>
    <w:rsid w:val="007738DC"/>
    <w:rsid w:val="00773907"/>
    <w:rsid w:val="007763BC"/>
    <w:rsid w:val="007769B1"/>
    <w:rsid w:val="007777C2"/>
    <w:rsid w:val="0077787E"/>
    <w:rsid w:val="00781669"/>
    <w:rsid w:val="00782136"/>
    <w:rsid w:val="00785703"/>
    <w:rsid w:val="00790711"/>
    <w:rsid w:val="007908FE"/>
    <w:rsid w:val="0079116D"/>
    <w:rsid w:val="007915D4"/>
    <w:rsid w:val="00795DA8"/>
    <w:rsid w:val="007962FF"/>
    <w:rsid w:val="007970DA"/>
    <w:rsid w:val="007A041D"/>
    <w:rsid w:val="007A3B6C"/>
    <w:rsid w:val="007A3EDF"/>
    <w:rsid w:val="007A5439"/>
    <w:rsid w:val="007A6717"/>
    <w:rsid w:val="007A71B0"/>
    <w:rsid w:val="007B0635"/>
    <w:rsid w:val="007B06D3"/>
    <w:rsid w:val="007B118B"/>
    <w:rsid w:val="007B2890"/>
    <w:rsid w:val="007B2CFF"/>
    <w:rsid w:val="007B5D21"/>
    <w:rsid w:val="007B655F"/>
    <w:rsid w:val="007B6B92"/>
    <w:rsid w:val="007C04B3"/>
    <w:rsid w:val="007C0DC9"/>
    <w:rsid w:val="007C2346"/>
    <w:rsid w:val="007C44C2"/>
    <w:rsid w:val="007C4D4F"/>
    <w:rsid w:val="007C4F8F"/>
    <w:rsid w:val="007C776B"/>
    <w:rsid w:val="007C7C70"/>
    <w:rsid w:val="007D29CA"/>
    <w:rsid w:val="007D5680"/>
    <w:rsid w:val="007D65E1"/>
    <w:rsid w:val="007D678A"/>
    <w:rsid w:val="007E66A4"/>
    <w:rsid w:val="007E73F1"/>
    <w:rsid w:val="007E7BBB"/>
    <w:rsid w:val="007E7DC2"/>
    <w:rsid w:val="007F0B79"/>
    <w:rsid w:val="007F2116"/>
    <w:rsid w:val="007F2FEF"/>
    <w:rsid w:val="007F35DF"/>
    <w:rsid w:val="007F551E"/>
    <w:rsid w:val="007F719A"/>
    <w:rsid w:val="007F769C"/>
    <w:rsid w:val="007F7FD4"/>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0E6"/>
    <w:rsid w:val="008D390A"/>
    <w:rsid w:val="008E2279"/>
    <w:rsid w:val="008E2357"/>
    <w:rsid w:val="008E5674"/>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3530"/>
    <w:rsid w:val="0095654A"/>
    <w:rsid w:val="009565EF"/>
    <w:rsid w:val="009608C5"/>
    <w:rsid w:val="00960A84"/>
    <w:rsid w:val="009611B3"/>
    <w:rsid w:val="0096284E"/>
    <w:rsid w:val="009652AE"/>
    <w:rsid w:val="00966669"/>
    <w:rsid w:val="00967C40"/>
    <w:rsid w:val="00971023"/>
    <w:rsid w:val="0097343D"/>
    <w:rsid w:val="009737F2"/>
    <w:rsid w:val="009757AF"/>
    <w:rsid w:val="009769CF"/>
    <w:rsid w:val="009771E3"/>
    <w:rsid w:val="00981954"/>
    <w:rsid w:val="00983867"/>
    <w:rsid w:val="009850FB"/>
    <w:rsid w:val="0098577E"/>
    <w:rsid w:val="0099229A"/>
    <w:rsid w:val="009929C4"/>
    <w:rsid w:val="009978F6"/>
    <w:rsid w:val="009A0FB2"/>
    <w:rsid w:val="009A1BFD"/>
    <w:rsid w:val="009A3A51"/>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E4663"/>
    <w:rsid w:val="009F2C29"/>
    <w:rsid w:val="009F4718"/>
    <w:rsid w:val="009F61BF"/>
    <w:rsid w:val="009F725D"/>
    <w:rsid w:val="009F72FE"/>
    <w:rsid w:val="00A03F28"/>
    <w:rsid w:val="00A0465C"/>
    <w:rsid w:val="00A04FE1"/>
    <w:rsid w:val="00A058B1"/>
    <w:rsid w:val="00A11992"/>
    <w:rsid w:val="00A11C2D"/>
    <w:rsid w:val="00A12614"/>
    <w:rsid w:val="00A14B38"/>
    <w:rsid w:val="00A16D35"/>
    <w:rsid w:val="00A16E40"/>
    <w:rsid w:val="00A170F8"/>
    <w:rsid w:val="00A179B2"/>
    <w:rsid w:val="00A17DAF"/>
    <w:rsid w:val="00A23EDD"/>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1123"/>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375F"/>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1081"/>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07EF2"/>
    <w:rsid w:val="00C1023C"/>
    <w:rsid w:val="00C11014"/>
    <w:rsid w:val="00C12029"/>
    <w:rsid w:val="00C20987"/>
    <w:rsid w:val="00C26085"/>
    <w:rsid w:val="00C320DF"/>
    <w:rsid w:val="00C32335"/>
    <w:rsid w:val="00C333CC"/>
    <w:rsid w:val="00C354A3"/>
    <w:rsid w:val="00C36DAD"/>
    <w:rsid w:val="00C45BB4"/>
    <w:rsid w:val="00C46169"/>
    <w:rsid w:val="00C47E6E"/>
    <w:rsid w:val="00C52156"/>
    <w:rsid w:val="00C5501D"/>
    <w:rsid w:val="00C55677"/>
    <w:rsid w:val="00C5614D"/>
    <w:rsid w:val="00C568B6"/>
    <w:rsid w:val="00C571D9"/>
    <w:rsid w:val="00C5754A"/>
    <w:rsid w:val="00C6058B"/>
    <w:rsid w:val="00C610A7"/>
    <w:rsid w:val="00C61D4C"/>
    <w:rsid w:val="00C61DE6"/>
    <w:rsid w:val="00C63A34"/>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61"/>
    <w:rsid w:val="00CA437A"/>
    <w:rsid w:val="00CB1E2B"/>
    <w:rsid w:val="00CB2FAC"/>
    <w:rsid w:val="00CB4529"/>
    <w:rsid w:val="00CB57A1"/>
    <w:rsid w:val="00CB68D4"/>
    <w:rsid w:val="00CC0FCC"/>
    <w:rsid w:val="00CC15D8"/>
    <w:rsid w:val="00CC369D"/>
    <w:rsid w:val="00CC46FB"/>
    <w:rsid w:val="00CC5DA5"/>
    <w:rsid w:val="00CD15D6"/>
    <w:rsid w:val="00CD5CB8"/>
    <w:rsid w:val="00CD6003"/>
    <w:rsid w:val="00CD693A"/>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811C6"/>
    <w:rsid w:val="00D84B04"/>
    <w:rsid w:val="00D8770D"/>
    <w:rsid w:val="00D87FB2"/>
    <w:rsid w:val="00D93018"/>
    <w:rsid w:val="00D94878"/>
    <w:rsid w:val="00D949FF"/>
    <w:rsid w:val="00D9632B"/>
    <w:rsid w:val="00DA0136"/>
    <w:rsid w:val="00DA077C"/>
    <w:rsid w:val="00DA07D3"/>
    <w:rsid w:val="00DA2A76"/>
    <w:rsid w:val="00DA51F9"/>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1FAC"/>
    <w:rsid w:val="00E127D3"/>
    <w:rsid w:val="00E17D16"/>
    <w:rsid w:val="00E17E55"/>
    <w:rsid w:val="00E25294"/>
    <w:rsid w:val="00E27FF0"/>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66778"/>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27A"/>
    <w:rsid w:val="00EB49E3"/>
    <w:rsid w:val="00EB5D69"/>
    <w:rsid w:val="00EB5DCB"/>
    <w:rsid w:val="00EB709F"/>
    <w:rsid w:val="00EB70DE"/>
    <w:rsid w:val="00EC4BD1"/>
    <w:rsid w:val="00EC4F4D"/>
    <w:rsid w:val="00EC5515"/>
    <w:rsid w:val="00ED0BD8"/>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0FE8"/>
    <w:rsid w:val="00F12266"/>
    <w:rsid w:val="00F13F33"/>
    <w:rsid w:val="00F20EA0"/>
    <w:rsid w:val="00F21F5D"/>
    <w:rsid w:val="00F3055D"/>
    <w:rsid w:val="00F3187A"/>
    <w:rsid w:val="00F34CEF"/>
    <w:rsid w:val="00F3664E"/>
    <w:rsid w:val="00F37505"/>
    <w:rsid w:val="00F41EAD"/>
    <w:rsid w:val="00F41F5B"/>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0869"/>
    <w:rsid w:val="00F831F1"/>
    <w:rsid w:val="00F84279"/>
    <w:rsid w:val="00F84729"/>
    <w:rsid w:val="00F8507B"/>
    <w:rsid w:val="00F8799C"/>
    <w:rsid w:val="00F90720"/>
    <w:rsid w:val="00F914F0"/>
    <w:rsid w:val="00F920C3"/>
    <w:rsid w:val="00F93ECE"/>
    <w:rsid w:val="00F97571"/>
    <w:rsid w:val="00FA1793"/>
    <w:rsid w:val="00FA628D"/>
    <w:rsid w:val="00FB354B"/>
    <w:rsid w:val="00FB661D"/>
    <w:rsid w:val="00FB704F"/>
    <w:rsid w:val="00FC05EF"/>
    <w:rsid w:val="00FC0858"/>
    <w:rsid w:val="00FC42D1"/>
    <w:rsid w:val="00FC75F5"/>
    <w:rsid w:val="00FD0DE4"/>
    <w:rsid w:val="00FD1479"/>
    <w:rsid w:val="00FD25BE"/>
    <w:rsid w:val="00FD44A7"/>
    <w:rsid w:val="00FD5983"/>
    <w:rsid w:val="00FD765F"/>
    <w:rsid w:val="00FD7FCE"/>
    <w:rsid w:val="00FE0993"/>
    <w:rsid w:val="00FE0A5A"/>
    <w:rsid w:val="00FE1880"/>
    <w:rsid w:val="00FE203F"/>
    <w:rsid w:val="00FE652F"/>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4968A6"/>
  <w15:docId w15:val="{7D3557F5-3879-4BF8-A5E4-316BD0FD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D2600-55AC-420C-8CE2-7A50A7D1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1396</Words>
  <Characters>6980</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8360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13</cp:revision>
  <cp:lastPrinted>2001-10-24T10:13:00Z</cp:lastPrinted>
  <dcterms:created xsi:type="dcterms:W3CDTF">2019-12-31T08:58:00Z</dcterms:created>
  <dcterms:modified xsi:type="dcterms:W3CDTF">2020-01-03T08:08:00Z</dcterms:modified>
</cp:coreProperties>
</file>