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0FD" w:rsidRPr="00250798" w:rsidRDefault="00CB40FD" w:rsidP="00D47EBD">
      <w:pPr>
        <w:shd w:val="clear" w:color="auto" w:fill="FFFFFF"/>
        <w:tabs>
          <w:tab w:val="left" w:pos="720"/>
        </w:tabs>
        <w:spacing w:line="240" w:lineRule="auto"/>
        <w:jc w:val="center"/>
        <w:rPr>
          <w:rFonts w:asciiTheme="minorBidi" w:eastAsia="Times New Roman" w:hAnsiTheme="minorBidi" w:cstheme="minorBidi"/>
          <w:color w:val="222222"/>
          <w:sz w:val="24"/>
          <w:szCs w:val="24"/>
        </w:rPr>
      </w:pPr>
      <w:bookmarkStart w:id="0" w:name="_GoBack"/>
      <w:bookmarkEnd w:id="0"/>
      <w:r w:rsidRPr="00250798">
        <w:rPr>
          <w:rFonts w:asciiTheme="minorBidi" w:eastAsia="Times New Roman" w:hAnsiTheme="minorBidi" w:cstheme="minorBidi"/>
          <w:caps/>
          <w:color w:val="222222"/>
          <w:sz w:val="24"/>
          <w:szCs w:val="24"/>
          <w:lang w:val="en-GB"/>
        </w:rPr>
        <w:t>YESHIVAT HAR ETZION</w:t>
      </w:r>
    </w:p>
    <w:p w:rsidR="00CB40FD" w:rsidRPr="00250798" w:rsidRDefault="00CB40FD" w:rsidP="00D47EBD">
      <w:pPr>
        <w:shd w:val="clear" w:color="auto" w:fill="FFFFFF"/>
        <w:tabs>
          <w:tab w:val="left" w:pos="720"/>
        </w:tabs>
        <w:spacing w:line="240" w:lineRule="auto"/>
        <w:jc w:val="center"/>
        <w:rPr>
          <w:rFonts w:asciiTheme="minorBidi" w:eastAsia="Times New Roman" w:hAnsiTheme="minorBidi" w:cstheme="minorBidi"/>
          <w:color w:val="222222"/>
          <w:sz w:val="24"/>
          <w:szCs w:val="24"/>
        </w:rPr>
      </w:pPr>
      <w:r w:rsidRPr="00250798">
        <w:rPr>
          <w:rFonts w:asciiTheme="minorBidi" w:eastAsia="Times New Roman" w:hAnsiTheme="minorBidi" w:cstheme="minorBidi"/>
          <w:caps/>
          <w:color w:val="222222"/>
          <w:sz w:val="24"/>
          <w:szCs w:val="24"/>
          <w:lang w:val="en-GB"/>
        </w:rPr>
        <w:t>ISRAEL KOSCHITZKY VIRTUAL BEIT MIDRASH (VBM)</w:t>
      </w:r>
    </w:p>
    <w:p w:rsidR="00CB40FD" w:rsidRPr="00250798" w:rsidRDefault="00CB40FD" w:rsidP="00D47EBD">
      <w:pPr>
        <w:shd w:val="clear" w:color="auto" w:fill="FFFFFF"/>
        <w:tabs>
          <w:tab w:val="left" w:pos="720"/>
        </w:tabs>
        <w:spacing w:line="240" w:lineRule="auto"/>
        <w:jc w:val="center"/>
        <w:rPr>
          <w:rFonts w:asciiTheme="minorBidi" w:eastAsia="Times New Roman" w:hAnsiTheme="minorBidi" w:cstheme="minorBidi"/>
          <w:color w:val="222222"/>
          <w:sz w:val="24"/>
          <w:szCs w:val="24"/>
        </w:rPr>
      </w:pPr>
      <w:r w:rsidRPr="00250798">
        <w:rPr>
          <w:rFonts w:asciiTheme="minorBidi" w:eastAsia="Times New Roman" w:hAnsiTheme="minorBidi" w:cstheme="minorBidi"/>
          <w:caps/>
          <w:color w:val="222222"/>
          <w:sz w:val="24"/>
          <w:szCs w:val="24"/>
          <w:lang w:val="en-GB"/>
        </w:rPr>
        <w:t>*********************************************************</w:t>
      </w:r>
    </w:p>
    <w:p w:rsidR="00CB40FD" w:rsidRPr="00250798" w:rsidRDefault="00CB40FD" w:rsidP="00D47EBD">
      <w:pPr>
        <w:shd w:val="clear" w:color="auto" w:fill="FFFFFF"/>
        <w:tabs>
          <w:tab w:val="left" w:pos="720"/>
        </w:tabs>
        <w:spacing w:line="240" w:lineRule="auto"/>
        <w:jc w:val="center"/>
        <w:rPr>
          <w:rFonts w:asciiTheme="minorBidi" w:eastAsia="Times New Roman" w:hAnsiTheme="minorBidi" w:cstheme="minorBidi"/>
          <w:color w:val="222222"/>
          <w:sz w:val="24"/>
          <w:szCs w:val="24"/>
        </w:rPr>
      </w:pPr>
    </w:p>
    <w:p w:rsidR="00CB40FD" w:rsidRPr="00250798" w:rsidRDefault="00CB40FD" w:rsidP="00D47EBD">
      <w:pPr>
        <w:shd w:val="clear" w:color="auto" w:fill="FFFFFF"/>
        <w:tabs>
          <w:tab w:val="left" w:pos="720"/>
        </w:tabs>
        <w:spacing w:line="240" w:lineRule="auto"/>
        <w:jc w:val="center"/>
        <w:rPr>
          <w:rFonts w:asciiTheme="minorBidi" w:eastAsia="Times New Roman" w:hAnsiTheme="minorBidi" w:cstheme="minorBidi"/>
          <w:color w:val="222222"/>
          <w:sz w:val="24"/>
          <w:szCs w:val="24"/>
        </w:rPr>
      </w:pPr>
      <w:r w:rsidRPr="00250798">
        <w:rPr>
          <w:rFonts w:asciiTheme="minorBidi" w:eastAsia="Times New Roman" w:hAnsiTheme="minorBidi" w:cstheme="minorBidi"/>
          <w:b/>
          <w:bCs/>
          <w:caps/>
          <w:color w:val="222222"/>
          <w:sz w:val="24"/>
          <w:szCs w:val="24"/>
        </w:rPr>
        <w:t>TORAH STUDY</w:t>
      </w:r>
    </w:p>
    <w:p w:rsidR="00CB40FD" w:rsidRPr="00250798" w:rsidRDefault="00CB40FD" w:rsidP="00D47EBD">
      <w:pPr>
        <w:shd w:val="clear" w:color="auto" w:fill="FFFFFF"/>
        <w:tabs>
          <w:tab w:val="left" w:pos="720"/>
        </w:tabs>
        <w:spacing w:line="240" w:lineRule="auto"/>
        <w:jc w:val="center"/>
        <w:rPr>
          <w:rFonts w:asciiTheme="minorBidi" w:eastAsia="Times New Roman" w:hAnsiTheme="minorBidi" w:cstheme="minorBidi"/>
          <w:b/>
          <w:bCs/>
          <w:color w:val="222222"/>
          <w:sz w:val="24"/>
          <w:szCs w:val="24"/>
        </w:rPr>
      </w:pPr>
      <w:r w:rsidRPr="00250798">
        <w:rPr>
          <w:rFonts w:asciiTheme="minorBidi" w:eastAsia="Times New Roman" w:hAnsiTheme="minorBidi" w:cstheme="minorBidi"/>
          <w:b/>
          <w:bCs/>
          <w:color w:val="222222"/>
          <w:sz w:val="24"/>
          <w:szCs w:val="24"/>
        </w:rPr>
        <w:t>By Rav Tzvi Sinensky</w:t>
      </w:r>
    </w:p>
    <w:p w:rsidR="00CB40FD" w:rsidRPr="00250798" w:rsidRDefault="00CB40FD" w:rsidP="00D47EBD">
      <w:pPr>
        <w:shd w:val="clear" w:color="auto" w:fill="FFFFFF"/>
        <w:spacing w:line="240" w:lineRule="auto"/>
        <w:jc w:val="center"/>
        <w:rPr>
          <w:rFonts w:asciiTheme="minorBidi" w:hAnsiTheme="minorBidi" w:cstheme="minorBidi"/>
          <w:b/>
          <w:sz w:val="24"/>
          <w:szCs w:val="24"/>
          <w:u w:val="single"/>
        </w:rPr>
      </w:pPr>
    </w:p>
    <w:p w:rsidR="00CB40FD" w:rsidRPr="00250798" w:rsidRDefault="00CB40FD" w:rsidP="00D47EBD">
      <w:pPr>
        <w:spacing w:line="240" w:lineRule="auto"/>
        <w:jc w:val="center"/>
        <w:rPr>
          <w:rFonts w:asciiTheme="minorBidi" w:hAnsiTheme="minorBidi" w:cstheme="minorBidi"/>
          <w:b/>
          <w:bCs/>
          <w:sz w:val="24"/>
          <w:szCs w:val="24"/>
        </w:rPr>
      </w:pPr>
    </w:p>
    <w:p w:rsidR="00CB40FD" w:rsidRPr="00250798" w:rsidRDefault="00874FEC" w:rsidP="00D47EBD">
      <w:pPr>
        <w:spacing w:line="240" w:lineRule="auto"/>
        <w:jc w:val="center"/>
        <w:rPr>
          <w:rFonts w:asciiTheme="minorBidi" w:hAnsiTheme="minorBidi" w:cstheme="minorBidi"/>
          <w:b/>
          <w:bCs/>
          <w:sz w:val="24"/>
          <w:szCs w:val="24"/>
        </w:rPr>
      </w:pPr>
      <w:r w:rsidRPr="00377182">
        <w:rPr>
          <w:rFonts w:asciiTheme="minorBidi" w:hAnsiTheme="minorBidi" w:cstheme="minorBidi"/>
          <w:b/>
          <w:bCs/>
          <w:iCs/>
          <w:sz w:val="24"/>
          <w:szCs w:val="24"/>
        </w:rPr>
        <w:t>Shiur</w:t>
      </w:r>
      <w:r w:rsidR="00CB40FD" w:rsidRPr="00250798">
        <w:rPr>
          <w:rFonts w:asciiTheme="minorBidi" w:hAnsiTheme="minorBidi" w:cstheme="minorBidi"/>
          <w:b/>
          <w:bCs/>
          <w:sz w:val="24"/>
          <w:szCs w:val="24"/>
        </w:rPr>
        <w:t xml:space="preserve"> #08: </w:t>
      </w:r>
      <w:r w:rsidR="00CB40FD" w:rsidRPr="00250798">
        <w:rPr>
          <w:rFonts w:asciiTheme="minorBidi" w:hAnsiTheme="minorBidi" w:cstheme="minorBidi"/>
          <w:b/>
          <w:bCs/>
          <w:i/>
          <w:iCs/>
          <w:sz w:val="24"/>
          <w:szCs w:val="24"/>
        </w:rPr>
        <w:t>Talmud Torah</w:t>
      </w:r>
      <w:r w:rsidR="00CB40FD" w:rsidRPr="00250798">
        <w:rPr>
          <w:rFonts w:asciiTheme="minorBidi" w:hAnsiTheme="minorBidi" w:cstheme="minorBidi"/>
          <w:b/>
          <w:bCs/>
          <w:sz w:val="24"/>
          <w:szCs w:val="24"/>
        </w:rPr>
        <w:t xml:space="preserve"> for </w:t>
      </w:r>
      <w:r w:rsidR="0045457A" w:rsidRPr="00250798">
        <w:rPr>
          <w:rFonts w:asciiTheme="minorBidi" w:hAnsiTheme="minorBidi" w:cstheme="minorBidi"/>
          <w:b/>
          <w:bCs/>
          <w:sz w:val="24"/>
          <w:szCs w:val="24"/>
        </w:rPr>
        <w:t>N</w:t>
      </w:r>
      <w:r w:rsidR="00CE107E" w:rsidRPr="00250798">
        <w:rPr>
          <w:rFonts w:asciiTheme="minorBidi" w:hAnsiTheme="minorBidi" w:cstheme="minorBidi"/>
          <w:b/>
          <w:bCs/>
          <w:sz w:val="24"/>
          <w:szCs w:val="24"/>
        </w:rPr>
        <w:t>on-Jews</w:t>
      </w:r>
    </w:p>
    <w:p w:rsidR="00CB40FD" w:rsidRPr="00250798" w:rsidRDefault="00CB40FD" w:rsidP="00D47EBD">
      <w:pPr>
        <w:spacing w:line="240" w:lineRule="auto"/>
        <w:jc w:val="both"/>
        <w:rPr>
          <w:rFonts w:asciiTheme="minorBidi" w:hAnsiTheme="minorBidi" w:cstheme="minorBidi"/>
          <w:sz w:val="24"/>
          <w:szCs w:val="24"/>
        </w:rPr>
      </w:pPr>
    </w:p>
    <w:p w:rsidR="00CB40FD" w:rsidRPr="00250798" w:rsidRDefault="00CB40FD" w:rsidP="00D47EBD">
      <w:pPr>
        <w:spacing w:line="240" w:lineRule="auto"/>
        <w:jc w:val="both"/>
        <w:rPr>
          <w:rFonts w:asciiTheme="minorBidi" w:hAnsiTheme="minorBidi" w:cstheme="minorBidi"/>
          <w:sz w:val="24"/>
          <w:szCs w:val="24"/>
        </w:rPr>
      </w:pPr>
    </w:p>
    <w:p w:rsidR="00621C4B" w:rsidRPr="00250798" w:rsidRDefault="00CB40FD" w:rsidP="00D47EBD">
      <w:pPr>
        <w:spacing w:line="240" w:lineRule="auto"/>
        <w:jc w:val="both"/>
        <w:rPr>
          <w:rFonts w:asciiTheme="minorBidi" w:hAnsiTheme="minorBidi" w:cstheme="minorBidi"/>
          <w:sz w:val="24"/>
          <w:szCs w:val="24"/>
        </w:rPr>
      </w:pPr>
      <w:r w:rsidRPr="00250798">
        <w:rPr>
          <w:rFonts w:asciiTheme="minorBidi" w:hAnsiTheme="minorBidi" w:cstheme="minorBidi"/>
          <w:sz w:val="24"/>
          <w:szCs w:val="24"/>
        </w:rPr>
        <w:t xml:space="preserve">Toward the end of our previous </w:t>
      </w:r>
      <w:r w:rsidR="00874FEC" w:rsidRPr="00250798">
        <w:rPr>
          <w:rFonts w:asciiTheme="minorBidi" w:hAnsiTheme="minorBidi" w:cstheme="minorBidi"/>
          <w:i/>
          <w:sz w:val="24"/>
          <w:szCs w:val="24"/>
        </w:rPr>
        <w:t>shiur</w:t>
      </w:r>
      <w:r w:rsidRPr="00250798">
        <w:rPr>
          <w:rFonts w:asciiTheme="minorBidi" w:hAnsiTheme="minorBidi" w:cstheme="minorBidi"/>
          <w:sz w:val="24"/>
          <w:szCs w:val="24"/>
        </w:rPr>
        <w:t>, we noted that there may be a qualitative distinction between the Written Torah and Oral Torah, in the se</w:t>
      </w:r>
      <w:r w:rsidR="0045457A" w:rsidRPr="00250798">
        <w:rPr>
          <w:rFonts w:asciiTheme="minorBidi" w:hAnsiTheme="minorBidi" w:cstheme="minorBidi"/>
          <w:sz w:val="24"/>
          <w:szCs w:val="24"/>
        </w:rPr>
        <w:t>nse that only the latter reflec</w:t>
      </w:r>
      <w:r w:rsidRPr="00250798">
        <w:rPr>
          <w:rFonts w:asciiTheme="minorBidi" w:hAnsiTheme="minorBidi" w:cstheme="minorBidi"/>
          <w:sz w:val="24"/>
          <w:szCs w:val="24"/>
        </w:rPr>
        <w:t>ts the unique covenantal relationship betw</w:t>
      </w:r>
      <w:r w:rsidR="0045457A" w:rsidRPr="00250798">
        <w:rPr>
          <w:rFonts w:asciiTheme="minorBidi" w:hAnsiTheme="minorBidi" w:cstheme="minorBidi"/>
          <w:sz w:val="24"/>
          <w:szCs w:val="24"/>
        </w:rPr>
        <w:t>een God and the Jewish people. We will pick up on that theme</w:t>
      </w:r>
      <w:r w:rsidRPr="00250798">
        <w:rPr>
          <w:rFonts w:asciiTheme="minorBidi" w:hAnsiTheme="minorBidi" w:cstheme="minorBidi"/>
          <w:sz w:val="24"/>
          <w:szCs w:val="24"/>
        </w:rPr>
        <w:t xml:space="preserve"> in this week’s </w:t>
      </w:r>
      <w:r w:rsidR="00874FEC" w:rsidRPr="00250798">
        <w:rPr>
          <w:rFonts w:asciiTheme="minorBidi" w:hAnsiTheme="minorBidi" w:cstheme="minorBidi"/>
          <w:i/>
          <w:sz w:val="24"/>
          <w:szCs w:val="24"/>
        </w:rPr>
        <w:t>shiur</w:t>
      </w:r>
      <w:r w:rsidR="0045457A" w:rsidRPr="00250798">
        <w:rPr>
          <w:rFonts w:asciiTheme="minorBidi" w:hAnsiTheme="minorBidi" w:cstheme="minorBidi"/>
          <w:sz w:val="24"/>
          <w:szCs w:val="24"/>
        </w:rPr>
        <w:t xml:space="preserve"> as we</w:t>
      </w:r>
      <w:r w:rsidRPr="00250798">
        <w:rPr>
          <w:rFonts w:asciiTheme="minorBidi" w:hAnsiTheme="minorBidi" w:cstheme="minorBidi"/>
          <w:sz w:val="24"/>
          <w:szCs w:val="24"/>
        </w:rPr>
        <w:t xml:space="preserve"> explore a prohibition that, as we noted briefly last week, might</w:t>
      </w:r>
      <w:r w:rsidR="0045457A" w:rsidRPr="00250798">
        <w:rPr>
          <w:rFonts w:asciiTheme="minorBidi" w:hAnsiTheme="minorBidi" w:cstheme="minorBidi"/>
          <w:sz w:val="24"/>
          <w:szCs w:val="24"/>
        </w:rPr>
        <w:t xml:space="preserve"> be seen as an outgrowth of this</w:t>
      </w:r>
      <w:r w:rsidRPr="00250798">
        <w:rPr>
          <w:rFonts w:asciiTheme="minorBidi" w:hAnsiTheme="minorBidi" w:cstheme="minorBidi"/>
          <w:sz w:val="24"/>
          <w:szCs w:val="24"/>
        </w:rPr>
        <w:t xml:space="preserve"> notion of covenant: the prohibition of Torah study for </w:t>
      </w:r>
      <w:r w:rsidR="00CE107E" w:rsidRPr="00250798">
        <w:rPr>
          <w:rFonts w:asciiTheme="minorBidi" w:hAnsiTheme="minorBidi" w:cstheme="minorBidi"/>
          <w:sz w:val="24"/>
          <w:szCs w:val="24"/>
        </w:rPr>
        <w:t>non-Jews</w:t>
      </w:r>
      <w:r w:rsidRPr="00250798">
        <w:rPr>
          <w:rFonts w:asciiTheme="minorBidi" w:hAnsiTheme="minorBidi" w:cstheme="minorBidi"/>
          <w:sz w:val="24"/>
          <w:szCs w:val="24"/>
        </w:rPr>
        <w:t xml:space="preserve">. To that end, this </w:t>
      </w:r>
      <w:r w:rsidR="00874FEC" w:rsidRPr="00250798">
        <w:rPr>
          <w:rFonts w:asciiTheme="minorBidi" w:hAnsiTheme="minorBidi" w:cstheme="minorBidi"/>
          <w:i/>
          <w:sz w:val="24"/>
          <w:szCs w:val="24"/>
        </w:rPr>
        <w:t>shiur</w:t>
      </w:r>
      <w:r w:rsidRPr="00250798">
        <w:rPr>
          <w:rFonts w:asciiTheme="minorBidi" w:hAnsiTheme="minorBidi" w:cstheme="minorBidi"/>
          <w:sz w:val="24"/>
          <w:szCs w:val="24"/>
        </w:rPr>
        <w:t xml:space="preserve"> will consider two schools of thought regarding the basis for this prohibition, its scope, and </w:t>
      </w:r>
      <w:r w:rsidR="0045457A" w:rsidRPr="00250798">
        <w:rPr>
          <w:rFonts w:asciiTheme="minorBidi" w:hAnsiTheme="minorBidi" w:cstheme="minorBidi"/>
          <w:sz w:val="24"/>
          <w:szCs w:val="24"/>
        </w:rPr>
        <w:t xml:space="preserve">its </w:t>
      </w:r>
      <w:r w:rsidRPr="00250798">
        <w:rPr>
          <w:rFonts w:asciiTheme="minorBidi" w:hAnsiTheme="minorBidi" w:cstheme="minorBidi"/>
          <w:sz w:val="24"/>
          <w:szCs w:val="24"/>
        </w:rPr>
        <w:t xml:space="preserve">wider connection to the themes of </w:t>
      </w:r>
      <w:r w:rsidRPr="00250798">
        <w:rPr>
          <w:rFonts w:asciiTheme="minorBidi" w:hAnsiTheme="minorBidi" w:cstheme="minorBidi"/>
          <w:i/>
          <w:sz w:val="24"/>
          <w:szCs w:val="24"/>
        </w:rPr>
        <w:t>talmud Torah</w:t>
      </w:r>
      <w:r w:rsidRPr="00250798">
        <w:rPr>
          <w:rFonts w:asciiTheme="minorBidi" w:hAnsiTheme="minorBidi" w:cstheme="minorBidi"/>
          <w:sz w:val="24"/>
          <w:szCs w:val="24"/>
        </w:rPr>
        <w:t>.</w:t>
      </w:r>
    </w:p>
    <w:p w:rsidR="00621C4B" w:rsidRPr="00250798" w:rsidRDefault="00621C4B" w:rsidP="00D47EBD">
      <w:pPr>
        <w:spacing w:line="240" w:lineRule="auto"/>
        <w:jc w:val="both"/>
        <w:rPr>
          <w:rFonts w:asciiTheme="minorBidi" w:hAnsiTheme="minorBidi" w:cstheme="minorBidi"/>
          <w:sz w:val="24"/>
          <w:szCs w:val="24"/>
        </w:rPr>
      </w:pPr>
    </w:p>
    <w:p w:rsidR="00621C4B" w:rsidRPr="00250798" w:rsidRDefault="00621C4B" w:rsidP="00D47EBD">
      <w:pPr>
        <w:spacing w:line="240" w:lineRule="auto"/>
        <w:jc w:val="both"/>
        <w:rPr>
          <w:rFonts w:asciiTheme="minorBidi" w:hAnsiTheme="minorBidi" w:cstheme="minorBidi"/>
          <w:sz w:val="24"/>
          <w:szCs w:val="24"/>
        </w:rPr>
      </w:pPr>
      <w:r w:rsidRPr="00250798">
        <w:rPr>
          <w:rFonts w:asciiTheme="minorBidi" w:hAnsiTheme="minorBidi" w:cstheme="minorBidi"/>
          <w:sz w:val="24"/>
          <w:szCs w:val="24"/>
        </w:rPr>
        <w:t>The Babylonian Talmud cites two texts to establish the unique connection of the Jewish people to the Torah:</w:t>
      </w:r>
    </w:p>
    <w:p w:rsidR="00621C4B" w:rsidRPr="00250798" w:rsidRDefault="00621C4B" w:rsidP="00D47EBD">
      <w:pPr>
        <w:spacing w:line="240" w:lineRule="auto"/>
        <w:ind w:left="720"/>
        <w:jc w:val="both"/>
        <w:rPr>
          <w:rFonts w:asciiTheme="minorBidi" w:hAnsiTheme="minorBidi" w:cstheme="minorBidi"/>
          <w:sz w:val="24"/>
          <w:szCs w:val="24"/>
        </w:rPr>
      </w:pPr>
    </w:p>
    <w:p w:rsidR="00621C4B" w:rsidRPr="00250798" w:rsidRDefault="00621C4B" w:rsidP="00D47EBD">
      <w:pPr>
        <w:spacing w:line="240" w:lineRule="auto"/>
        <w:ind w:left="720"/>
        <w:jc w:val="both"/>
        <w:rPr>
          <w:rFonts w:asciiTheme="minorBidi" w:hAnsiTheme="minorBidi" w:cstheme="minorBidi"/>
          <w:sz w:val="24"/>
          <w:szCs w:val="24"/>
        </w:rPr>
      </w:pPr>
      <w:r w:rsidRPr="00250798">
        <w:rPr>
          <w:rFonts w:asciiTheme="minorBidi" w:hAnsiTheme="minorBidi" w:cstheme="minorBidi"/>
          <w:sz w:val="24"/>
          <w:szCs w:val="24"/>
        </w:rPr>
        <w:t xml:space="preserve">Moshe </w:t>
      </w:r>
      <w:r w:rsidR="00250798" w:rsidRPr="00250798">
        <w:rPr>
          <w:rFonts w:asciiTheme="minorBidi" w:hAnsiTheme="minorBidi" w:cstheme="minorBidi"/>
          <w:sz w:val="24"/>
          <w:szCs w:val="24"/>
        </w:rPr>
        <w:t>commanded</w:t>
      </w:r>
      <w:r w:rsidRPr="00250798">
        <w:rPr>
          <w:rFonts w:asciiTheme="minorBidi" w:hAnsiTheme="minorBidi" w:cstheme="minorBidi"/>
          <w:sz w:val="24"/>
          <w:szCs w:val="24"/>
        </w:rPr>
        <w:t xml:space="preserve"> us the Torah, inheritance of the congregation of Ya’akov. (</w:t>
      </w:r>
      <w:r w:rsidRPr="00250798">
        <w:rPr>
          <w:rFonts w:asciiTheme="minorBidi" w:hAnsiTheme="minorBidi" w:cstheme="minorBidi"/>
          <w:i/>
          <w:sz w:val="24"/>
          <w:szCs w:val="24"/>
        </w:rPr>
        <w:t>Devarim</w:t>
      </w:r>
      <w:r w:rsidRPr="00250798">
        <w:rPr>
          <w:rFonts w:asciiTheme="minorBidi" w:hAnsiTheme="minorBidi" w:cstheme="minorBidi"/>
          <w:sz w:val="24"/>
          <w:szCs w:val="24"/>
        </w:rPr>
        <w:t xml:space="preserve"> 33:4) </w:t>
      </w:r>
    </w:p>
    <w:p w:rsidR="00621C4B" w:rsidRPr="00250798" w:rsidRDefault="00621C4B" w:rsidP="00D47EBD">
      <w:pPr>
        <w:spacing w:line="240" w:lineRule="auto"/>
        <w:ind w:left="720"/>
        <w:jc w:val="both"/>
        <w:rPr>
          <w:rFonts w:asciiTheme="minorBidi" w:hAnsiTheme="minorBidi" w:cstheme="minorBidi"/>
          <w:sz w:val="24"/>
          <w:szCs w:val="24"/>
        </w:rPr>
      </w:pPr>
      <w:r w:rsidRPr="00250798">
        <w:rPr>
          <w:rStyle w:val="text"/>
          <w:rFonts w:asciiTheme="minorBidi" w:hAnsiTheme="minorBidi" w:cstheme="minorBidi"/>
          <w:sz w:val="24"/>
          <w:szCs w:val="24"/>
        </w:rPr>
        <w:t>He has revealed his word to Ya’akov,</w:t>
      </w:r>
      <w:r w:rsidRPr="00250798">
        <w:rPr>
          <w:rStyle w:val="indent-1-breaks"/>
          <w:rFonts w:asciiTheme="minorBidi" w:hAnsiTheme="minorBidi" w:cstheme="minorBidi"/>
          <w:sz w:val="24"/>
          <w:szCs w:val="24"/>
        </w:rPr>
        <w:t> </w:t>
      </w:r>
      <w:r w:rsidRPr="00250798">
        <w:rPr>
          <w:rStyle w:val="text"/>
          <w:rFonts w:asciiTheme="minorBidi" w:hAnsiTheme="minorBidi" w:cstheme="minorBidi"/>
          <w:sz w:val="24"/>
          <w:szCs w:val="24"/>
        </w:rPr>
        <w:t>His laws and decrees to Yisrael.</w:t>
      </w:r>
      <w:r w:rsidRPr="00250798">
        <w:rPr>
          <w:rStyle w:val="text"/>
          <w:rFonts w:asciiTheme="minorBidi" w:hAnsiTheme="minorBidi" w:cstheme="minorBidi"/>
          <w:sz w:val="24"/>
          <w:szCs w:val="24"/>
          <w:vertAlign w:val="superscript"/>
        </w:rPr>
        <w:t> </w:t>
      </w:r>
      <w:r w:rsidRPr="00250798">
        <w:rPr>
          <w:rStyle w:val="text"/>
          <w:rFonts w:asciiTheme="minorBidi" w:hAnsiTheme="minorBidi" w:cstheme="minorBidi"/>
          <w:sz w:val="24"/>
          <w:szCs w:val="24"/>
        </w:rPr>
        <w:t>He has done this for no other nation;</w:t>
      </w:r>
      <w:r w:rsidRPr="00250798">
        <w:rPr>
          <w:rStyle w:val="indent-1-breaks"/>
          <w:rFonts w:asciiTheme="minorBidi" w:hAnsiTheme="minorBidi" w:cstheme="minorBidi"/>
          <w:sz w:val="24"/>
          <w:szCs w:val="24"/>
        </w:rPr>
        <w:t> </w:t>
      </w:r>
      <w:r w:rsidRPr="00250798">
        <w:rPr>
          <w:rStyle w:val="text"/>
          <w:rFonts w:asciiTheme="minorBidi" w:hAnsiTheme="minorBidi" w:cstheme="minorBidi"/>
          <w:sz w:val="24"/>
          <w:szCs w:val="24"/>
        </w:rPr>
        <w:t>they do not know his laws. Praise God! (</w:t>
      </w:r>
      <w:r w:rsidRPr="00250798">
        <w:rPr>
          <w:rFonts w:asciiTheme="minorBidi" w:hAnsiTheme="minorBidi" w:cstheme="minorBidi"/>
          <w:i/>
          <w:sz w:val="24"/>
          <w:szCs w:val="24"/>
        </w:rPr>
        <w:t>Tehillim</w:t>
      </w:r>
      <w:r w:rsidRPr="00250798">
        <w:rPr>
          <w:rFonts w:asciiTheme="minorBidi" w:hAnsiTheme="minorBidi" w:cstheme="minorBidi"/>
          <w:sz w:val="24"/>
          <w:szCs w:val="24"/>
        </w:rPr>
        <w:t xml:space="preserve"> 147:19-20)</w:t>
      </w:r>
    </w:p>
    <w:p w:rsidR="00CB40FD" w:rsidRPr="00250798" w:rsidRDefault="00CB40FD" w:rsidP="00D47EBD">
      <w:pPr>
        <w:spacing w:line="240" w:lineRule="auto"/>
        <w:ind w:left="720"/>
        <w:jc w:val="both"/>
        <w:rPr>
          <w:rFonts w:asciiTheme="minorBidi" w:hAnsiTheme="minorBidi" w:cstheme="minorBidi"/>
          <w:sz w:val="24"/>
          <w:szCs w:val="24"/>
        </w:rPr>
      </w:pPr>
    </w:p>
    <w:p w:rsidR="00CB40FD" w:rsidRPr="00250798" w:rsidRDefault="0045457A" w:rsidP="00D47EBD">
      <w:pPr>
        <w:spacing w:line="240" w:lineRule="auto"/>
        <w:jc w:val="both"/>
        <w:rPr>
          <w:rFonts w:asciiTheme="minorBidi" w:hAnsiTheme="minorBidi" w:cstheme="minorBidi"/>
          <w:sz w:val="24"/>
          <w:szCs w:val="24"/>
        </w:rPr>
      </w:pPr>
      <w:r w:rsidRPr="00250798">
        <w:rPr>
          <w:rFonts w:asciiTheme="minorBidi" w:hAnsiTheme="minorBidi" w:cstheme="minorBidi"/>
          <w:sz w:val="24"/>
          <w:szCs w:val="24"/>
        </w:rPr>
        <w:t>T</w:t>
      </w:r>
      <w:r w:rsidR="00621C4B" w:rsidRPr="00250798">
        <w:rPr>
          <w:rFonts w:asciiTheme="minorBidi" w:hAnsiTheme="minorBidi" w:cstheme="minorBidi"/>
          <w:sz w:val="24"/>
          <w:szCs w:val="24"/>
        </w:rPr>
        <w:t xml:space="preserve">he first is cited in </w:t>
      </w:r>
      <w:r w:rsidR="009346D9" w:rsidRPr="009346D9">
        <w:rPr>
          <w:rFonts w:asciiTheme="minorBidi" w:hAnsiTheme="minorBidi" w:cstheme="minorBidi"/>
          <w:i/>
          <w:sz w:val="24"/>
          <w:szCs w:val="24"/>
        </w:rPr>
        <w:t>Sanhedrin</w:t>
      </w:r>
      <w:r w:rsidR="00621C4B" w:rsidRPr="00250798">
        <w:rPr>
          <w:rFonts w:asciiTheme="minorBidi" w:hAnsiTheme="minorBidi" w:cstheme="minorBidi"/>
          <w:sz w:val="24"/>
          <w:szCs w:val="24"/>
        </w:rPr>
        <w:t xml:space="preserve"> 59a</w:t>
      </w:r>
      <w:r w:rsidR="002F6BDD" w:rsidRPr="00250798">
        <w:rPr>
          <w:rFonts w:asciiTheme="minorBidi" w:hAnsiTheme="minorBidi" w:cstheme="minorBidi"/>
          <w:sz w:val="24"/>
          <w:szCs w:val="24"/>
        </w:rPr>
        <w:t>, as the Gemara explores two ways to read the verse: either literally, in which case the Torah is the inheritance (</w:t>
      </w:r>
      <w:r w:rsidR="00250798" w:rsidRPr="00250798">
        <w:rPr>
          <w:rFonts w:asciiTheme="minorBidi" w:hAnsiTheme="minorBidi" w:cstheme="minorBidi"/>
          <w:i/>
          <w:sz w:val="24"/>
          <w:szCs w:val="24"/>
        </w:rPr>
        <w:t>morasha</w:t>
      </w:r>
      <w:r w:rsidR="002F6BDD" w:rsidRPr="00250798">
        <w:rPr>
          <w:rFonts w:asciiTheme="minorBidi" w:hAnsiTheme="minorBidi" w:cstheme="minorBidi"/>
          <w:sz w:val="24"/>
          <w:szCs w:val="24"/>
        </w:rPr>
        <w:t>) of the Jewish people; or exegetically, in which case the Torah is the betrothed (</w:t>
      </w:r>
      <w:r w:rsidR="00250798" w:rsidRPr="00250798">
        <w:rPr>
          <w:rFonts w:asciiTheme="minorBidi" w:hAnsiTheme="minorBidi" w:cstheme="minorBidi"/>
          <w:i/>
          <w:sz w:val="24"/>
          <w:szCs w:val="24"/>
        </w:rPr>
        <w:t>me’orasa</w:t>
      </w:r>
      <w:r w:rsidR="002F6BDD" w:rsidRPr="00250798">
        <w:rPr>
          <w:rFonts w:asciiTheme="minorBidi" w:hAnsiTheme="minorBidi" w:cstheme="minorBidi"/>
          <w:sz w:val="24"/>
          <w:szCs w:val="24"/>
        </w:rPr>
        <w:t>) of the Jewish people.</w:t>
      </w:r>
      <w:r w:rsidR="00CB40FD" w:rsidRPr="00250798">
        <w:rPr>
          <w:rFonts w:asciiTheme="minorBidi" w:hAnsiTheme="minorBidi" w:cstheme="minorBidi"/>
          <w:sz w:val="24"/>
          <w:szCs w:val="24"/>
        </w:rPr>
        <w:t xml:space="preserve"> </w:t>
      </w:r>
    </w:p>
    <w:p w:rsidR="00CB40FD" w:rsidRPr="00250798" w:rsidRDefault="00CB40FD" w:rsidP="00D47EBD">
      <w:pPr>
        <w:spacing w:line="240" w:lineRule="auto"/>
        <w:jc w:val="both"/>
        <w:rPr>
          <w:rFonts w:asciiTheme="minorBidi" w:hAnsiTheme="minorBidi" w:cstheme="minorBidi"/>
          <w:sz w:val="24"/>
          <w:szCs w:val="24"/>
        </w:rPr>
      </w:pPr>
    </w:p>
    <w:p w:rsidR="0045457A" w:rsidRPr="00250798" w:rsidRDefault="0045457A" w:rsidP="00D47EBD">
      <w:pPr>
        <w:spacing w:line="240" w:lineRule="auto"/>
        <w:ind w:left="720"/>
        <w:jc w:val="both"/>
        <w:rPr>
          <w:rFonts w:asciiTheme="minorBidi" w:hAnsiTheme="minorBidi" w:cstheme="minorBidi"/>
          <w:sz w:val="24"/>
          <w:szCs w:val="24"/>
        </w:rPr>
      </w:pPr>
      <w:r w:rsidRPr="00250798">
        <w:rPr>
          <w:rFonts w:asciiTheme="minorBidi" w:hAnsiTheme="minorBidi" w:cstheme="minorBidi"/>
          <w:sz w:val="24"/>
          <w:szCs w:val="24"/>
        </w:rPr>
        <w:t>Rabbi Yochanan said</w:t>
      </w:r>
      <w:r w:rsidR="00CB40FD" w:rsidRPr="00250798">
        <w:rPr>
          <w:rFonts w:asciiTheme="minorBidi" w:hAnsiTheme="minorBidi" w:cstheme="minorBidi"/>
          <w:sz w:val="24"/>
          <w:szCs w:val="24"/>
        </w:rPr>
        <w:t xml:space="preserve">: </w:t>
      </w:r>
      <w:r w:rsidRPr="00250798">
        <w:rPr>
          <w:rFonts w:asciiTheme="minorBidi" w:hAnsiTheme="minorBidi" w:cstheme="minorBidi"/>
          <w:sz w:val="24"/>
          <w:szCs w:val="24"/>
        </w:rPr>
        <w:t>“A non-Jew</w:t>
      </w:r>
      <w:r w:rsidR="00CB40FD" w:rsidRPr="00250798">
        <w:rPr>
          <w:rFonts w:asciiTheme="minorBidi" w:hAnsiTheme="minorBidi" w:cstheme="minorBidi"/>
          <w:sz w:val="24"/>
          <w:szCs w:val="24"/>
        </w:rPr>
        <w:t xml:space="preserve"> who engages in Torah study is liable to receive the d</w:t>
      </w:r>
      <w:r w:rsidRPr="00250798">
        <w:rPr>
          <w:rFonts w:asciiTheme="minorBidi" w:hAnsiTheme="minorBidi" w:cstheme="minorBidi"/>
          <w:sz w:val="24"/>
          <w:szCs w:val="24"/>
        </w:rPr>
        <w:t>eath penalty, as it is stated: ‘</w:t>
      </w:r>
      <w:r w:rsidR="002F6BDD" w:rsidRPr="00250798">
        <w:rPr>
          <w:rFonts w:asciiTheme="minorBidi" w:hAnsiTheme="minorBidi" w:cstheme="minorBidi"/>
          <w:sz w:val="24"/>
          <w:szCs w:val="24"/>
        </w:rPr>
        <w:t xml:space="preserve">Moshe </w:t>
      </w:r>
      <w:r w:rsidR="00250798" w:rsidRPr="00250798">
        <w:rPr>
          <w:rFonts w:asciiTheme="minorBidi" w:hAnsiTheme="minorBidi" w:cstheme="minorBidi"/>
          <w:sz w:val="24"/>
          <w:szCs w:val="24"/>
        </w:rPr>
        <w:t>commanded</w:t>
      </w:r>
      <w:r w:rsidR="002F6BDD" w:rsidRPr="00250798">
        <w:rPr>
          <w:rFonts w:asciiTheme="minorBidi" w:hAnsiTheme="minorBidi" w:cstheme="minorBidi"/>
          <w:sz w:val="24"/>
          <w:szCs w:val="24"/>
        </w:rPr>
        <w:t xml:space="preserve"> us the Torah, inheritance of the congregation of Ya’akov’</w:t>
      </w:r>
      <w:r w:rsidRPr="00250798">
        <w:rPr>
          <w:rFonts w:asciiTheme="minorBidi" w:hAnsiTheme="minorBidi" w:cstheme="minorBidi"/>
          <w:sz w:val="24"/>
          <w:szCs w:val="24"/>
        </w:rPr>
        <w:t xml:space="preserve"> — </w:t>
      </w:r>
      <w:r w:rsidR="00CB40FD" w:rsidRPr="00250798">
        <w:rPr>
          <w:rFonts w:asciiTheme="minorBidi" w:hAnsiTheme="minorBidi" w:cstheme="minorBidi"/>
          <w:sz w:val="24"/>
          <w:szCs w:val="24"/>
        </w:rPr>
        <w:t xml:space="preserve">it is an inheritance for us, </w:t>
      </w:r>
      <w:r w:rsidR="002F6BDD" w:rsidRPr="00250798">
        <w:rPr>
          <w:rFonts w:asciiTheme="minorBidi" w:hAnsiTheme="minorBidi" w:cstheme="minorBidi"/>
          <w:sz w:val="24"/>
          <w:szCs w:val="24"/>
        </w:rPr>
        <w:t>but</w:t>
      </w:r>
      <w:r w:rsidR="00CB40FD" w:rsidRPr="00250798">
        <w:rPr>
          <w:rFonts w:asciiTheme="minorBidi" w:hAnsiTheme="minorBidi" w:cstheme="minorBidi"/>
          <w:sz w:val="24"/>
          <w:szCs w:val="24"/>
        </w:rPr>
        <w:t xml:space="preserve"> not for them.</w:t>
      </w:r>
      <w:r w:rsidRPr="00250798">
        <w:rPr>
          <w:rFonts w:asciiTheme="minorBidi" w:hAnsiTheme="minorBidi" w:cstheme="minorBidi"/>
          <w:sz w:val="24"/>
          <w:szCs w:val="24"/>
        </w:rPr>
        <w:t>”</w:t>
      </w:r>
    </w:p>
    <w:p w:rsidR="005045DD" w:rsidRPr="00250798" w:rsidRDefault="0045457A" w:rsidP="00D47EBD">
      <w:pPr>
        <w:spacing w:line="240" w:lineRule="auto"/>
        <w:ind w:left="720"/>
        <w:jc w:val="both"/>
        <w:rPr>
          <w:rFonts w:asciiTheme="minorBidi" w:hAnsiTheme="minorBidi" w:cstheme="minorBidi"/>
          <w:sz w:val="24"/>
          <w:szCs w:val="24"/>
        </w:rPr>
      </w:pPr>
      <w:r w:rsidRPr="00250798">
        <w:rPr>
          <w:rFonts w:asciiTheme="minorBidi" w:hAnsiTheme="minorBidi" w:cstheme="minorBidi"/>
          <w:sz w:val="24"/>
          <w:szCs w:val="24"/>
        </w:rPr>
        <w:t xml:space="preserve">Then why is this not included in the </w:t>
      </w:r>
      <w:r w:rsidR="009138D2" w:rsidRPr="00250798">
        <w:rPr>
          <w:rFonts w:asciiTheme="minorBidi" w:hAnsiTheme="minorBidi" w:cstheme="minorBidi"/>
          <w:sz w:val="24"/>
          <w:szCs w:val="24"/>
        </w:rPr>
        <w:t>Noahide</w:t>
      </w:r>
      <w:r w:rsidRPr="00250798">
        <w:rPr>
          <w:rFonts w:asciiTheme="minorBidi" w:hAnsiTheme="minorBidi" w:cstheme="minorBidi"/>
          <w:sz w:val="24"/>
          <w:szCs w:val="24"/>
        </w:rPr>
        <w:t xml:space="preserve"> laws? </w:t>
      </w:r>
      <w:r w:rsidR="005045DD" w:rsidRPr="00250798">
        <w:rPr>
          <w:rFonts w:asciiTheme="minorBidi" w:hAnsiTheme="minorBidi" w:cstheme="minorBidi"/>
          <w:sz w:val="24"/>
          <w:szCs w:val="24"/>
          <w:rtl/>
        </w:rPr>
        <w:t>]</w:t>
      </w:r>
      <w:r w:rsidR="005045DD" w:rsidRPr="00250798">
        <w:rPr>
          <w:rFonts w:asciiTheme="minorBidi" w:hAnsiTheme="minorBidi" w:cstheme="minorBidi"/>
          <w:sz w:val="24"/>
          <w:szCs w:val="24"/>
        </w:rPr>
        <w:t>I</w:t>
      </w:r>
      <w:r w:rsidR="005045DD" w:rsidRPr="00250798">
        <w:rPr>
          <w:rFonts w:asciiTheme="minorBidi" w:hAnsiTheme="minorBidi" w:cstheme="minorBidi"/>
          <w:sz w:val="24"/>
          <w:szCs w:val="24"/>
          <w:lang w:val="en-US"/>
        </w:rPr>
        <w:t xml:space="preserve">t may be subsumed under the existing laws:] according to the one who reads it as </w:t>
      </w:r>
      <w:r w:rsidR="00250798" w:rsidRPr="00250798">
        <w:rPr>
          <w:rFonts w:asciiTheme="minorBidi" w:hAnsiTheme="minorBidi" w:cstheme="minorBidi"/>
          <w:i/>
          <w:sz w:val="24"/>
          <w:szCs w:val="24"/>
          <w:lang w:val="en-US"/>
        </w:rPr>
        <w:t>morasha</w:t>
      </w:r>
      <w:r w:rsidR="005045DD" w:rsidRPr="00250798">
        <w:rPr>
          <w:rFonts w:asciiTheme="minorBidi" w:hAnsiTheme="minorBidi" w:cstheme="minorBidi"/>
          <w:sz w:val="24"/>
          <w:szCs w:val="24"/>
          <w:lang w:val="en-US"/>
        </w:rPr>
        <w:t xml:space="preserve">, </w:t>
      </w:r>
      <w:r w:rsidR="005045DD" w:rsidRPr="00250798">
        <w:rPr>
          <w:rFonts w:asciiTheme="minorBidi" w:hAnsiTheme="minorBidi" w:cstheme="minorBidi"/>
          <w:sz w:val="24"/>
          <w:szCs w:val="24"/>
        </w:rPr>
        <w:t>the</w:t>
      </w:r>
      <w:r w:rsidRPr="00250798">
        <w:rPr>
          <w:rFonts w:asciiTheme="minorBidi" w:hAnsiTheme="minorBidi" w:cstheme="minorBidi"/>
          <w:sz w:val="24"/>
          <w:szCs w:val="24"/>
        </w:rPr>
        <w:t xml:space="preserve"> non-Jew </w:t>
      </w:r>
      <w:r w:rsidR="00250798" w:rsidRPr="00250798">
        <w:rPr>
          <w:rFonts w:asciiTheme="minorBidi" w:hAnsiTheme="minorBidi" w:cstheme="minorBidi"/>
          <w:sz w:val="24"/>
          <w:szCs w:val="24"/>
        </w:rPr>
        <w:t>would</w:t>
      </w:r>
      <w:r w:rsidR="005045DD" w:rsidRPr="00250798">
        <w:rPr>
          <w:rFonts w:asciiTheme="minorBidi" w:hAnsiTheme="minorBidi" w:cstheme="minorBidi"/>
          <w:sz w:val="24"/>
          <w:szCs w:val="24"/>
        </w:rPr>
        <w:t xml:space="preserve"> be </w:t>
      </w:r>
      <w:r w:rsidR="00250798" w:rsidRPr="00250798">
        <w:rPr>
          <w:rFonts w:asciiTheme="minorBidi" w:hAnsiTheme="minorBidi" w:cstheme="minorBidi"/>
          <w:sz w:val="24"/>
          <w:szCs w:val="24"/>
        </w:rPr>
        <w:t>stealing</w:t>
      </w:r>
      <w:r w:rsidRPr="00250798">
        <w:rPr>
          <w:rFonts w:asciiTheme="minorBidi" w:hAnsiTheme="minorBidi" w:cstheme="minorBidi"/>
          <w:sz w:val="24"/>
          <w:szCs w:val="24"/>
        </w:rPr>
        <w:t xml:space="preserve"> it</w:t>
      </w:r>
      <w:r w:rsidR="005045DD" w:rsidRPr="00250798">
        <w:rPr>
          <w:rFonts w:asciiTheme="minorBidi" w:hAnsiTheme="minorBidi" w:cstheme="minorBidi"/>
          <w:sz w:val="24"/>
          <w:szCs w:val="24"/>
        </w:rPr>
        <w:t xml:space="preserve">; according to the one who reads it as </w:t>
      </w:r>
      <w:r w:rsidR="00250798" w:rsidRPr="00250798">
        <w:rPr>
          <w:rFonts w:asciiTheme="minorBidi" w:hAnsiTheme="minorBidi" w:cstheme="minorBidi"/>
          <w:i/>
          <w:iCs/>
          <w:sz w:val="24"/>
          <w:szCs w:val="24"/>
        </w:rPr>
        <w:t>me’orasa</w:t>
      </w:r>
      <w:r w:rsidR="005045DD" w:rsidRPr="00250798">
        <w:rPr>
          <w:rFonts w:asciiTheme="minorBidi" w:hAnsiTheme="minorBidi" w:cstheme="minorBidi"/>
          <w:i/>
          <w:iCs/>
          <w:sz w:val="24"/>
          <w:szCs w:val="24"/>
        </w:rPr>
        <w:t>,</w:t>
      </w:r>
      <w:r w:rsidRPr="00250798">
        <w:rPr>
          <w:rFonts w:asciiTheme="minorBidi" w:hAnsiTheme="minorBidi" w:cstheme="minorBidi"/>
          <w:sz w:val="24"/>
          <w:szCs w:val="24"/>
        </w:rPr>
        <w:t xml:space="preserve"> </w:t>
      </w:r>
      <w:r w:rsidR="005045DD" w:rsidRPr="00250798">
        <w:rPr>
          <w:rFonts w:asciiTheme="minorBidi" w:hAnsiTheme="minorBidi" w:cstheme="minorBidi"/>
          <w:sz w:val="24"/>
          <w:szCs w:val="24"/>
        </w:rPr>
        <w:t xml:space="preserve">the non-Jew </w:t>
      </w:r>
      <w:r w:rsidR="00250798" w:rsidRPr="00250798">
        <w:rPr>
          <w:rFonts w:asciiTheme="minorBidi" w:hAnsiTheme="minorBidi" w:cstheme="minorBidi"/>
          <w:sz w:val="24"/>
          <w:szCs w:val="24"/>
        </w:rPr>
        <w:t>would</w:t>
      </w:r>
      <w:r w:rsidR="005045DD" w:rsidRPr="00250798">
        <w:rPr>
          <w:rFonts w:asciiTheme="minorBidi" w:hAnsiTheme="minorBidi" w:cstheme="minorBidi"/>
          <w:sz w:val="24"/>
          <w:szCs w:val="24"/>
        </w:rPr>
        <w:t xml:space="preserve"> be like one who [commits adultery with] a betrothed maiden, who is liable to </w:t>
      </w:r>
      <w:r w:rsidR="009138D2" w:rsidRPr="00250798">
        <w:rPr>
          <w:rFonts w:asciiTheme="minorBidi" w:hAnsiTheme="minorBidi" w:cstheme="minorBidi"/>
          <w:sz w:val="24"/>
          <w:szCs w:val="24"/>
        </w:rPr>
        <w:t xml:space="preserve">receive </w:t>
      </w:r>
      <w:r w:rsidR="005045DD" w:rsidRPr="00250798">
        <w:rPr>
          <w:rFonts w:asciiTheme="minorBidi" w:hAnsiTheme="minorBidi" w:cstheme="minorBidi"/>
          <w:sz w:val="24"/>
          <w:szCs w:val="24"/>
        </w:rPr>
        <w:t>stoning.</w:t>
      </w:r>
    </w:p>
    <w:p w:rsidR="005045DD" w:rsidRPr="00250798" w:rsidRDefault="005045DD" w:rsidP="00D47EBD">
      <w:pPr>
        <w:spacing w:line="240" w:lineRule="auto"/>
        <w:ind w:left="720"/>
        <w:jc w:val="both"/>
        <w:rPr>
          <w:rFonts w:asciiTheme="minorBidi" w:hAnsiTheme="minorBidi" w:cstheme="minorBidi"/>
          <w:sz w:val="24"/>
          <w:szCs w:val="24"/>
        </w:rPr>
      </w:pPr>
      <w:r w:rsidRPr="00250798">
        <w:rPr>
          <w:rFonts w:asciiTheme="minorBidi" w:hAnsiTheme="minorBidi" w:cstheme="minorBidi"/>
          <w:sz w:val="24"/>
          <w:szCs w:val="24"/>
        </w:rPr>
        <w:t xml:space="preserve">This was challenged with a </w:t>
      </w:r>
      <w:r w:rsidR="00250798" w:rsidRPr="00250798">
        <w:rPr>
          <w:rFonts w:asciiTheme="minorBidi" w:hAnsiTheme="minorBidi" w:cstheme="minorBidi"/>
          <w:i/>
          <w:sz w:val="24"/>
          <w:szCs w:val="24"/>
        </w:rPr>
        <w:t>baraita</w:t>
      </w:r>
      <w:r w:rsidR="0045457A" w:rsidRPr="00250798">
        <w:rPr>
          <w:rFonts w:asciiTheme="minorBidi" w:hAnsiTheme="minorBidi" w:cstheme="minorBidi"/>
          <w:sz w:val="24"/>
          <w:szCs w:val="24"/>
        </w:rPr>
        <w:t xml:space="preserve">: </w:t>
      </w:r>
      <w:r w:rsidRPr="00250798">
        <w:rPr>
          <w:rFonts w:asciiTheme="minorBidi" w:hAnsiTheme="minorBidi" w:cstheme="minorBidi"/>
          <w:sz w:val="24"/>
          <w:szCs w:val="24"/>
        </w:rPr>
        <w:t>“</w:t>
      </w:r>
      <w:r w:rsidR="00CB40FD" w:rsidRPr="00250798">
        <w:rPr>
          <w:rFonts w:asciiTheme="minorBidi" w:hAnsiTheme="minorBidi" w:cstheme="minorBidi"/>
          <w:sz w:val="24"/>
          <w:szCs w:val="24"/>
        </w:rPr>
        <w:t xml:space="preserve">Rabbi Meir would say: </w:t>
      </w:r>
      <w:r w:rsidRPr="00250798">
        <w:rPr>
          <w:rFonts w:asciiTheme="minorBidi" w:hAnsiTheme="minorBidi" w:cstheme="minorBidi"/>
          <w:sz w:val="24"/>
          <w:szCs w:val="24"/>
        </w:rPr>
        <w:t>‘</w:t>
      </w:r>
      <w:r w:rsidR="00CB40FD" w:rsidRPr="00250798">
        <w:rPr>
          <w:rFonts w:asciiTheme="minorBidi" w:hAnsiTheme="minorBidi" w:cstheme="minorBidi"/>
          <w:sz w:val="24"/>
          <w:szCs w:val="24"/>
        </w:rPr>
        <w:t xml:space="preserve">From where is it derived that even </w:t>
      </w:r>
      <w:r w:rsidR="0045457A" w:rsidRPr="00250798">
        <w:rPr>
          <w:rFonts w:asciiTheme="minorBidi" w:hAnsiTheme="minorBidi" w:cstheme="minorBidi"/>
          <w:sz w:val="24"/>
          <w:szCs w:val="24"/>
        </w:rPr>
        <w:t>a non-Jew</w:t>
      </w:r>
      <w:r w:rsidR="00CB40FD" w:rsidRPr="00250798">
        <w:rPr>
          <w:rFonts w:asciiTheme="minorBidi" w:hAnsiTheme="minorBidi" w:cstheme="minorBidi"/>
          <w:sz w:val="24"/>
          <w:szCs w:val="24"/>
        </w:rPr>
        <w:t xml:space="preserve"> who engages in Torah study is considered like a High Priest? It is derived from that which is stated: “</w:t>
      </w:r>
      <w:r w:rsidRPr="00250798">
        <w:rPr>
          <w:rFonts w:asciiTheme="minorBidi" w:hAnsiTheme="minorBidi" w:cstheme="minorBidi"/>
          <w:sz w:val="24"/>
          <w:szCs w:val="24"/>
        </w:rPr>
        <w:t>[</w:t>
      </w:r>
      <w:r w:rsidR="00CB40FD" w:rsidRPr="00250798">
        <w:rPr>
          <w:rFonts w:asciiTheme="minorBidi" w:hAnsiTheme="minorBidi" w:cstheme="minorBidi"/>
          <w:sz w:val="24"/>
          <w:szCs w:val="24"/>
        </w:rPr>
        <w:t xml:space="preserve">You shall </w:t>
      </w:r>
      <w:r w:rsidR="00CB40FD" w:rsidRPr="00250798">
        <w:rPr>
          <w:rFonts w:asciiTheme="minorBidi" w:hAnsiTheme="minorBidi" w:cstheme="minorBidi"/>
          <w:sz w:val="24"/>
          <w:szCs w:val="24"/>
        </w:rPr>
        <w:lastRenderedPageBreak/>
        <w:t xml:space="preserve">therefore keep My </w:t>
      </w:r>
      <w:r w:rsidRPr="00250798">
        <w:rPr>
          <w:rFonts w:asciiTheme="minorBidi" w:hAnsiTheme="minorBidi" w:cstheme="minorBidi"/>
          <w:sz w:val="24"/>
          <w:szCs w:val="24"/>
        </w:rPr>
        <w:t>laws and My decrees,]</w:t>
      </w:r>
      <w:r w:rsidR="00CB40FD" w:rsidRPr="00250798">
        <w:rPr>
          <w:rFonts w:asciiTheme="minorBidi" w:hAnsiTheme="minorBidi" w:cstheme="minorBidi"/>
          <w:sz w:val="24"/>
          <w:szCs w:val="24"/>
        </w:rPr>
        <w:t xml:space="preserve"> which if a man does he shall live by them” (</w:t>
      </w:r>
      <w:r w:rsidR="00CB40FD" w:rsidRPr="00250798">
        <w:rPr>
          <w:rFonts w:asciiTheme="minorBidi" w:hAnsiTheme="minorBidi" w:cstheme="minorBidi"/>
          <w:i/>
          <w:sz w:val="24"/>
          <w:szCs w:val="24"/>
        </w:rPr>
        <w:t>Vayikra</w:t>
      </w:r>
      <w:r w:rsidR="00CB40FD" w:rsidRPr="00250798">
        <w:rPr>
          <w:rFonts w:asciiTheme="minorBidi" w:hAnsiTheme="minorBidi" w:cstheme="minorBidi"/>
          <w:sz w:val="24"/>
          <w:szCs w:val="24"/>
        </w:rPr>
        <w:t xml:space="preserve"> 18:5). </w:t>
      </w:r>
      <w:r w:rsidRPr="00250798">
        <w:rPr>
          <w:rFonts w:asciiTheme="minorBidi" w:hAnsiTheme="minorBidi" w:cstheme="minorBidi"/>
          <w:sz w:val="24"/>
          <w:szCs w:val="24"/>
        </w:rPr>
        <w:t>Priests, Levites or Israelites are not specified, but rather “a</w:t>
      </w:r>
      <w:r w:rsidR="00CB40FD" w:rsidRPr="00250798">
        <w:rPr>
          <w:rFonts w:asciiTheme="minorBidi" w:hAnsiTheme="minorBidi" w:cstheme="minorBidi"/>
          <w:sz w:val="24"/>
          <w:szCs w:val="24"/>
        </w:rPr>
        <w:t xml:space="preserve"> man,” which indicates mankind in general. You have therefore learned that even </w:t>
      </w:r>
      <w:r w:rsidR="0045457A" w:rsidRPr="00250798">
        <w:rPr>
          <w:rFonts w:asciiTheme="minorBidi" w:hAnsiTheme="minorBidi" w:cstheme="minorBidi"/>
          <w:sz w:val="24"/>
          <w:szCs w:val="24"/>
        </w:rPr>
        <w:t>a non-Jew</w:t>
      </w:r>
      <w:r w:rsidR="00CB40FD" w:rsidRPr="00250798">
        <w:rPr>
          <w:rFonts w:asciiTheme="minorBidi" w:hAnsiTheme="minorBidi" w:cstheme="minorBidi"/>
          <w:sz w:val="24"/>
          <w:szCs w:val="24"/>
        </w:rPr>
        <w:t xml:space="preserve"> who engages in Torah study is considered like a High Priest.</w:t>
      </w:r>
      <w:r w:rsidRPr="00250798">
        <w:rPr>
          <w:rFonts w:asciiTheme="minorBidi" w:hAnsiTheme="minorBidi" w:cstheme="minorBidi"/>
          <w:sz w:val="24"/>
          <w:szCs w:val="24"/>
        </w:rPr>
        <w:t>’”</w:t>
      </w:r>
    </w:p>
    <w:p w:rsidR="005045DD" w:rsidRPr="00250798" w:rsidRDefault="00250798" w:rsidP="00D47EBD">
      <w:pPr>
        <w:spacing w:line="240" w:lineRule="auto"/>
        <w:ind w:left="720"/>
        <w:jc w:val="both"/>
        <w:rPr>
          <w:rFonts w:asciiTheme="minorBidi" w:hAnsiTheme="minorBidi" w:cstheme="minorBidi"/>
          <w:sz w:val="24"/>
          <w:szCs w:val="24"/>
        </w:rPr>
      </w:pPr>
      <w:r>
        <w:rPr>
          <w:rFonts w:asciiTheme="minorBidi" w:hAnsiTheme="minorBidi" w:cstheme="minorBidi"/>
          <w:sz w:val="24"/>
          <w:szCs w:val="24"/>
        </w:rPr>
        <w:t>However, t</w:t>
      </w:r>
      <w:r w:rsidR="00CB40FD" w:rsidRPr="00250798">
        <w:rPr>
          <w:rFonts w:asciiTheme="minorBidi" w:hAnsiTheme="minorBidi" w:cstheme="minorBidi"/>
          <w:sz w:val="24"/>
          <w:szCs w:val="24"/>
        </w:rPr>
        <w:t xml:space="preserve">here, in the </w:t>
      </w:r>
      <w:r w:rsidRPr="00250798">
        <w:rPr>
          <w:rFonts w:asciiTheme="minorBidi" w:hAnsiTheme="minorBidi" w:cstheme="minorBidi"/>
          <w:i/>
          <w:sz w:val="24"/>
          <w:szCs w:val="24"/>
        </w:rPr>
        <w:t>baraita</w:t>
      </w:r>
      <w:r w:rsidR="00CB40FD" w:rsidRPr="00250798">
        <w:rPr>
          <w:rFonts w:asciiTheme="minorBidi" w:hAnsiTheme="minorBidi" w:cstheme="minorBidi"/>
          <w:sz w:val="24"/>
          <w:szCs w:val="24"/>
        </w:rPr>
        <w:t xml:space="preserve">, the reference is to </w:t>
      </w:r>
      <w:r w:rsidR="0045457A" w:rsidRPr="00250798">
        <w:rPr>
          <w:rFonts w:asciiTheme="minorBidi" w:hAnsiTheme="minorBidi" w:cstheme="minorBidi"/>
          <w:sz w:val="24"/>
          <w:szCs w:val="24"/>
        </w:rPr>
        <w:t>a non-Jew</w:t>
      </w:r>
      <w:r w:rsidR="00CB40FD" w:rsidRPr="00250798">
        <w:rPr>
          <w:rFonts w:asciiTheme="minorBidi" w:hAnsiTheme="minorBidi" w:cstheme="minorBidi"/>
          <w:sz w:val="24"/>
          <w:szCs w:val="24"/>
        </w:rPr>
        <w:t xml:space="preserve"> who engages in the study of their seven </w:t>
      </w:r>
      <w:r w:rsidRPr="00250798">
        <w:rPr>
          <w:rFonts w:asciiTheme="minorBidi" w:hAnsiTheme="minorBidi" w:cstheme="minorBidi"/>
          <w:i/>
          <w:sz w:val="24"/>
          <w:szCs w:val="24"/>
        </w:rPr>
        <w:t>mitzvot</w:t>
      </w:r>
      <w:r w:rsidR="00CB40FD" w:rsidRPr="00250798">
        <w:rPr>
          <w:rFonts w:asciiTheme="minorBidi" w:hAnsiTheme="minorBidi" w:cstheme="minorBidi"/>
          <w:sz w:val="24"/>
          <w:szCs w:val="24"/>
        </w:rPr>
        <w:t xml:space="preserve">. </w:t>
      </w:r>
    </w:p>
    <w:p w:rsidR="005045DD" w:rsidRPr="00250798" w:rsidRDefault="005045DD" w:rsidP="00D47EBD">
      <w:pPr>
        <w:spacing w:line="240" w:lineRule="auto"/>
        <w:jc w:val="both"/>
        <w:rPr>
          <w:rFonts w:asciiTheme="minorBidi" w:hAnsiTheme="minorBidi" w:cstheme="minorBidi"/>
          <w:sz w:val="24"/>
          <w:szCs w:val="24"/>
        </w:rPr>
      </w:pPr>
    </w:p>
    <w:p w:rsidR="00CB40FD" w:rsidRPr="00250798" w:rsidRDefault="00CB40FD" w:rsidP="00D47EBD">
      <w:pPr>
        <w:spacing w:line="240" w:lineRule="auto"/>
        <w:jc w:val="both"/>
        <w:rPr>
          <w:rFonts w:asciiTheme="minorBidi" w:hAnsiTheme="minorBidi" w:cstheme="minorBidi"/>
          <w:sz w:val="24"/>
          <w:szCs w:val="24"/>
        </w:rPr>
      </w:pPr>
      <w:r w:rsidRPr="00250798">
        <w:rPr>
          <w:rFonts w:asciiTheme="minorBidi" w:hAnsiTheme="minorBidi" w:cstheme="minorBidi"/>
          <w:sz w:val="24"/>
          <w:szCs w:val="24"/>
        </w:rPr>
        <w:t xml:space="preserve">It is a </w:t>
      </w:r>
      <w:r w:rsidRPr="00250798">
        <w:rPr>
          <w:rFonts w:asciiTheme="minorBidi" w:hAnsiTheme="minorBidi" w:cstheme="minorBidi"/>
          <w:i/>
          <w:sz w:val="24"/>
          <w:szCs w:val="24"/>
        </w:rPr>
        <w:t>mitzva</w:t>
      </w:r>
      <w:r w:rsidRPr="00250798">
        <w:rPr>
          <w:rFonts w:asciiTheme="minorBidi" w:hAnsiTheme="minorBidi" w:cstheme="minorBidi"/>
          <w:sz w:val="24"/>
          <w:szCs w:val="24"/>
        </w:rPr>
        <w:t xml:space="preserve"> for </w:t>
      </w:r>
      <w:r w:rsidR="0045457A" w:rsidRPr="00250798">
        <w:rPr>
          <w:rFonts w:asciiTheme="minorBidi" w:hAnsiTheme="minorBidi" w:cstheme="minorBidi"/>
          <w:sz w:val="24"/>
          <w:szCs w:val="24"/>
        </w:rPr>
        <w:t>a non-Jew</w:t>
      </w:r>
      <w:r w:rsidRPr="00250798">
        <w:rPr>
          <w:rFonts w:asciiTheme="minorBidi" w:hAnsiTheme="minorBidi" w:cstheme="minorBidi"/>
          <w:sz w:val="24"/>
          <w:szCs w:val="24"/>
        </w:rPr>
        <w:t xml:space="preserve"> to study the </w:t>
      </w:r>
      <w:r w:rsidRPr="00250798">
        <w:rPr>
          <w:rFonts w:asciiTheme="minorBidi" w:hAnsiTheme="minorBidi" w:cstheme="minorBidi"/>
          <w:i/>
          <w:sz w:val="24"/>
          <w:szCs w:val="24"/>
        </w:rPr>
        <w:t>halakhot</w:t>
      </w:r>
      <w:r w:rsidRPr="00250798">
        <w:rPr>
          <w:rFonts w:asciiTheme="minorBidi" w:hAnsiTheme="minorBidi" w:cstheme="minorBidi"/>
          <w:sz w:val="24"/>
          <w:szCs w:val="24"/>
        </w:rPr>
        <w:t xml:space="preserve"> that pertain to the se</w:t>
      </w:r>
      <w:r w:rsidR="009138D2" w:rsidRPr="00250798">
        <w:rPr>
          <w:rFonts w:asciiTheme="minorBidi" w:hAnsiTheme="minorBidi" w:cstheme="minorBidi"/>
          <w:sz w:val="24"/>
          <w:szCs w:val="24"/>
        </w:rPr>
        <w:t xml:space="preserve">ven Noahide </w:t>
      </w:r>
      <w:r w:rsidR="00250798" w:rsidRPr="00250798">
        <w:rPr>
          <w:rFonts w:asciiTheme="minorBidi" w:hAnsiTheme="minorBidi" w:cstheme="minorBidi"/>
          <w:i/>
          <w:sz w:val="24"/>
          <w:szCs w:val="24"/>
        </w:rPr>
        <w:t>mitzvot</w:t>
      </w:r>
      <w:r w:rsidR="009138D2" w:rsidRPr="00250798">
        <w:rPr>
          <w:rFonts w:asciiTheme="minorBidi" w:hAnsiTheme="minorBidi" w:cstheme="minorBidi"/>
          <w:sz w:val="24"/>
          <w:szCs w:val="24"/>
        </w:rPr>
        <w:t>, and any human being who</w:t>
      </w:r>
      <w:r w:rsidRPr="00250798">
        <w:rPr>
          <w:rFonts w:asciiTheme="minorBidi" w:hAnsiTheme="minorBidi" w:cstheme="minorBidi"/>
          <w:sz w:val="24"/>
          <w:szCs w:val="24"/>
        </w:rPr>
        <w:t xml:space="preserve"> does so is highly regarded.</w:t>
      </w:r>
    </w:p>
    <w:p w:rsidR="00CB40FD" w:rsidRPr="00250798" w:rsidRDefault="00CB40FD" w:rsidP="00D47EBD">
      <w:pPr>
        <w:spacing w:line="240" w:lineRule="auto"/>
        <w:jc w:val="both"/>
        <w:rPr>
          <w:rFonts w:asciiTheme="minorBidi" w:hAnsiTheme="minorBidi" w:cstheme="minorBidi"/>
          <w:sz w:val="24"/>
          <w:szCs w:val="24"/>
        </w:rPr>
      </w:pPr>
    </w:p>
    <w:p w:rsidR="00CB40FD" w:rsidRPr="00250798" w:rsidRDefault="009138D2" w:rsidP="00D47EBD">
      <w:pPr>
        <w:spacing w:line="240" w:lineRule="auto"/>
        <w:jc w:val="both"/>
        <w:rPr>
          <w:rFonts w:asciiTheme="minorBidi" w:hAnsiTheme="minorBidi" w:cstheme="minorBidi"/>
          <w:sz w:val="24"/>
          <w:szCs w:val="24"/>
        </w:rPr>
      </w:pPr>
      <w:r w:rsidRPr="00250798">
        <w:rPr>
          <w:rFonts w:asciiTheme="minorBidi" w:hAnsiTheme="minorBidi" w:cstheme="minorBidi"/>
          <w:sz w:val="24"/>
          <w:szCs w:val="24"/>
        </w:rPr>
        <w:t xml:space="preserve">This </w:t>
      </w:r>
      <w:r w:rsidR="00250798" w:rsidRPr="00250798">
        <w:rPr>
          <w:rFonts w:asciiTheme="minorBidi" w:hAnsiTheme="minorBidi" w:cstheme="minorBidi"/>
          <w:i/>
          <w:sz w:val="24"/>
          <w:szCs w:val="24"/>
        </w:rPr>
        <w:t>sugya</w:t>
      </w:r>
      <w:r w:rsidR="00CB40FD" w:rsidRPr="00250798">
        <w:rPr>
          <w:rFonts w:asciiTheme="minorBidi" w:hAnsiTheme="minorBidi" w:cstheme="minorBidi"/>
          <w:sz w:val="24"/>
          <w:szCs w:val="24"/>
        </w:rPr>
        <w:t xml:space="preserve"> is important for a number of reasons: </w:t>
      </w:r>
    </w:p>
    <w:p w:rsidR="00CB40FD" w:rsidRPr="00250798" w:rsidRDefault="00CB40FD" w:rsidP="00D47EBD">
      <w:pPr>
        <w:spacing w:line="240" w:lineRule="auto"/>
        <w:jc w:val="both"/>
        <w:rPr>
          <w:rFonts w:asciiTheme="minorBidi" w:hAnsiTheme="minorBidi" w:cstheme="minorBidi"/>
          <w:sz w:val="24"/>
          <w:szCs w:val="24"/>
        </w:rPr>
      </w:pPr>
    </w:p>
    <w:p w:rsidR="00CB40FD" w:rsidRPr="00250798" w:rsidRDefault="00CB40FD" w:rsidP="00D47EBD">
      <w:pPr>
        <w:spacing w:line="240" w:lineRule="auto"/>
        <w:jc w:val="both"/>
        <w:rPr>
          <w:rFonts w:asciiTheme="minorBidi" w:hAnsiTheme="minorBidi" w:cstheme="minorBidi"/>
          <w:sz w:val="24"/>
          <w:szCs w:val="24"/>
        </w:rPr>
      </w:pPr>
      <w:r w:rsidRPr="00250798">
        <w:rPr>
          <w:rFonts w:asciiTheme="minorBidi" w:hAnsiTheme="minorBidi" w:cstheme="minorBidi"/>
          <w:sz w:val="24"/>
          <w:szCs w:val="24"/>
        </w:rPr>
        <w:t xml:space="preserve">1) The Gemara points to the severity of the prohibition for </w:t>
      </w:r>
      <w:r w:rsidR="00CE107E" w:rsidRPr="00250798">
        <w:rPr>
          <w:rFonts w:asciiTheme="minorBidi" w:hAnsiTheme="minorBidi" w:cstheme="minorBidi"/>
          <w:sz w:val="24"/>
          <w:szCs w:val="24"/>
        </w:rPr>
        <w:t>non-Jews</w:t>
      </w:r>
      <w:r w:rsidRPr="00250798">
        <w:rPr>
          <w:rFonts w:asciiTheme="minorBidi" w:hAnsiTheme="minorBidi" w:cstheme="minorBidi"/>
          <w:sz w:val="24"/>
          <w:szCs w:val="24"/>
        </w:rPr>
        <w:t xml:space="preserve"> to study Torah. Whethe</w:t>
      </w:r>
      <w:r w:rsidR="00250798">
        <w:rPr>
          <w:rFonts w:asciiTheme="minorBidi" w:hAnsiTheme="minorBidi" w:cstheme="minorBidi"/>
          <w:sz w:val="24"/>
          <w:szCs w:val="24"/>
        </w:rPr>
        <w:t>r or not we take the punishment</w:t>
      </w:r>
      <w:r w:rsidRPr="00250798">
        <w:rPr>
          <w:rFonts w:asciiTheme="minorBidi" w:hAnsiTheme="minorBidi" w:cstheme="minorBidi"/>
          <w:sz w:val="24"/>
          <w:szCs w:val="24"/>
        </w:rPr>
        <w:t xml:space="preserve"> literally (Rambam does not</w:t>
      </w:r>
      <w:r w:rsidR="009138D2" w:rsidRPr="00250798">
        <w:rPr>
          <w:rFonts w:asciiTheme="minorBidi" w:hAnsiTheme="minorBidi" w:cstheme="minorBidi"/>
          <w:sz w:val="24"/>
          <w:szCs w:val="24"/>
        </w:rPr>
        <w:t>, but Ra</w:t>
      </w:r>
      <w:r w:rsidR="004C56B3">
        <w:rPr>
          <w:rFonts w:asciiTheme="minorBidi" w:hAnsiTheme="minorBidi" w:cstheme="minorBidi"/>
          <w:sz w:val="24"/>
          <w:szCs w:val="24"/>
        </w:rPr>
        <w:t xml:space="preserve">n </w:t>
      </w:r>
      <w:r w:rsidRPr="00250798">
        <w:rPr>
          <w:rFonts w:asciiTheme="minorBidi" w:hAnsiTheme="minorBidi" w:cstheme="minorBidi"/>
          <w:sz w:val="24"/>
          <w:szCs w:val="24"/>
        </w:rPr>
        <w:t xml:space="preserve">does), the seriousness is clear. </w:t>
      </w:r>
    </w:p>
    <w:p w:rsidR="00CB40FD" w:rsidRPr="00250798" w:rsidRDefault="00CB40FD" w:rsidP="00D47EBD">
      <w:pPr>
        <w:spacing w:line="240" w:lineRule="auto"/>
        <w:jc w:val="both"/>
        <w:rPr>
          <w:rFonts w:asciiTheme="minorBidi" w:hAnsiTheme="minorBidi" w:cstheme="minorBidi"/>
          <w:sz w:val="24"/>
          <w:szCs w:val="24"/>
        </w:rPr>
      </w:pPr>
      <w:r w:rsidRPr="00250798">
        <w:rPr>
          <w:rFonts w:asciiTheme="minorBidi" w:hAnsiTheme="minorBidi" w:cstheme="minorBidi"/>
          <w:sz w:val="24"/>
          <w:szCs w:val="24"/>
        </w:rPr>
        <w:t xml:space="preserve">2) As we will explore in greater depth later on, the Gemara’s comparison of this </w:t>
      </w:r>
      <w:r w:rsidRPr="00250798">
        <w:rPr>
          <w:rFonts w:asciiTheme="minorBidi" w:hAnsiTheme="minorBidi" w:cstheme="minorBidi"/>
          <w:i/>
          <w:sz w:val="24"/>
          <w:szCs w:val="24"/>
        </w:rPr>
        <w:t>issur</w:t>
      </w:r>
      <w:r w:rsidR="009138D2" w:rsidRPr="00250798">
        <w:rPr>
          <w:rFonts w:asciiTheme="minorBidi" w:hAnsiTheme="minorBidi" w:cstheme="minorBidi"/>
          <w:sz w:val="24"/>
          <w:szCs w:val="24"/>
        </w:rPr>
        <w:t xml:space="preserve"> to theft and adultery</w:t>
      </w:r>
      <w:r w:rsidRPr="00250798">
        <w:rPr>
          <w:rFonts w:asciiTheme="minorBidi" w:hAnsiTheme="minorBidi" w:cstheme="minorBidi"/>
          <w:sz w:val="24"/>
          <w:szCs w:val="24"/>
        </w:rPr>
        <w:t xml:space="preserve"> may open the door to an understanding of the logic for the prohibition. </w:t>
      </w:r>
    </w:p>
    <w:p w:rsidR="00CB40FD" w:rsidRPr="00250798" w:rsidRDefault="009138D2" w:rsidP="00D47EBD">
      <w:pPr>
        <w:spacing w:line="240" w:lineRule="auto"/>
        <w:jc w:val="both"/>
        <w:rPr>
          <w:rFonts w:asciiTheme="minorBidi" w:hAnsiTheme="minorBidi" w:cstheme="minorBidi"/>
          <w:sz w:val="24"/>
          <w:szCs w:val="24"/>
        </w:rPr>
      </w:pPr>
      <w:r w:rsidRPr="00250798">
        <w:rPr>
          <w:rFonts w:asciiTheme="minorBidi" w:hAnsiTheme="minorBidi" w:cstheme="minorBidi"/>
          <w:sz w:val="24"/>
          <w:szCs w:val="24"/>
        </w:rPr>
        <w:t xml:space="preserve">3) Though there </w:t>
      </w:r>
      <w:r w:rsidR="00250798" w:rsidRPr="00250798">
        <w:rPr>
          <w:rFonts w:asciiTheme="minorBidi" w:hAnsiTheme="minorBidi" w:cstheme="minorBidi"/>
          <w:sz w:val="24"/>
          <w:szCs w:val="24"/>
        </w:rPr>
        <w:t>remains</w:t>
      </w:r>
      <w:r w:rsidRPr="00250798">
        <w:rPr>
          <w:rFonts w:asciiTheme="minorBidi" w:hAnsiTheme="minorBidi" w:cstheme="minorBidi"/>
          <w:sz w:val="24"/>
          <w:szCs w:val="24"/>
        </w:rPr>
        <w:t xml:space="preserve"> a</w:t>
      </w:r>
      <w:r w:rsidR="00CB40FD" w:rsidRPr="00250798">
        <w:rPr>
          <w:rFonts w:asciiTheme="minorBidi" w:hAnsiTheme="minorBidi" w:cstheme="minorBidi"/>
          <w:sz w:val="24"/>
          <w:szCs w:val="24"/>
        </w:rPr>
        <w:t xml:space="preserve"> ban against Torah study, </w:t>
      </w:r>
      <w:r w:rsidRPr="00250798">
        <w:rPr>
          <w:rFonts w:asciiTheme="minorBidi" w:hAnsiTheme="minorBidi" w:cstheme="minorBidi"/>
          <w:sz w:val="24"/>
          <w:szCs w:val="24"/>
        </w:rPr>
        <w:t>t</w:t>
      </w:r>
      <w:r w:rsidR="00CB40FD" w:rsidRPr="00250798">
        <w:rPr>
          <w:rFonts w:asciiTheme="minorBidi" w:hAnsiTheme="minorBidi" w:cstheme="minorBidi"/>
          <w:sz w:val="24"/>
          <w:szCs w:val="24"/>
        </w:rPr>
        <w:t xml:space="preserve">he </w:t>
      </w:r>
      <w:r w:rsidRPr="00250798">
        <w:rPr>
          <w:rFonts w:asciiTheme="minorBidi" w:hAnsiTheme="minorBidi" w:cstheme="minorBidi"/>
          <w:sz w:val="24"/>
          <w:szCs w:val="24"/>
        </w:rPr>
        <w:t>sur</w:t>
      </w:r>
      <w:r w:rsidR="00CB40FD" w:rsidRPr="00250798">
        <w:rPr>
          <w:rFonts w:asciiTheme="minorBidi" w:hAnsiTheme="minorBidi" w:cstheme="minorBidi"/>
          <w:sz w:val="24"/>
          <w:szCs w:val="24"/>
        </w:rPr>
        <w:t>face r</w:t>
      </w:r>
      <w:r w:rsidRPr="00250798">
        <w:rPr>
          <w:rFonts w:asciiTheme="minorBidi" w:hAnsiTheme="minorBidi" w:cstheme="minorBidi"/>
          <w:sz w:val="24"/>
          <w:szCs w:val="24"/>
        </w:rPr>
        <w:t>eading of the Gemara seems to indicate</w:t>
      </w:r>
      <w:r w:rsidR="00CB40FD" w:rsidRPr="00250798">
        <w:rPr>
          <w:rFonts w:asciiTheme="minorBidi" w:hAnsiTheme="minorBidi" w:cstheme="minorBidi"/>
          <w:sz w:val="24"/>
          <w:szCs w:val="24"/>
        </w:rPr>
        <w:t xml:space="preserve"> that </w:t>
      </w:r>
      <w:r w:rsidR="0045457A" w:rsidRPr="00250798">
        <w:rPr>
          <w:rFonts w:asciiTheme="minorBidi" w:hAnsiTheme="minorBidi" w:cstheme="minorBidi"/>
          <w:sz w:val="24"/>
          <w:szCs w:val="24"/>
        </w:rPr>
        <w:t>a non-Jew</w:t>
      </w:r>
      <w:r w:rsidR="00CB40FD" w:rsidRPr="00250798">
        <w:rPr>
          <w:rFonts w:asciiTheme="minorBidi" w:hAnsiTheme="minorBidi" w:cstheme="minorBidi"/>
          <w:sz w:val="24"/>
          <w:szCs w:val="24"/>
        </w:rPr>
        <w:t xml:space="preserve"> is to be congratulated, even revered, for studying the seven </w:t>
      </w:r>
      <w:r w:rsidRPr="00250798">
        <w:rPr>
          <w:rFonts w:asciiTheme="minorBidi" w:hAnsiTheme="minorBidi" w:cstheme="minorBidi"/>
          <w:sz w:val="24"/>
          <w:szCs w:val="24"/>
        </w:rPr>
        <w:t>Noahide</w:t>
      </w:r>
      <w:r w:rsidR="00CB40FD" w:rsidRPr="00250798">
        <w:rPr>
          <w:rFonts w:asciiTheme="minorBidi" w:hAnsiTheme="minorBidi" w:cstheme="minorBidi"/>
          <w:sz w:val="24"/>
          <w:szCs w:val="24"/>
        </w:rPr>
        <w:t xml:space="preserve"> laws. </w:t>
      </w:r>
    </w:p>
    <w:p w:rsidR="00CB40FD" w:rsidRPr="00250798" w:rsidRDefault="00CB40FD" w:rsidP="00D47EBD">
      <w:pPr>
        <w:spacing w:line="240" w:lineRule="auto"/>
        <w:jc w:val="both"/>
        <w:rPr>
          <w:rFonts w:asciiTheme="minorBidi" w:hAnsiTheme="minorBidi" w:cstheme="minorBidi"/>
          <w:sz w:val="24"/>
          <w:szCs w:val="24"/>
        </w:rPr>
      </w:pPr>
    </w:p>
    <w:p w:rsidR="009138D2" w:rsidRPr="00250798" w:rsidRDefault="009346D9" w:rsidP="00D47EBD">
      <w:pPr>
        <w:spacing w:line="240" w:lineRule="auto"/>
        <w:jc w:val="both"/>
        <w:rPr>
          <w:rFonts w:asciiTheme="minorBidi" w:hAnsiTheme="minorBidi" w:cstheme="minorBidi"/>
          <w:sz w:val="24"/>
          <w:szCs w:val="24"/>
        </w:rPr>
      </w:pPr>
      <w:r w:rsidRPr="009346D9">
        <w:rPr>
          <w:rFonts w:asciiTheme="minorBidi" w:hAnsiTheme="minorBidi" w:cstheme="minorBidi"/>
          <w:i/>
          <w:sz w:val="24"/>
          <w:szCs w:val="24"/>
        </w:rPr>
        <w:t>Chagiga</w:t>
      </w:r>
      <w:r w:rsidR="009138D2" w:rsidRPr="00250798">
        <w:rPr>
          <w:rFonts w:asciiTheme="minorBidi" w:hAnsiTheme="minorBidi" w:cstheme="minorBidi"/>
          <w:sz w:val="24"/>
          <w:szCs w:val="24"/>
        </w:rPr>
        <w:t xml:space="preserve"> 13a cites the second proof text:</w:t>
      </w:r>
    </w:p>
    <w:p w:rsidR="009138D2" w:rsidRPr="00250798" w:rsidRDefault="009138D2" w:rsidP="00D47EBD">
      <w:pPr>
        <w:spacing w:line="240" w:lineRule="auto"/>
        <w:jc w:val="both"/>
        <w:rPr>
          <w:rFonts w:asciiTheme="minorBidi" w:hAnsiTheme="minorBidi" w:cstheme="minorBidi"/>
          <w:sz w:val="24"/>
          <w:szCs w:val="24"/>
        </w:rPr>
      </w:pPr>
    </w:p>
    <w:p w:rsidR="009138D2" w:rsidRPr="00250798" w:rsidRDefault="009138D2" w:rsidP="00D47EBD">
      <w:pPr>
        <w:spacing w:line="240" w:lineRule="auto"/>
        <w:ind w:left="720"/>
        <w:jc w:val="both"/>
        <w:rPr>
          <w:rFonts w:asciiTheme="minorBidi" w:hAnsiTheme="minorBidi" w:cstheme="minorBidi"/>
          <w:sz w:val="24"/>
          <w:szCs w:val="24"/>
          <w:rtl/>
        </w:rPr>
      </w:pPr>
      <w:r w:rsidRPr="00250798">
        <w:rPr>
          <w:rFonts w:asciiTheme="minorBidi" w:eastAsia="Times New Roman" w:hAnsiTheme="minorBidi" w:cstheme="minorBidi"/>
          <w:color w:val="auto"/>
          <w:sz w:val="24"/>
          <w:szCs w:val="24"/>
          <w:lang w:val="en-US"/>
        </w:rPr>
        <w:t>Rabbi</w:t>
      </w:r>
      <w:r w:rsidRPr="009138D2">
        <w:rPr>
          <w:rFonts w:asciiTheme="minorBidi" w:eastAsia="Times New Roman" w:hAnsiTheme="minorBidi" w:cstheme="minorBidi"/>
          <w:color w:val="auto"/>
          <w:sz w:val="24"/>
          <w:szCs w:val="24"/>
          <w:lang w:val="en-US"/>
        </w:rPr>
        <w:t xml:space="preserve"> Ammi further</w:t>
      </w:r>
      <w:r w:rsidRPr="00250798">
        <w:rPr>
          <w:rFonts w:asciiTheme="minorBidi" w:eastAsia="Times New Roman" w:hAnsiTheme="minorBidi" w:cstheme="minorBidi"/>
          <w:color w:val="auto"/>
          <w:sz w:val="24"/>
          <w:szCs w:val="24"/>
          <w:lang w:val="en-US"/>
        </w:rPr>
        <w:t xml:space="preserve"> </w:t>
      </w:r>
      <w:r w:rsidRPr="009138D2">
        <w:rPr>
          <w:rFonts w:asciiTheme="minorBidi" w:eastAsia="Times New Roman" w:hAnsiTheme="minorBidi" w:cstheme="minorBidi"/>
          <w:color w:val="auto"/>
          <w:sz w:val="24"/>
          <w:szCs w:val="24"/>
          <w:lang w:val="en-US"/>
        </w:rPr>
        <w:t xml:space="preserve">said: </w:t>
      </w:r>
      <w:r w:rsidR="00250798">
        <w:rPr>
          <w:rFonts w:asciiTheme="minorBidi" w:eastAsia="Times New Roman" w:hAnsiTheme="minorBidi" w:cstheme="minorBidi"/>
          <w:color w:val="auto"/>
          <w:sz w:val="24"/>
          <w:szCs w:val="24"/>
          <w:lang w:val="en-US"/>
        </w:rPr>
        <w:t>“</w:t>
      </w:r>
      <w:r w:rsidRPr="009138D2">
        <w:rPr>
          <w:rFonts w:asciiTheme="minorBidi" w:eastAsia="Times New Roman" w:hAnsiTheme="minorBidi" w:cstheme="minorBidi"/>
          <w:color w:val="auto"/>
          <w:sz w:val="24"/>
          <w:szCs w:val="24"/>
          <w:lang w:val="en-US"/>
        </w:rPr>
        <w:t>The teachings of the Torah are not</w:t>
      </w:r>
      <w:r w:rsidRPr="00250798">
        <w:rPr>
          <w:rFonts w:asciiTheme="minorBidi" w:eastAsia="Times New Roman" w:hAnsiTheme="minorBidi" w:cstheme="minorBidi"/>
          <w:color w:val="auto"/>
          <w:sz w:val="24"/>
          <w:szCs w:val="24"/>
          <w:lang w:val="en-US"/>
        </w:rPr>
        <w:t xml:space="preserve"> </w:t>
      </w:r>
      <w:r w:rsidRPr="009138D2">
        <w:rPr>
          <w:rFonts w:asciiTheme="minorBidi" w:eastAsia="Times New Roman" w:hAnsiTheme="minorBidi" w:cstheme="minorBidi"/>
          <w:color w:val="auto"/>
          <w:sz w:val="24"/>
          <w:szCs w:val="24"/>
          <w:lang w:val="en-US"/>
        </w:rPr>
        <w:t xml:space="preserve">to be </w:t>
      </w:r>
      <w:r w:rsidRPr="00250798">
        <w:rPr>
          <w:rFonts w:asciiTheme="minorBidi" w:eastAsia="Times New Roman" w:hAnsiTheme="minorBidi" w:cstheme="minorBidi"/>
          <w:color w:val="auto"/>
          <w:sz w:val="24"/>
          <w:szCs w:val="24"/>
          <w:lang w:val="en-US"/>
        </w:rPr>
        <w:t>t</w:t>
      </w:r>
      <w:r w:rsidRPr="009138D2">
        <w:rPr>
          <w:rFonts w:asciiTheme="minorBidi" w:eastAsia="Times New Roman" w:hAnsiTheme="minorBidi" w:cstheme="minorBidi"/>
          <w:color w:val="auto"/>
          <w:sz w:val="24"/>
          <w:szCs w:val="24"/>
          <w:lang w:val="en-US"/>
        </w:rPr>
        <w:t>ransmitted to a</w:t>
      </w:r>
      <w:r w:rsidRPr="00250798">
        <w:rPr>
          <w:rFonts w:asciiTheme="minorBidi" w:eastAsia="Times New Roman" w:hAnsiTheme="minorBidi" w:cstheme="minorBidi"/>
          <w:color w:val="auto"/>
          <w:sz w:val="24"/>
          <w:szCs w:val="24"/>
          <w:lang w:val="en-US"/>
        </w:rPr>
        <w:t xml:space="preserve"> non-Jew, for it is said </w:t>
      </w:r>
      <w:r w:rsidR="00250798">
        <w:rPr>
          <w:rFonts w:asciiTheme="minorBidi" w:eastAsia="Times New Roman" w:hAnsiTheme="minorBidi" w:cstheme="minorBidi"/>
          <w:color w:val="auto"/>
          <w:sz w:val="24"/>
          <w:szCs w:val="24"/>
          <w:lang w:val="en-US"/>
        </w:rPr>
        <w:t>‘</w:t>
      </w:r>
      <w:r w:rsidRPr="00250798">
        <w:rPr>
          <w:rStyle w:val="text"/>
          <w:rFonts w:asciiTheme="minorBidi" w:hAnsiTheme="minorBidi" w:cstheme="minorBidi"/>
          <w:sz w:val="24"/>
          <w:szCs w:val="24"/>
        </w:rPr>
        <w:t>He has done this for no other nation;</w:t>
      </w:r>
      <w:r w:rsidRPr="00250798">
        <w:rPr>
          <w:rStyle w:val="indent-1-breaks"/>
          <w:rFonts w:asciiTheme="minorBidi" w:hAnsiTheme="minorBidi" w:cstheme="minorBidi"/>
          <w:sz w:val="24"/>
          <w:szCs w:val="24"/>
        </w:rPr>
        <w:t> </w:t>
      </w:r>
      <w:r w:rsidRPr="00250798">
        <w:rPr>
          <w:rStyle w:val="text"/>
          <w:rFonts w:asciiTheme="minorBidi" w:hAnsiTheme="minorBidi" w:cstheme="minorBidi"/>
          <w:sz w:val="24"/>
          <w:szCs w:val="24"/>
        </w:rPr>
        <w:t>they do not know his laws.</w:t>
      </w:r>
      <w:r w:rsidR="00250798">
        <w:rPr>
          <w:rStyle w:val="text"/>
          <w:rFonts w:asciiTheme="minorBidi" w:hAnsiTheme="minorBidi" w:cstheme="minorBidi"/>
          <w:sz w:val="24"/>
          <w:szCs w:val="24"/>
        </w:rPr>
        <w:t>’</w:t>
      </w:r>
      <w:r w:rsidRPr="00250798">
        <w:rPr>
          <w:rStyle w:val="text"/>
          <w:rFonts w:asciiTheme="minorBidi" w:hAnsiTheme="minorBidi" w:cstheme="minorBidi"/>
          <w:sz w:val="24"/>
          <w:szCs w:val="24"/>
        </w:rPr>
        <w:t>”</w:t>
      </w:r>
    </w:p>
    <w:p w:rsidR="00CB40FD" w:rsidRPr="00250798" w:rsidRDefault="00CB40FD" w:rsidP="00D47EBD">
      <w:pPr>
        <w:spacing w:line="240" w:lineRule="auto"/>
        <w:jc w:val="both"/>
        <w:rPr>
          <w:rFonts w:asciiTheme="minorBidi" w:hAnsiTheme="minorBidi" w:cstheme="minorBidi"/>
          <w:sz w:val="24"/>
          <w:szCs w:val="24"/>
        </w:rPr>
      </w:pPr>
    </w:p>
    <w:p w:rsidR="009138D2" w:rsidRPr="00250798" w:rsidRDefault="00CB40FD" w:rsidP="00D47EBD">
      <w:pPr>
        <w:spacing w:line="240" w:lineRule="auto"/>
        <w:jc w:val="both"/>
        <w:rPr>
          <w:rFonts w:asciiTheme="minorBidi" w:hAnsiTheme="minorBidi" w:cstheme="minorBidi"/>
          <w:sz w:val="24"/>
          <w:szCs w:val="24"/>
        </w:rPr>
      </w:pPr>
      <w:r w:rsidRPr="00250798">
        <w:rPr>
          <w:rFonts w:asciiTheme="minorBidi" w:hAnsiTheme="minorBidi" w:cstheme="minorBidi"/>
          <w:sz w:val="24"/>
          <w:szCs w:val="24"/>
        </w:rPr>
        <w:t xml:space="preserve">This passage raises an immediate problem: Why does the Gemara need to cite a separate source proscribing the teaching of Torah to </w:t>
      </w:r>
      <w:r w:rsidR="00CE107E" w:rsidRPr="00250798">
        <w:rPr>
          <w:rFonts w:asciiTheme="minorBidi" w:hAnsiTheme="minorBidi" w:cstheme="minorBidi"/>
          <w:sz w:val="24"/>
          <w:szCs w:val="24"/>
        </w:rPr>
        <w:t>non-Jews</w:t>
      </w:r>
      <w:r w:rsidRPr="00250798">
        <w:rPr>
          <w:rFonts w:asciiTheme="minorBidi" w:hAnsiTheme="minorBidi" w:cstheme="minorBidi"/>
          <w:sz w:val="24"/>
          <w:szCs w:val="24"/>
        </w:rPr>
        <w:t xml:space="preserve">? If </w:t>
      </w:r>
      <w:r w:rsidR="009138D2" w:rsidRPr="00250798">
        <w:rPr>
          <w:rFonts w:asciiTheme="minorBidi" w:hAnsiTheme="minorBidi" w:cstheme="minorBidi"/>
          <w:sz w:val="24"/>
          <w:szCs w:val="24"/>
        </w:rPr>
        <w:t>non-Jews are</w:t>
      </w:r>
      <w:r w:rsidRPr="00250798">
        <w:rPr>
          <w:rFonts w:asciiTheme="minorBidi" w:hAnsiTheme="minorBidi" w:cstheme="minorBidi"/>
          <w:sz w:val="24"/>
          <w:szCs w:val="24"/>
        </w:rPr>
        <w:t xml:space="preserve"> barred from Torah study, as we </w:t>
      </w:r>
      <w:r w:rsidR="009138D2" w:rsidRPr="00250798">
        <w:rPr>
          <w:rFonts w:asciiTheme="minorBidi" w:hAnsiTheme="minorBidi" w:cstheme="minorBidi"/>
          <w:sz w:val="24"/>
          <w:szCs w:val="24"/>
        </w:rPr>
        <w:t>see</w:t>
      </w:r>
      <w:r w:rsidRPr="00250798">
        <w:rPr>
          <w:rFonts w:asciiTheme="minorBidi" w:hAnsiTheme="minorBidi" w:cstheme="minorBidi"/>
          <w:sz w:val="24"/>
          <w:szCs w:val="24"/>
        </w:rPr>
        <w:t xml:space="preserve"> in </w:t>
      </w:r>
      <w:r w:rsidR="009346D9" w:rsidRPr="009346D9">
        <w:rPr>
          <w:rFonts w:asciiTheme="minorBidi" w:hAnsiTheme="minorBidi" w:cstheme="minorBidi"/>
          <w:i/>
          <w:sz w:val="24"/>
          <w:szCs w:val="24"/>
        </w:rPr>
        <w:t>Sanhedrin</w:t>
      </w:r>
      <w:r w:rsidRPr="00250798">
        <w:rPr>
          <w:rFonts w:asciiTheme="minorBidi" w:hAnsiTheme="minorBidi" w:cstheme="minorBidi"/>
          <w:sz w:val="24"/>
          <w:szCs w:val="24"/>
        </w:rPr>
        <w:t xml:space="preserve">, it should be prohibited to teach Torah to </w:t>
      </w:r>
      <w:r w:rsidR="00CE107E" w:rsidRPr="00250798">
        <w:rPr>
          <w:rFonts w:asciiTheme="minorBidi" w:hAnsiTheme="minorBidi" w:cstheme="minorBidi"/>
          <w:sz w:val="24"/>
          <w:szCs w:val="24"/>
        </w:rPr>
        <w:t>non-Jews</w:t>
      </w:r>
      <w:r w:rsidRPr="00250798">
        <w:rPr>
          <w:rFonts w:asciiTheme="minorBidi" w:hAnsiTheme="minorBidi" w:cstheme="minorBidi"/>
          <w:sz w:val="24"/>
          <w:szCs w:val="24"/>
        </w:rPr>
        <w:t xml:space="preserve"> on the basis of the prohibition against pla</w:t>
      </w:r>
      <w:r w:rsidR="004C56B3">
        <w:rPr>
          <w:rFonts w:asciiTheme="minorBidi" w:hAnsiTheme="minorBidi" w:cstheme="minorBidi"/>
          <w:sz w:val="24"/>
          <w:szCs w:val="24"/>
        </w:rPr>
        <w:t>cing a (metaphorical) stumbling-</w:t>
      </w:r>
      <w:r w:rsidRPr="00250798">
        <w:rPr>
          <w:rFonts w:asciiTheme="minorBidi" w:hAnsiTheme="minorBidi" w:cstheme="minorBidi"/>
          <w:sz w:val="24"/>
          <w:szCs w:val="24"/>
        </w:rPr>
        <w:t xml:space="preserve">block before a blind person, which applies to a Jew’s interactions with </w:t>
      </w:r>
      <w:r w:rsidR="00CE107E" w:rsidRPr="00250798">
        <w:rPr>
          <w:rFonts w:asciiTheme="minorBidi" w:hAnsiTheme="minorBidi" w:cstheme="minorBidi"/>
          <w:sz w:val="24"/>
          <w:szCs w:val="24"/>
        </w:rPr>
        <w:t>non-Jews</w:t>
      </w:r>
      <w:r w:rsidRPr="00250798">
        <w:rPr>
          <w:rFonts w:asciiTheme="minorBidi" w:hAnsiTheme="minorBidi" w:cstheme="minorBidi"/>
          <w:sz w:val="24"/>
          <w:szCs w:val="24"/>
        </w:rPr>
        <w:t xml:space="preserve"> as well as Jews (see </w:t>
      </w:r>
      <w:r w:rsidRPr="00250798">
        <w:rPr>
          <w:rFonts w:asciiTheme="minorBidi" w:hAnsiTheme="minorBidi" w:cstheme="minorBidi"/>
          <w:i/>
          <w:sz w:val="24"/>
          <w:szCs w:val="24"/>
        </w:rPr>
        <w:t xml:space="preserve">Avoda Zara </w:t>
      </w:r>
      <w:r w:rsidRPr="00250798">
        <w:rPr>
          <w:rFonts w:asciiTheme="minorBidi" w:hAnsiTheme="minorBidi" w:cstheme="minorBidi"/>
          <w:sz w:val="24"/>
          <w:szCs w:val="24"/>
        </w:rPr>
        <w:t xml:space="preserve">6b). </w:t>
      </w:r>
    </w:p>
    <w:p w:rsidR="009138D2" w:rsidRPr="00250798" w:rsidRDefault="009138D2" w:rsidP="00D47EBD">
      <w:pPr>
        <w:spacing w:line="240" w:lineRule="auto"/>
        <w:jc w:val="both"/>
        <w:rPr>
          <w:rFonts w:asciiTheme="minorBidi" w:hAnsiTheme="minorBidi" w:cstheme="minorBidi"/>
          <w:sz w:val="24"/>
          <w:szCs w:val="24"/>
        </w:rPr>
      </w:pPr>
    </w:p>
    <w:p w:rsidR="009138D2" w:rsidRPr="00250798" w:rsidRDefault="00CB40FD" w:rsidP="00D47EBD">
      <w:pPr>
        <w:spacing w:line="240" w:lineRule="auto"/>
        <w:jc w:val="both"/>
        <w:rPr>
          <w:rFonts w:asciiTheme="minorBidi" w:hAnsiTheme="minorBidi" w:cstheme="minorBidi"/>
          <w:sz w:val="24"/>
          <w:szCs w:val="24"/>
        </w:rPr>
      </w:pPr>
      <w:r w:rsidRPr="00250798">
        <w:rPr>
          <w:rFonts w:asciiTheme="minorBidi" w:hAnsiTheme="minorBidi" w:cstheme="minorBidi"/>
          <w:sz w:val="24"/>
          <w:szCs w:val="24"/>
        </w:rPr>
        <w:t>Tosafot (</w:t>
      </w:r>
      <w:r w:rsidR="009346D9" w:rsidRPr="009346D9">
        <w:rPr>
          <w:rFonts w:asciiTheme="minorBidi" w:hAnsiTheme="minorBidi" w:cstheme="minorBidi"/>
          <w:i/>
          <w:sz w:val="24"/>
          <w:szCs w:val="24"/>
        </w:rPr>
        <w:t>Chagiga</w:t>
      </w:r>
      <w:r w:rsidRPr="00250798">
        <w:rPr>
          <w:rFonts w:asciiTheme="minorBidi" w:hAnsiTheme="minorBidi" w:cstheme="minorBidi"/>
          <w:sz w:val="24"/>
          <w:szCs w:val="24"/>
        </w:rPr>
        <w:t xml:space="preserve"> </w:t>
      </w:r>
      <w:r w:rsidR="009138D2" w:rsidRPr="00250798">
        <w:rPr>
          <w:rFonts w:asciiTheme="minorBidi" w:hAnsiTheme="minorBidi" w:cstheme="minorBidi"/>
          <w:sz w:val="24"/>
          <w:szCs w:val="24"/>
        </w:rPr>
        <w:t xml:space="preserve">ad loc. </w:t>
      </w:r>
      <w:r w:rsidRPr="00250798">
        <w:rPr>
          <w:rFonts w:asciiTheme="minorBidi" w:hAnsiTheme="minorBidi" w:cstheme="minorBidi"/>
          <w:sz w:val="24"/>
          <w:szCs w:val="24"/>
        </w:rPr>
        <w:t xml:space="preserve">s.v. </w:t>
      </w:r>
      <w:r w:rsidR="00CE107E" w:rsidRPr="00250798">
        <w:rPr>
          <w:rFonts w:asciiTheme="minorBidi" w:hAnsiTheme="minorBidi" w:cstheme="minorBidi"/>
          <w:i/>
          <w:sz w:val="24"/>
          <w:szCs w:val="24"/>
        </w:rPr>
        <w:t>E</w:t>
      </w:r>
      <w:r w:rsidRPr="00250798">
        <w:rPr>
          <w:rFonts w:asciiTheme="minorBidi" w:hAnsiTheme="minorBidi" w:cstheme="minorBidi"/>
          <w:i/>
          <w:sz w:val="24"/>
          <w:szCs w:val="24"/>
        </w:rPr>
        <w:t>in</w:t>
      </w:r>
      <w:r w:rsidR="009138D2" w:rsidRPr="00250798">
        <w:rPr>
          <w:rFonts w:asciiTheme="minorBidi" w:hAnsiTheme="minorBidi" w:cstheme="minorBidi"/>
          <w:sz w:val="24"/>
          <w:szCs w:val="24"/>
        </w:rPr>
        <w:t>) conclude</w:t>
      </w:r>
      <w:r w:rsidRPr="00250798">
        <w:rPr>
          <w:rFonts w:asciiTheme="minorBidi" w:hAnsiTheme="minorBidi" w:cstheme="minorBidi"/>
          <w:sz w:val="24"/>
          <w:szCs w:val="24"/>
        </w:rPr>
        <w:t xml:space="preserve"> that the </w:t>
      </w:r>
      <w:r w:rsidR="009138D2" w:rsidRPr="00250798">
        <w:rPr>
          <w:rFonts w:asciiTheme="minorBidi" w:hAnsiTheme="minorBidi" w:cstheme="minorBidi"/>
          <w:sz w:val="24"/>
          <w:szCs w:val="24"/>
        </w:rPr>
        <w:t xml:space="preserve">second </w:t>
      </w:r>
      <w:r w:rsidR="00250798" w:rsidRPr="00250798">
        <w:rPr>
          <w:rFonts w:asciiTheme="minorBidi" w:hAnsiTheme="minorBidi" w:cstheme="minorBidi"/>
          <w:i/>
          <w:sz w:val="24"/>
          <w:szCs w:val="24"/>
        </w:rPr>
        <w:t>sugya</w:t>
      </w:r>
      <w:r w:rsidR="009138D2" w:rsidRPr="00250798">
        <w:rPr>
          <w:rFonts w:asciiTheme="minorBidi" w:hAnsiTheme="minorBidi" w:cstheme="minorBidi"/>
          <w:sz w:val="24"/>
          <w:szCs w:val="24"/>
        </w:rPr>
        <w:t xml:space="preserve"> </w:t>
      </w:r>
      <w:r w:rsidR="00250798" w:rsidRPr="00250798">
        <w:rPr>
          <w:rFonts w:asciiTheme="minorBidi" w:hAnsiTheme="minorBidi" w:cstheme="minorBidi"/>
          <w:sz w:val="24"/>
          <w:szCs w:val="24"/>
        </w:rPr>
        <w:t>informs</w:t>
      </w:r>
      <w:r w:rsidR="009138D2" w:rsidRPr="00250798">
        <w:rPr>
          <w:rFonts w:asciiTheme="minorBidi" w:hAnsiTheme="minorBidi" w:cstheme="minorBidi"/>
          <w:sz w:val="24"/>
          <w:szCs w:val="24"/>
        </w:rPr>
        <w:t xml:space="preserve"> us</w:t>
      </w:r>
      <w:r w:rsidRPr="00250798">
        <w:rPr>
          <w:rFonts w:asciiTheme="minorBidi" w:hAnsiTheme="minorBidi" w:cstheme="minorBidi"/>
          <w:sz w:val="24"/>
          <w:szCs w:val="24"/>
        </w:rPr>
        <w:t xml:space="preserve"> that a Jew may not teach Torah to </w:t>
      </w:r>
      <w:r w:rsidR="0045457A" w:rsidRPr="00250798">
        <w:rPr>
          <w:rFonts w:asciiTheme="minorBidi" w:hAnsiTheme="minorBidi" w:cstheme="minorBidi"/>
          <w:sz w:val="24"/>
          <w:szCs w:val="24"/>
        </w:rPr>
        <w:t>a non-Jew</w:t>
      </w:r>
      <w:r w:rsidRPr="00250798">
        <w:rPr>
          <w:rFonts w:asciiTheme="minorBidi" w:hAnsiTheme="minorBidi" w:cstheme="minorBidi"/>
          <w:sz w:val="24"/>
          <w:szCs w:val="24"/>
        </w:rPr>
        <w:t xml:space="preserve"> even when </w:t>
      </w:r>
      <w:r w:rsidR="00973423" w:rsidRPr="00250798">
        <w:rPr>
          <w:rFonts w:asciiTheme="minorBidi" w:hAnsiTheme="minorBidi" w:cstheme="minorBidi"/>
          <w:sz w:val="24"/>
          <w:szCs w:val="24"/>
        </w:rPr>
        <w:t>the stumbling-block</w:t>
      </w:r>
      <w:r w:rsidR="00CE107E" w:rsidRPr="00250798">
        <w:rPr>
          <w:rFonts w:asciiTheme="minorBidi" w:hAnsiTheme="minorBidi" w:cstheme="minorBidi"/>
          <w:sz w:val="24"/>
          <w:szCs w:val="24"/>
        </w:rPr>
        <w:t xml:space="preserve"> </w:t>
      </w:r>
      <w:r w:rsidR="00973423" w:rsidRPr="00250798">
        <w:rPr>
          <w:rFonts w:asciiTheme="minorBidi" w:hAnsiTheme="minorBidi" w:cstheme="minorBidi"/>
          <w:sz w:val="24"/>
          <w:szCs w:val="24"/>
        </w:rPr>
        <w:t xml:space="preserve">prohibition does not apply, for example when there is another non-Jew present who would like to teach him Torah. Since the non-Jew who wishes to learn Torah will </w:t>
      </w:r>
      <w:r w:rsidR="00250798" w:rsidRPr="00250798">
        <w:rPr>
          <w:rFonts w:asciiTheme="minorBidi" w:hAnsiTheme="minorBidi" w:cstheme="minorBidi"/>
          <w:sz w:val="24"/>
          <w:szCs w:val="24"/>
        </w:rPr>
        <w:t>inevitably</w:t>
      </w:r>
      <w:r w:rsidR="00973423" w:rsidRPr="00250798">
        <w:rPr>
          <w:rFonts w:asciiTheme="minorBidi" w:hAnsiTheme="minorBidi" w:cstheme="minorBidi"/>
          <w:sz w:val="24"/>
          <w:szCs w:val="24"/>
        </w:rPr>
        <w:t xml:space="preserve"> find a teacher, one would not be placing a stumbling-block before the blind; nevertheless, the source in </w:t>
      </w:r>
      <w:r w:rsidR="00973423" w:rsidRPr="00250798">
        <w:rPr>
          <w:rFonts w:asciiTheme="minorBidi" w:hAnsiTheme="minorBidi" w:cstheme="minorBidi"/>
          <w:i/>
          <w:iCs/>
          <w:sz w:val="24"/>
          <w:szCs w:val="24"/>
        </w:rPr>
        <w:t>Tehillim</w:t>
      </w:r>
      <w:r w:rsidR="00973423" w:rsidRPr="00250798">
        <w:rPr>
          <w:rFonts w:asciiTheme="minorBidi" w:hAnsiTheme="minorBidi" w:cstheme="minorBidi"/>
          <w:sz w:val="24"/>
          <w:szCs w:val="24"/>
        </w:rPr>
        <w:t xml:space="preserve"> would forbid a Jew from </w:t>
      </w:r>
      <w:r w:rsidR="00250798" w:rsidRPr="00250798">
        <w:rPr>
          <w:rFonts w:asciiTheme="minorBidi" w:hAnsiTheme="minorBidi" w:cstheme="minorBidi"/>
          <w:sz w:val="24"/>
          <w:szCs w:val="24"/>
        </w:rPr>
        <w:t>teaching</w:t>
      </w:r>
      <w:r w:rsidR="00973423" w:rsidRPr="00250798">
        <w:rPr>
          <w:rFonts w:asciiTheme="minorBidi" w:hAnsiTheme="minorBidi" w:cstheme="minorBidi"/>
          <w:sz w:val="24"/>
          <w:szCs w:val="24"/>
        </w:rPr>
        <w:t xml:space="preserve"> </w:t>
      </w:r>
      <w:r w:rsidR="004C56B3">
        <w:rPr>
          <w:rFonts w:asciiTheme="minorBidi" w:hAnsiTheme="minorBidi" w:cstheme="minorBidi"/>
          <w:sz w:val="24"/>
          <w:szCs w:val="24"/>
        </w:rPr>
        <w:t>such a person</w:t>
      </w:r>
      <w:r w:rsidR="00973423" w:rsidRPr="00250798">
        <w:rPr>
          <w:rFonts w:asciiTheme="minorBidi" w:hAnsiTheme="minorBidi" w:cstheme="minorBidi"/>
          <w:sz w:val="24"/>
          <w:szCs w:val="24"/>
        </w:rPr>
        <w:t xml:space="preserve">. </w:t>
      </w:r>
      <w:r w:rsidRPr="00250798">
        <w:rPr>
          <w:rFonts w:asciiTheme="minorBidi" w:hAnsiTheme="minorBidi" w:cstheme="minorBidi"/>
          <w:sz w:val="24"/>
          <w:szCs w:val="24"/>
        </w:rPr>
        <w:t xml:space="preserve">According to Tosafot, then, there are in fact two independent prohibitions that pertain to our topic. For the purposes of our </w:t>
      </w:r>
      <w:r w:rsidR="00874FEC" w:rsidRPr="00250798">
        <w:rPr>
          <w:rFonts w:asciiTheme="minorBidi" w:hAnsiTheme="minorBidi" w:cstheme="minorBidi"/>
          <w:i/>
          <w:sz w:val="24"/>
          <w:szCs w:val="24"/>
        </w:rPr>
        <w:t>shiur</w:t>
      </w:r>
      <w:r w:rsidRPr="00250798">
        <w:rPr>
          <w:rFonts w:asciiTheme="minorBidi" w:hAnsiTheme="minorBidi" w:cstheme="minorBidi"/>
          <w:sz w:val="24"/>
          <w:szCs w:val="24"/>
        </w:rPr>
        <w:t xml:space="preserve">, we will not draw a sharp distinction between the two. Still, it is worthwhile to bear Tosafot’s distinction in the back of our minds. </w:t>
      </w:r>
    </w:p>
    <w:p w:rsidR="009138D2" w:rsidRPr="00250798" w:rsidRDefault="009138D2" w:rsidP="00D47EBD">
      <w:pPr>
        <w:spacing w:line="240" w:lineRule="auto"/>
        <w:jc w:val="both"/>
        <w:rPr>
          <w:rFonts w:asciiTheme="minorBidi" w:hAnsiTheme="minorBidi" w:cstheme="minorBidi"/>
          <w:sz w:val="24"/>
          <w:szCs w:val="24"/>
        </w:rPr>
      </w:pPr>
    </w:p>
    <w:p w:rsidR="00CB40FD" w:rsidRPr="00250798" w:rsidRDefault="00CB40FD" w:rsidP="00D47EBD">
      <w:pPr>
        <w:spacing w:line="240" w:lineRule="auto"/>
        <w:jc w:val="both"/>
        <w:rPr>
          <w:rFonts w:asciiTheme="minorBidi" w:hAnsiTheme="minorBidi" w:cstheme="minorBidi"/>
          <w:sz w:val="24"/>
          <w:szCs w:val="24"/>
        </w:rPr>
      </w:pPr>
      <w:r w:rsidRPr="00250798">
        <w:rPr>
          <w:rFonts w:asciiTheme="minorBidi" w:hAnsiTheme="minorBidi" w:cstheme="minorBidi"/>
          <w:sz w:val="24"/>
          <w:szCs w:val="24"/>
        </w:rPr>
        <w:t xml:space="preserve">It is also worth noting that Rambam appears to reject this distinction; he </w:t>
      </w:r>
      <w:r w:rsidR="00973423" w:rsidRPr="00250798">
        <w:rPr>
          <w:rFonts w:asciiTheme="minorBidi" w:hAnsiTheme="minorBidi" w:cstheme="minorBidi"/>
          <w:sz w:val="24"/>
          <w:szCs w:val="24"/>
          <w:lang w:val="en-US"/>
        </w:rPr>
        <w:t xml:space="preserve">cites </w:t>
      </w:r>
      <w:r w:rsidRPr="00250798">
        <w:rPr>
          <w:rFonts w:asciiTheme="minorBidi" w:hAnsiTheme="minorBidi" w:cstheme="minorBidi"/>
          <w:sz w:val="24"/>
          <w:szCs w:val="24"/>
        </w:rPr>
        <w:t xml:space="preserve">only </w:t>
      </w:r>
      <w:r w:rsidR="00973423" w:rsidRPr="00250798">
        <w:rPr>
          <w:rFonts w:asciiTheme="minorBidi" w:hAnsiTheme="minorBidi" w:cstheme="minorBidi"/>
          <w:sz w:val="24"/>
          <w:szCs w:val="24"/>
        </w:rPr>
        <w:t xml:space="preserve">the line from </w:t>
      </w:r>
      <w:r w:rsidR="009346D9" w:rsidRPr="009346D9">
        <w:rPr>
          <w:rFonts w:asciiTheme="minorBidi" w:hAnsiTheme="minorBidi" w:cstheme="minorBidi"/>
          <w:i/>
          <w:sz w:val="24"/>
          <w:szCs w:val="24"/>
        </w:rPr>
        <w:t>Sanhedrin</w:t>
      </w:r>
      <w:r w:rsidR="00973423" w:rsidRPr="00250798">
        <w:rPr>
          <w:rFonts w:asciiTheme="minorBidi" w:hAnsiTheme="minorBidi" w:cstheme="minorBidi"/>
          <w:sz w:val="24"/>
          <w:szCs w:val="24"/>
        </w:rPr>
        <w:t xml:space="preserve"> </w:t>
      </w:r>
      <w:r w:rsidRPr="00250798">
        <w:rPr>
          <w:rFonts w:asciiTheme="minorBidi" w:hAnsiTheme="minorBidi" w:cstheme="minorBidi"/>
          <w:sz w:val="24"/>
          <w:szCs w:val="24"/>
        </w:rPr>
        <w:t>(</w:t>
      </w:r>
      <w:r w:rsidRPr="00250798">
        <w:rPr>
          <w:rFonts w:asciiTheme="minorBidi" w:hAnsiTheme="minorBidi" w:cstheme="minorBidi"/>
          <w:i/>
          <w:sz w:val="24"/>
          <w:szCs w:val="24"/>
        </w:rPr>
        <w:t>Hilkhot Melakhim</w:t>
      </w:r>
      <w:r w:rsidRPr="00250798">
        <w:rPr>
          <w:rFonts w:asciiTheme="minorBidi" w:hAnsiTheme="minorBidi" w:cstheme="minorBidi"/>
          <w:sz w:val="24"/>
          <w:szCs w:val="24"/>
        </w:rPr>
        <w:t xml:space="preserve"> 10:9). While he does mention in another </w:t>
      </w:r>
      <w:r w:rsidRPr="00250798">
        <w:rPr>
          <w:rFonts w:asciiTheme="minorBidi" w:hAnsiTheme="minorBidi" w:cstheme="minorBidi"/>
          <w:i/>
          <w:sz w:val="24"/>
          <w:szCs w:val="24"/>
        </w:rPr>
        <w:t>halakha</w:t>
      </w:r>
      <w:r w:rsidRPr="00250798">
        <w:rPr>
          <w:rFonts w:asciiTheme="minorBidi" w:hAnsiTheme="minorBidi" w:cstheme="minorBidi"/>
          <w:sz w:val="24"/>
          <w:szCs w:val="24"/>
        </w:rPr>
        <w:t xml:space="preserve"> that a Jew may not teach Torah to </w:t>
      </w:r>
      <w:r w:rsidR="0045457A" w:rsidRPr="00250798">
        <w:rPr>
          <w:rFonts w:asciiTheme="minorBidi" w:hAnsiTheme="minorBidi" w:cstheme="minorBidi"/>
          <w:sz w:val="24"/>
          <w:szCs w:val="24"/>
        </w:rPr>
        <w:t>a non-Jew</w:t>
      </w:r>
      <w:r w:rsidR="00973423" w:rsidRPr="00250798">
        <w:rPr>
          <w:rFonts w:asciiTheme="minorBidi" w:hAnsiTheme="minorBidi" w:cstheme="minorBidi"/>
          <w:sz w:val="24"/>
          <w:szCs w:val="24"/>
        </w:rPr>
        <w:t>ish</w:t>
      </w:r>
      <w:r w:rsidRPr="00250798">
        <w:rPr>
          <w:rFonts w:asciiTheme="minorBidi" w:hAnsiTheme="minorBidi" w:cstheme="minorBidi"/>
          <w:sz w:val="24"/>
          <w:szCs w:val="24"/>
        </w:rPr>
        <w:t xml:space="preserve"> slave</w:t>
      </w:r>
      <w:r w:rsidR="0018598E" w:rsidRPr="00250798">
        <w:rPr>
          <w:rFonts w:asciiTheme="minorBidi" w:hAnsiTheme="minorBidi" w:cstheme="minorBidi"/>
          <w:sz w:val="24"/>
          <w:szCs w:val="24"/>
          <w:lang w:val="en-US"/>
        </w:rPr>
        <w:t xml:space="preserve"> (</w:t>
      </w:r>
      <w:r w:rsidR="004C56B3" w:rsidRPr="004C56B3">
        <w:rPr>
          <w:rFonts w:asciiTheme="minorBidi" w:hAnsiTheme="minorBidi" w:cstheme="minorBidi"/>
          <w:i/>
          <w:iCs/>
          <w:sz w:val="24"/>
          <w:szCs w:val="24"/>
          <w:lang w:val="en-US"/>
        </w:rPr>
        <w:t>Hilkhot Avadim</w:t>
      </w:r>
      <w:r w:rsidR="004C56B3">
        <w:rPr>
          <w:rFonts w:asciiTheme="minorBidi" w:hAnsiTheme="minorBidi" w:cstheme="minorBidi"/>
          <w:sz w:val="24"/>
          <w:szCs w:val="24"/>
          <w:lang w:val="en-US"/>
        </w:rPr>
        <w:t xml:space="preserve"> 8:18; </w:t>
      </w:r>
      <w:r w:rsidR="0018598E" w:rsidRPr="00250798">
        <w:rPr>
          <w:rFonts w:asciiTheme="minorBidi" w:hAnsiTheme="minorBidi" w:cstheme="minorBidi"/>
          <w:sz w:val="24"/>
          <w:szCs w:val="24"/>
          <w:lang w:val="en-US"/>
        </w:rPr>
        <w:t xml:space="preserve">this law is cited in </w:t>
      </w:r>
      <w:r w:rsidR="0018598E" w:rsidRPr="004C56B3">
        <w:rPr>
          <w:rFonts w:asciiTheme="minorBidi" w:hAnsiTheme="minorBidi" w:cstheme="minorBidi"/>
          <w:i/>
          <w:iCs/>
          <w:sz w:val="24"/>
          <w:szCs w:val="24"/>
          <w:lang w:val="en-US"/>
        </w:rPr>
        <w:t>Shulchan Arukh</w:t>
      </w:r>
      <w:r w:rsidR="0018598E" w:rsidRPr="00250798">
        <w:rPr>
          <w:rFonts w:asciiTheme="minorBidi" w:hAnsiTheme="minorBidi" w:cstheme="minorBidi"/>
          <w:sz w:val="24"/>
          <w:szCs w:val="24"/>
          <w:lang w:val="en-US"/>
        </w:rPr>
        <w:t xml:space="preserve"> as well</w:t>
      </w:r>
      <w:r w:rsidR="004C56B3">
        <w:rPr>
          <w:rFonts w:asciiTheme="minorBidi" w:hAnsiTheme="minorBidi" w:cstheme="minorBidi"/>
          <w:sz w:val="24"/>
          <w:szCs w:val="24"/>
          <w:lang w:val="en-US"/>
        </w:rPr>
        <w:t xml:space="preserve">, </w:t>
      </w:r>
      <w:r w:rsidR="004C56B3" w:rsidRPr="004C56B3">
        <w:rPr>
          <w:rFonts w:asciiTheme="minorBidi" w:hAnsiTheme="minorBidi" w:cstheme="minorBidi"/>
          <w:i/>
          <w:iCs/>
          <w:sz w:val="24"/>
          <w:szCs w:val="24"/>
          <w:lang w:val="en-US"/>
        </w:rPr>
        <w:t>YD</w:t>
      </w:r>
      <w:r w:rsidR="004C56B3">
        <w:rPr>
          <w:rFonts w:asciiTheme="minorBidi" w:hAnsiTheme="minorBidi" w:cstheme="minorBidi"/>
          <w:sz w:val="24"/>
          <w:szCs w:val="24"/>
          <w:lang w:val="en-US"/>
        </w:rPr>
        <w:t xml:space="preserve"> 267:71</w:t>
      </w:r>
      <w:r w:rsidR="0018598E" w:rsidRPr="00250798">
        <w:rPr>
          <w:rFonts w:asciiTheme="minorBidi" w:hAnsiTheme="minorBidi" w:cstheme="minorBidi"/>
          <w:sz w:val="24"/>
          <w:szCs w:val="24"/>
          <w:lang w:val="en-US"/>
        </w:rPr>
        <w:t>)</w:t>
      </w:r>
      <w:r w:rsidRPr="00250798">
        <w:rPr>
          <w:rFonts w:asciiTheme="minorBidi" w:hAnsiTheme="minorBidi" w:cstheme="minorBidi"/>
          <w:sz w:val="24"/>
          <w:szCs w:val="24"/>
        </w:rPr>
        <w:t>, there is no indication in Rambam’s treatment of our subject that this is to be viewed as a distinct prohibitio</w:t>
      </w:r>
      <w:r w:rsidR="0018598E" w:rsidRPr="00250798">
        <w:rPr>
          <w:rFonts w:asciiTheme="minorBidi" w:hAnsiTheme="minorBidi" w:cstheme="minorBidi"/>
          <w:sz w:val="24"/>
          <w:szCs w:val="24"/>
        </w:rPr>
        <w:t>n of teaching a non-Jew Torah.</w:t>
      </w:r>
      <w:r w:rsidRPr="00250798">
        <w:rPr>
          <w:rFonts w:asciiTheme="minorBidi" w:hAnsiTheme="minorBidi" w:cstheme="minorBidi"/>
          <w:sz w:val="24"/>
          <w:szCs w:val="24"/>
        </w:rPr>
        <w:t xml:space="preserve"> </w:t>
      </w:r>
    </w:p>
    <w:p w:rsidR="00CB40FD" w:rsidRPr="00250798" w:rsidRDefault="00CB40FD" w:rsidP="00D47EBD">
      <w:pPr>
        <w:spacing w:line="240" w:lineRule="auto"/>
        <w:jc w:val="both"/>
        <w:rPr>
          <w:rFonts w:asciiTheme="minorBidi" w:hAnsiTheme="minorBidi" w:cstheme="minorBidi"/>
          <w:sz w:val="24"/>
          <w:szCs w:val="24"/>
        </w:rPr>
      </w:pPr>
    </w:p>
    <w:p w:rsidR="004C56B3" w:rsidRDefault="00CB40FD" w:rsidP="00D47EBD">
      <w:pPr>
        <w:spacing w:line="240" w:lineRule="auto"/>
        <w:jc w:val="both"/>
        <w:rPr>
          <w:rFonts w:asciiTheme="minorBidi" w:hAnsiTheme="minorBidi" w:cstheme="minorBidi"/>
          <w:sz w:val="24"/>
          <w:szCs w:val="24"/>
        </w:rPr>
      </w:pPr>
      <w:r w:rsidRPr="00250798">
        <w:rPr>
          <w:rFonts w:asciiTheme="minorBidi" w:hAnsiTheme="minorBidi" w:cstheme="minorBidi"/>
          <w:sz w:val="24"/>
          <w:szCs w:val="24"/>
        </w:rPr>
        <w:t xml:space="preserve">What is the reasoning for the prohibition against </w:t>
      </w:r>
      <w:r w:rsidR="0018598E" w:rsidRPr="00250798">
        <w:rPr>
          <w:rFonts w:asciiTheme="minorBidi" w:hAnsiTheme="minorBidi" w:cstheme="minorBidi"/>
          <w:sz w:val="24"/>
          <w:szCs w:val="24"/>
        </w:rPr>
        <w:t>Torah study by a</w:t>
      </w:r>
      <w:r w:rsidR="0045457A" w:rsidRPr="00250798">
        <w:rPr>
          <w:rFonts w:asciiTheme="minorBidi" w:hAnsiTheme="minorBidi" w:cstheme="minorBidi"/>
          <w:sz w:val="24"/>
          <w:szCs w:val="24"/>
        </w:rPr>
        <w:t xml:space="preserve"> non-Jew</w:t>
      </w:r>
      <w:r w:rsidRPr="00250798">
        <w:rPr>
          <w:rFonts w:asciiTheme="minorBidi" w:hAnsiTheme="minorBidi" w:cstheme="minorBidi"/>
          <w:sz w:val="24"/>
          <w:szCs w:val="24"/>
        </w:rPr>
        <w:t>? We may point to two basic schools of thought. Sometimes partly mot</w:t>
      </w:r>
      <w:r w:rsidR="004C56B3">
        <w:rPr>
          <w:rFonts w:asciiTheme="minorBidi" w:hAnsiTheme="minorBidi" w:cstheme="minorBidi"/>
          <w:sz w:val="24"/>
          <w:szCs w:val="24"/>
        </w:rPr>
        <w:t>ivated by a desire to legitimize</w:t>
      </w:r>
      <w:r w:rsidRPr="00250798">
        <w:rPr>
          <w:rFonts w:asciiTheme="minorBidi" w:hAnsiTheme="minorBidi" w:cstheme="minorBidi"/>
          <w:sz w:val="24"/>
          <w:szCs w:val="24"/>
        </w:rPr>
        <w:t xml:space="preserve"> contemporary practice, some seek to offer more technical or extrinsic explanations. Meiri (</w:t>
      </w:r>
      <w:r w:rsidR="009346D9" w:rsidRPr="009346D9">
        <w:rPr>
          <w:rFonts w:asciiTheme="minorBidi" w:hAnsiTheme="minorBidi" w:cstheme="minorBidi"/>
          <w:i/>
          <w:sz w:val="24"/>
          <w:szCs w:val="24"/>
        </w:rPr>
        <w:t>Sanhedrin</w:t>
      </w:r>
      <w:r w:rsidRPr="00250798">
        <w:rPr>
          <w:rFonts w:asciiTheme="minorBidi" w:hAnsiTheme="minorBidi" w:cstheme="minorBidi"/>
          <w:i/>
          <w:sz w:val="24"/>
          <w:szCs w:val="24"/>
        </w:rPr>
        <w:t xml:space="preserve"> </w:t>
      </w:r>
      <w:r w:rsidR="0018598E" w:rsidRPr="00250798">
        <w:rPr>
          <w:rFonts w:asciiTheme="minorBidi" w:hAnsiTheme="minorBidi" w:cstheme="minorBidi"/>
          <w:sz w:val="24"/>
          <w:szCs w:val="24"/>
        </w:rPr>
        <w:t>ad loc. s</w:t>
      </w:r>
      <w:r w:rsidRPr="00250798">
        <w:rPr>
          <w:rFonts w:asciiTheme="minorBidi" w:hAnsiTheme="minorBidi" w:cstheme="minorBidi"/>
          <w:sz w:val="24"/>
          <w:szCs w:val="24"/>
        </w:rPr>
        <w:t xml:space="preserve">.v. </w:t>
      </w:r>
      <w:r w:rsidR="0018598E" w:rsidRPr="00250798">
        <w:rPr>
          <w:rFonts w:asciiTheme="minorBidi" w:hAnsiTheme="minorBidi" w:cstheme="minorBidi"/>
          <w:i/>
          <w:sz w:val="24"/>
          <w:szCs w:val="24"/>
        </w:rPr>
        <w:t>B</w:t>
      </w:r>
      <w:r w:rsidRPr="00250798">
        <w:rPr>
          <w:rFonts w:asciiTheme="minorBidi" w:hAnsiTheme="minorBidi" w:cstheme="minorBidi"/>
          <w:i/>
          <w:sz w:val="24"/>
          <w:szCs w:val="24"/>
        </w:rPr>
        <w:t>en Noach</w:t>
      </w:r>
      <w:r w:rsidRPr="00250798">
        <w:rPr>
          <w:rFonts w:asciiTheme="minorBidi" w:hAnsiTheme="minorBidi" w:cstheme="minorBidi"/>
          <w:sz w:val="24"/>
          <w:szCs w:val="24"/>
        </w:rPr>
        <w:t xml:space="preserve">) contends that there is no intrinsic prohibition. Instead, </w:t>
      </w:r>
      <w:r w:rsidR="0018598E" w:rsidRPr="00250798">
        <w:rPr>
          <w:rFonts w:asciiTheme="minorBidi" w:hAnsiTheme="minorBidi" w:cstheme="minorBidi"/>
          <w:sz w:val="24"/>
          <w:szCs w:val="24"/>
        </w:rPr>
        <w:t xml:space="preserve">the reason a non-Jew may not study Torah is that the Jewish </w:t>
      </w:r>
      <w:r w:rsidR="00250798" w:rsidRPr="00250798">
        <w:rPr>
          <w:rFonts w:asciiTheme="minorBidi" w:hAnsiTheme="minorBidi" w:cstheme="minorBidi"/>
          <w:sz w:val="24"/>
          <w:szCs w:val="24"/>
        </w:rPr>
        <w:t>community</w:t>
      </w:r>
      <w:r w:rsidR="0018598E" w:rsidRPr="00250798">
        <w:rPr>
          <w:rFonts w:asciiTheme="minorBidi" w:hAnsiTheme="minorBidi" w:cstheme="minorBidi"/>
          <w:sz w:val="24"/>
          <w:szCs w:val="24"/>
        </w:rPr>
        <w:t xml:space="preserve"> may think that this </w:t>
      </w:r>
      <w:r w:rsidR="00250798" w:rsidRPr="00250798">
        <w:rPr>
          <w:rFonts w:asciiTheme="minorBidi" w:hAnsiTheme="minorBidi" w:cstheme="minorBidi"/>
          <w:sz w:val="24"/>
          <w:szCs w:val="24"/>
        </w:rPr>
        <w:t>induvial</w:t>
      </w:r>
      <w:r w:rsidR="0018598E" w:rsidRPr="00250798">
        <w:rPr>
          <w:rFonts w:asciiTheme="minorBidi" w:hAnsiTheme="minorBidi" w:cstheme="minorBidi"/>
          <w:sz w:val="24"/>
          <w:szCs w:val="24"/>
        </w:rPr>
        <w:t xml:space="preserve"> is in fact Jewish “and will </w:t>
      </w:r>
      <w:r w:rsidRPr="00250798">
        <w:rPr>
          <w:rFonts w:asciiTheme="minorBidi" w:hAnsiTheme="minorBidi" w:cstheme="minorBidi"/>
          <w:sz w:val="24"/>
          <w:szCs w:val="24"/>
        </w:rPr>
        <w:t xml:space="preserve">come to err in following </w:t>
      </w:r>
      <w:r w:rsidR="0018598E" w:rsidRPr="00250798">
        <w:rPr>
          <w:rFonts w:asciiTheme="minorBidi" w:hAnsiTheme="minorBidi" w:cstheme="minorBidi"/>
          <w:sz w:val="24"/>
          <w:szCs w:val="24"/>
        </w:rPr>
        <w:t>t</w:t>
      </w:r>
      <w:r w:rsidRPr="00250798">
        <w:rPr>
          <w:rFonts w:asciiTheme="minorBidi" w:hAnsiTheme="minorBidi" w:cstheme="minorBidi"/>
          <w:sz w:val="24"/>
          <w:szCs w:val="24"/>
        </w:rPr>
        <w:t xml:space="preserve">his </w:t>
      </w:r>
      <w:r w:rsidR="0018598E" w:rsidRPr="00250798">
        <w:rPr>
          <w:rFonts w:asciiTheme="minorBidi" w:hAnsiTheme="minorBidi" w:cstheme="minorBidi"/>
          <w:sz w:val="24"/>
          <w:szCs w:val="24"/>
        </w:rPr>
        <w:t xml:space="preserve">one’s </w:t>
      </w:r>
      <w:r w:rsidRPr="00250798">
        <w:rPr>
          <w:rFonts w:asciiTheme="minorBidi" w:hAnsiTheme="minorBidi" w:cstheme="minorBidi"/>
          <w:sz w:val="24"/>
          <w:szCs w:val="24"/>
        </w:rPr>
        <w:t xml:space="preserve">ways.” In other words, Jews will be misled regarding matters of halakhic practice because they incorrectly assume the learned individual is a practicing Jew. </w:t>
      </w:r>
    </w:p>
    <w:p w:rsidR="004C56B3" w:rsidRDefault="004C56B3" w:rsidP="00D47EBD">
      <w:pPr>
        <w:spacing w:line="240" w:lineRule="auto"/>
        <w:jc w:val="both"/>
        <w:rPr>
          <w:rFonts w:asciiTheme="minorBidi" w:hAnsiTheme="minorBidi" w:cstheme="minorBidi"/>
          <w:sz w:val="24"/>
          <w:szCs w:val="24"/>
        </w:rPr>
      </w:pPr>
    </w:p>
    <w:p w:rsidR="00CB40FD" w:rsidRPr="00250798" w:rsidRDefault="00CB40FD" w:rsidP="00D47EBD">
      <w:pPr>
        <w:spacing w:line="240" w:lineRule="auto"/>
        <w:jc w:val="both"/>
        <w:rPr>
          <w:rFonts w:asciiTheme="minorBidi" w:hAnsiTheme="minorBidi" w:cstheme="minorBidi"/>
          <w:sz w:val="24"/>
          <w:szCs w:val="24"/>
        </w:rPr>
      </w:pPr>
      <w:r w:rsidRPr="00250798">
        <w:rPr>
          <w:rFonts w:asciiTheme="minorBidi" w:hAnsiTheme="minorBidi" w:cstheme="minorBidi"/>
          <w:sz w:val="24"/>
          <w:szCs w:val="24"/>
        </w:rPr>
        <w:t>Similarly, R. Yechiel Weinberg (</w:t>
      </w:r>
      <w:r w:rsidRPr="00250798">
        <w:rPr>
          <w:rFonts w:asciiTheme="minorBidi" w:hAnsiTheme="minorBidi" w:cstheme="minorBidi"/>
          <w:i/>
          <w:sz w:val="24"/>
          <w:szCs w:val="24"/>
        </w:rPr>
        <w:t xml:space="preserve">Seridei </w:t>
      </w:r>
      <w:r w:rsidR="00CE107E" w:rsidRPr="00250798">
        <w:rPr>
          <w:rFonts w:asciiTheme="minorBidi" w:hAnsiTheme="minorBidi" w:cstheme="minorBidi"/>
          <w:i/>
          <w:sz w:val="24"/>
          <w:szCs w:val="24"/>
        </w:rPr>
        <w:t>Esh</w:t>
      </w:r>
      <w:r w:rsidRPr="00250798">
        <w:rPr>
          <w:rFonts w:asciiTheme="minorBidi" w:hAnsiTheme="minorBidi" w:cstheme="minorBidi"/>
          <w:sz w:val="24"/>
          <w:szCs w:val="24"/>
        </w:rPr>
        <w:t xml:space="preserve"> 2:56) </w:t>
      </w:r>
      <w:r w:rsidR="00250798" w:rsidRPr="00250798">
        <w:rPr>
          <w:rFonts w:asciiTheme="minorBidi" w:hAnsiTheme="minorBidi" w:cstheme="minorBidi"/>
          <w:sz w:val="24"/>
          <w:szCs w:val="24"/>
        </w:rPr>
        <w:t>interprets</w:t>
      </w:r>
      <w:r w:rsidR="0018598E" w:rsidRPr="00250798">
        <w:rPr>
          <w:rFonts w:asciiTheme="minorBidi" w:hAnsiTheme="minorBidi" w:cstheme="minorBidi"/>
          <w:sz w:val="24"/>
          <w:szCs w:val="24"/>
        </w:rPr>
        <w:t xml:space="preserve"> the view of the </w:t>
      </w:r>
      <w:r w:rsidRPr="00250798">
        <w:rPr>
          <w:rFonts w:asciiTheme="minorBidi" w:hAnsiTheme="minorBidi" w:cstheme="minorBidi"/>
          <w:sz w:val="24"/>
          <w:szCs w:val="24"/>
        </w:rPr>
        <w:t xml:space="preserve">Rambam as </w:t>
      </w:r>
      <w:r w:rsidR="0018598E" w:rsidRPr="00250798">
        <w:rPr>
          <w:rFonts w:asciiTheme="minorBidi" w:hAnsiTheme="minorBidi" w:cstheme="minorBidi"/>
          <w:sz w:val="24"/>
          <w:szCs w:val="24"/>
        </w:rPr>
        <w:t>seeing the</w:t>
      </w:r>
      <w:r w:rsidRPr="00250798">
        <w:rPr>
          <w:rFonts w:asciiTheme="minorBidi" w:hAnsiTheme="minorBidi" w:cstheme="minorBidi"/>
          <w:sz w:val="24"/>
          <w:szCs w:val="24"/>
        </w:rPr>
        <w:t xml:space="preserve"> prohibition against Torah study as part of a larger ban against </w:t>
      </w:r>
      <w:r w:rsidR="00CE107E" w:rsidRPr="00250798">
        <w:rPr>
          <w:rFonts w:asciiTheme="minorBidi" w:hAnsiTheme="minorBidi" w:cstheme="minorBidi"/>
          <w:sz w:val="24"/>
          <w:szCs w:val="24"/>
        </w:rPr>
        <w:t>non-Jews</w:t>
      </w:r>
      <w:r w:rsidRPr="00250798">
        <w:rPr>
          <w:rFonts w:asciiTheme="minorBidi" w:hAnsiTheme="minorBidi" w:cstheme="minorBidi"/>
          <w:sz w:val="24"/>
          <w:szCs w:val="24"/>
        </w:rPr>
        <w:t xml:space="preserve"> who seek to establis</w:t>
      </w:r>
      <w:r w:rsidR="0018598E" w:rsidRPr="00250798">
        <w:rPr>
          <w:rFonts w:asciiTheme="minorBidi" w:hAnsiTheme="minorBidi" w:cstheme="minorBidi"/>
          <w:sz w:val="24"/>
          <w:szCs w:val="24"/>
        </w:rPr>
        <w:t>h a new, independent religion. I</w:t>
      </w:r>
      <w:r w:rsidRPr="00250798">
        <w:rPr>
          <w:rFonts w:asciiTheme="minorBidi" w:hAnsiTheme="minorBidi" w:cstheme="minorBidi"/>
          <w:sz w:val="24"/>
          <w:szCs w:val="24"/>
        </w:rPr>
        <w:t xml:space="preserve">n this view, if the </w:t>
      </w:r>
      <w:r w:rsidR="0018598E" w:rsidRPr="00250798">
        <w:rPr>
          <w:rFonts w:asciiTheme="minorBidi" w:hAnsiTheme="minorBidi" w:cstheme="minorBidi"/>
          <w:sz w:val="24"/>
          <w:szCs w:val="24"/>
        </w:rPr>
        <w:t>non-Jew</w:t>
      </w:r>
      <w:r w:rsidRPr="00250798">
        <w:rPr>
          <w:rFonts w:asciiTheme="minorBidi" w:hAnsiTheme="minorBidi" w:cstheme="minorBidi"/>
          <w:sz w:val="24"/>
          <w:szCs w:val="24"/>
        </w:rPr>
        <w:t xml:space="preserve"> studies merely in order to understand the precepts of Judaism, the prohibition is inapplicable. </w:t>
      </w:r>
    </w:p>
    <w:p w:rsidR="00CB40FD" w:rsidRPr="00250798" w:rsidRDefault="00CB40FD" w:rsidP="00D47EBD">
      <w:pPr>
        <w:spacing w:line="240" w:lineRule="auto"/>
        <w:jc w:val="both"/>
        <w:rPr>
          <w:rFonts w:asciiTheme="minorBidi" w:hAnsiTheme="minorBidi" w:cstheme="minorBidi"/>
          <w:sz w:val="24"/>
          <w:szCs w:val="24"/>
        </w:rPr>
      </w:pPr>
    </w:p>
    <w:p w:rsidR="00CB40FD" w:rsidRPr="00250798" w:rsidRDefault="0018598E" w:rsidP="00D47EBD">
      <w:pPr>
        <w:spacing w:line="240" w:lineRule="auto"/>
        <w:jc w:val="both"/>
        <w:rPr>
          <w:rFonts w:asciiTheme="minorBidi" w:hAnsiTheme="minorBidi" w:cstheme="minorBidi"/>
          <w:sz w:val="24"/>
          <w:szCs w:val="24"/>
        </w:rPr>
      </w:pPr>
      <w:r w:rsidRPr="00250798">
        <w:rPr>
          <w:rFonts w:asciiTheme="minorBidi" w:hAnsiTheme="minorBidi" w:cstheme="minorBidi"/>
          <w:sz w:val="24"/>
          <w:szCs w:val="24"/>
        </w:rPr>
        <w:t xml:space="preserve">This approach is </w:t>
      </w:r>
      <w:r w:rsidR="00250798" w:rsidRPr="00250798">
        <w:rPr>
          <w:rFonts w:asciiTheme="minorBidi" w:hAnsiTheme="minorBidi" w:cstheme="minorBidi"/>
          <w:sz w:val="24"/>
          <w:szCs w:val="24"/>
        </w:rPr>
        <w:t>supported</w:t>
      </w:r>
      <w:r w:rsidRPr="00250798">
        <w:rPr>
          <w:rFonts w:asciiTheme="minorBidi" w:hAnsiTheme="minorBidi" w:cstheme="minorBidi"/>
          <w:sz w:val="24"/>
          <w:szCs w:val="24"/>
        </w:rPr>
        <w:t xml:space="preserve"> by a striking ruling of Rambam (Responsum</w:t>
      </w:r>
      <w:r w:rsidR="00CB40FD" w:rsidRPr="00250798">
        <w:rPr>
          <w:rFonts w:asciiTheme="minorBidi" w:hAnsiTheme="minorBidi" w:cstheme="minorBidi"/>
          <w:sz w:val="24"/>
          <w:szCs w:val="24"/>
        </w:rPr>
        <w:t xml:space="preserve"> </w:t>
      </w:r>
      <w:r w:rsidRPr="00250798">
        <w:rPr>
          <w:rFonts w:asciiTheme="minorBidi" w:hAnsiTheme="minorBidi" w:cstheme="minorBidi"/>
          <w:sz w:val="24"/>
          <w:szCs w:val="24"/>
        </w:rPr>
        <w:t>#</w:t>
      </w:r>
      <w:r w:rsidR="00CB40FD" w:rsidRPr="00250798">
        <w:rPr>
          <w:rFonts w:asciiTheme="minorBidi" w:hAnsiTheme="minorBidi" w:cstheme="minorBidi"/>
          <w:sz w:val="24"/>
          <w:szCs w:val="24"/>
        </w:rPr>
        <w:t>249,</w:t>
      </w:r>
      <w:r w:rsidRPr="00250798">
        <w:rPr>
          <w:rFonts w:asciiTheme="minorBidi" w:hAnsiTheme="minorBidi" w:cstheme="minorBidi"/>
          <w:sz w:val="24"/>
          <w:szCs w:val="24"/>
        </w:rPr>
        <w:t xml:space="preserve"> Blau Edition): </w:t>
      </w:r>
      <w:r w:rsidR="00CB40FD" w:rsidRPr="00250798">
        <w:rPr>
          <w:rFonts w:asciiTheme="minorBidi" w:hAnsiTheme="minorBidi" w:cstheme="minorBidi"/>
          <w:sz w:val="24"/>
          <w:szCs w:val="24"/>
        </w:rPr>
        <w:t>one may teach Torah to Christians but not Muslims. His argument is that whereas the Christians accept the</w:t>
      </w:r>
      <w:r w:rsidRPr="00250798">
        <w:rPr>
          <w:rFonts w:asciiTheme="minorBidi" w:hAnsiTheme="minorBidi" w:cstheme="minorBidi"/>
          <w:sz w:val="24"/>
          <w:szCs w:val="24"/>
        </w:rPr>
        <w:t xml:space="preserve"> divine authority of </w:t>
      </w:r>
      <w:r w:rsidRPr="00250798">
        <w:rPr>
          <w:rFonts w:asciiTheme="minorBidi" w:hAnsiTheme="minorBidi" w:cstheme="minorBidi"/>
          <w:i/>
          <w:iCs/>
          <w:sz w:val="24"/>
          <w:szCs w:val="24"/>
        </w:rPr>
        <w:t>Tanakh</w:t>
      </w:r>
      <w:r w:rsidR="00CB40FD" w:rsidRPr="00250798">
        <w:rPr>
          <w:rFonts w:asciiTheme="minorBidi" w:hAnsiTheme="minorBidi" w:cstheme="minorBidi"/>
          <w:sz w:val="24"/>
          <w:szCs w:val="24"/>
        </w:rPr>
        <w:t>, Muslims do not. Therefore, when teaching Torah to Muslims, they are more likely to challenge the basic teachings of the Torah, thereby undermining Jews’ faith. This distinction</w:t>
      </w:r>
      <w:r w:rsidRPr="00250798">
        <w:rPr>
          <w:rFonts w:asciiTheme="minorBidi" w:hAnsiTheme="minorBidi" w:cstheme="minorBidi"/>
          <w:sz w:val="24"/>
          <w:szCs w:val="24"/>
        </w:rPr>
        <w:t xml:space="preserve"> —wh</w:t>
      </w:r>
      <w:r w:rsidR="00CB40FD" w:rsidRPr="00250798">
        <w:rPr>
          <w:rFonts w:asciiTheme="minorBidi" w:hAnsiTheme="minorBidi" w:cstheme="minorBidi"/>
          <w:sz w:val="24"/>
          <w:szCs w:val="24"/>
        </w:rPr>
        <w:t xml:space="preserve">ich is hotly debated and may </w:t>
      </w:r>
      <w:r w:rsidRPr="00250798">
        <w:rPr>
          <w:rFonts w:asciiTheme="minorBidi" w:hAnsiTheme="minorBidi" w:cstheme="minorBidi"/>
          <w:sz w:val="24"/>
          <w:szCs w:val="24"/>
        </w:rPr>
        <w:t xml:space="preserve">be inconsistent with </w:t>
      </w:r>
      <w:r w:rsidR="00CB40FD" w:rsidRPr="00250798">
        <w:rPr>
          <w:rFonts w:asciiTheme="minorBidi" w:hAnsiTheme="minorBidi" w:cstheme="minorBidi"/>
          <w:sz w:val="24"/>
          <w:szCs w:val="24"/>
        </w:rPr>
        <w:t>Rambam</w:t>
      </w:r>
      <w:r w:rsidRPr="00250798">
        <w:rPr>
          <w:rFonts w:asciiTheme="minorBidi" w:hAnsiTheme="minorBidi" w:cstheme="minorBidi"/>
          <w:sz w:val="24"/>
          <w:szCs w:val="24"/>
        </w:rPr>
        <w:t>’s rulings</w:t>
      </w:r>
      <w:r w:rsidR="00CB40FD" w:rsidRPr="00250798">
        <w:rPr>
          <w:rFonts w:asciiTheme="minorBidi" w:hAnsiTheme="minorBidi" w:cstheme="minorBidi"/>
          <w:sz w:val="24"/>
          <w:szCs w:val="24"/>
        </w:rPr>
        <w:t xml:space="preserve"> in </w:t>
      </w:r>
      <w:r w:rsidR="00CB40FD" w:rsidRPr="00250798">
        <w:rPr>
          <w:rFonts w:asciiTheme="minorBidi" w:hAnsiTheme="minorBidi" w:cstheme="minorBidi"/>
          <w:i/>
          <w:sz w:val="24"/>
          <w:szCs w:val="24"/>
        </w:rPr>
        <w:t>Mishneh Torah</w:t>
      </w:r>
      <w:r w:rsidRPr="00250798">
        <w:rPr>
          <w:rFonts w:asciiTheme="minorBidi" w:hAnsiTheme="minorBidi" w:cstheme="minorBidi"/>
          <w:i/>
          <w:sz w:val="24"/>
          <w:szCs w:val="24"/>
        </w:rPr>
        <w:t xml:space="preserve"> </w:t>
      </w:r>
      <w:r w:rsidRPr="00250798">
        <w:rPr>
          <w:rFonts w:asciiTheme="minorBidi" w:hAnsiTheme="minorBidi" w:cstheme="minorBidi"/>
          <w:sz w:val="24"/>
          <w:szCs w:val="24"/>
        </w:rPr>
        <w:t xml:space="preserve">— </w:t>
      </w:r>
      <w:r w:rsidR="00250798" w:rsidRPr="00250798">
        <w:rPr>
          <w:rFonts w:asciiTheme="minorBidi" w:hAnsiTheme="minorBidi" w:cstheme="minorBidi"/>
          <w:sz w:val="24"/>
          <w:szCs w:val="24"/>
        </w:rPr>
        <w:t>dovetails</w:t>
      </w:r>
      <w:r w:rsidR="00CB40FD" w:rsidRPr="00250798">
        <w:rPr>
          <w:rFonts w:asciiTheme="minorBidi" w:hAnsiTheme="minorBidi" w:cstheme="minorBidi"/>
          <w:sz w:val="24"/>
          <w:szCs w:val="24"/>
        </w:rPr>
        <w:t xml:space="preserve"> with Meiri’s later interpretation for the reasoning of the prohibition. </w:t>
      </w:r>
    </w:p>
    <w:p w:rsidR="00CB40FD" w:rsidRPr="00250798" w:rsidRDefault="00CB40FD" w:rsidP="00D47EBD">
      <w:pPr>
        <w:spacing w:line="240" w:lineRule="auto"/>
        <w:jc w:val="both"/>
        <w:rPr>
          <w:rFonts w:asciiTheme="minorBidi" w:hAnsiTheme="minorBidi" w:cstheme="minorBidi"/>
          <w:b/>
          <w:sz w:val="24"/>
          <w:szCs w:val="24"/>
          <w:u w:val="single"/>
        </w:rPr>
      </w:pPr>
    </w:p>
    <w:p w:rsidR="00CB40FD" w:rsidRPr="00250798" w:rsidRDefault="0018598E" w:rsidP="00D47EBD">
      <w:pPr>
        <w:spacing w:line="240" w:lineRule="auto"/>
        <w:jc w:val="both"/>
        <w:rPr>
          <w:rFonts w:asciiTheme="minorBidi" w:hAnsiTheme="minorBidi" w:cstheme="minorBidi"/>
          <w:sz w:val="24"/>
          <w:szCs w:val="24"/>
        </w:rPr>
      </w:pPr>
      <w:r w:rsidRPr="00250798">
        <w:rPr>
          <w:rFonts w:asciiTheme="minorBidi" w:hAnsiTheme="minorBidi" w:cstheme="minorBidi"/>
          <w:sz w:val="24"/>
          <w:szCs w:val="24"/>
        </w:rPr>
        <w:t>Based on</w:t>
      </w:r>
      <w:r w:rsidR="00CB40FD" w:rsidRPr="00250798">
        <w:rPr>
          <w:rFonts w:asciiTheme="minorBidi" w:hAnsiTheme="minorBidi" w:cstheme="minorBidi"/>
          <w:sz w:val="24"/>
          <w:szCs w:val="24"/>
        </w:rPr>
        <w:t xml:space="preserve"> the language of the Gemara itself, however, a more intrinsic reading of</w:t>
      </w:r>
      <w:r w:rsidRPr="00250798">
        <w:rPr>
          <w:rFonts w:asciiTheme="minorBidi" w:hAnsiTheme="minorBidi" w:cstheme="minorBidi"/>
          <w:sz w:val="24"/>
          <w:szCs w:val="24"/>
        </w:rPr>
        <w:t xml:space="preserve"> the prohibition </w:t>
      </w:r>
      <w:r w:rsidR="00250798" w:rsidRPr="00250798">
        <w:rPr>
          <w:rFonts w:asciiTheme="minorBidi" w:hAnsiTheme="minorBidi" w:cstheme="minorBidi"/>
          <w:sz w:val="24"/>
          <w:szCs w:val="24"/>
        </w:rPr>
        <w:t>emerges</w:t>
      </w:r>
      <w:r w:rsidR="00CB40FD" w:rsidRPr="00250798">
        <w:rPr>
          <w:rFonts w:asciiTheme="minorBidi" w:hAnsiTheme="minorBidi" w:cstheme="minorBidi"/>
          <w:sz w:val="24"/>
          <w:szCs w:val="24"/>
        </w:rPr>
        <w:t xml:space="preserve">. Recall the Gemara’s suggestion to categorize </w:t>
      </w:r>
      <w:r w:rsidR="0045457A" w:rsidRPr="00250798">
        <w:rPr>
          <w:rFonts w:asciiTheme="minorBidi" w:hAnsiTheme="minorBidi" w:cstheme="minorBidi"/>
          <w:sz w:val="24"/>
          <w:szCs w:val="24"/>
        </w:rPr>
        <w:t>a non-Jew</w:t>
      </w:r>
      <w:r w:rsidR="00CB40FD" w:rsidRPr="00250798">
        <w:rPr>
          <w:rFonts w:asciiTheme="minorBidi" w:hAnsiTheme="minorBidi" w:cstheme="minorBidi"/>
          <w:sz w:val="24"/>
          <w:szCs w:val="24"/>
        </w:rPr>
        <w:t xml:space="preserve">’s Torah study as theft </w:t>
      </w:r>
      <w:r w:rsidRPr="00250798">
        <w:rPr>
          <w:rFonts w:asciiTheme="minorBidi" w:hAnsiTheme="minorBidi" w:cstheme="minorBidi"/>
          <w:sz w:val="24"/>
          <w:szCs w:val="24"/>
        </w:rPr>
        <w:t xml:space="preserve">of the Jews’ inheritance </w:t>
      </w:r>
      <w:r w:rsidR="00CB40FD" w:rsidRPr="00250798">
        <w:rPr>
          <w:rFonts w:asciiTheme="minorBidi" w:hAnsiTheme="minorBidi" w:cstheme="minorBidi"/>
          <w:sz w:val="24"/>
          <w:szCs w:val="24"/>
        </w:rPr>
        <w:t xml:space="preserve">or </w:t>
      </w:r>
      <w:r w:rsidRPr="00250798">
        <w:rPr>
          <w:rFonts w:asciiTheme="minorBidi" w:hAnsiTheme="minorBidi" w:cstheme="minorBidi"/>
          <w:sz w:val="24"/>
          <w:szCs w:val="24"/>
        </w:rPr>
        <w:t>adultery</w:t>
      </w:r>
      <w:r w:rsidR="00CB40FD" w:rsidRPr="00250798">
        <w:rPr>
          <w:rFonts w:asciiTheme="minorBidi" w:hAnsiTheme="minorBidi" w:cstheme="minorBidi"/>
          <w:sz w:val="24"/>
          <w:szCs w:val="24"/>
        </w:rPr>
        <w:t xml:space="preserve"> with the Jews’ betrothed. Both suggestions seem to underscore that the prohibition stems from the unique relationship between God and the Jewish people, and that the Torah serves as the fulcrum of the covenantal relationship between the two. </w:t>
      </w:r>
    </w:p>
    <w:p w:rsidR="00CB40FD" w:rsidRPr="00250798" w:rsidRDefault="00CB40FD" w:rsidP="00D47EBD">
      <w:pPr>
        <w:spacing w:line="240" w:lineRule="auto"/>
        <w:jc w:val="both"/>
        <w:rPr>
          <w:rFonts w:asciiTheme="minorBidi" w:hAnsiTheme="minorBidi" w:cstheme="minorBidi"/>
          <w:sz w:val="24"/>
          <w:szCs w:val="24"/>
        </w:rPr>
      </w:pPr>
    </w:p>
    <w:p w:rsidR="00CB40FD" w:rsidRPr="00250798" w:rsidRDefault="00CB40FD" w:rsidP="00D47EBD">
      <w:pPr>
        <w:spacing w:line="240" w:lineRule="auto"/>
        <w:jc w:val="both"/>
        <w:rPr>
          <w:rFonts w:asciiTheme="minorBidi" w:hAnsiTheme="minorBidi" w:cstheme="minorBidi"/>
          <w:sz w:val="24"/>
          <w:szCs w:val="24"/>
        </w:rPr>
      </w:pPr>
      <w:r w:rsidRPr="00250798">
        <w:rPr>
          <w:rFonts w:asciiTheme="minorBidi" w:hAnsiTheme="minorBidi" w:cstheme="minorBidi"/>
          <w:sz w:val="24"/>
          <w:szCs w:val="24"/>
        </w:rPr>
        <w:t xml:space="preserve">A number of </w:t>
      </w:r>
      <w:r w:rsidR="00CE107E" w:rsidRPr="00250798">
        <w:rPr>
          <w:rFonts w:asciiTheme="minorBidi" w:hAnsiTheme="minorBidi" w:cstheme="minorBidi"/>
          <w:iCs/>
          <w:sz w:val="24"/>
          <w:szCs w:val="24"/>
        </w:rPr>
        <w:t>Rishonim</w:t>
      </w:r>
      <w:r w:rsidRPr="00250798">
        <w:rPr>
          <w:rFonts w:asciiTheme="minorBidi" w:hAnsiTheme="minorBidi" w:cstheme="minorBidi"/>
          <w:sz w:val="24"/>
          <w:szCs w:val="24"/>
        </w:rPr>
        <w:t xml:space="preserve"> lend support to this interpretation. Returning to Tosaf</w:t>
      </w:r>
      <w:r w:rsidR="0018598E" w:rsidRPr="00250798">
        <w:rPr>
          <w:rFonts w:asciiTheme="minorBidi" w:hAnsiTheme="minorBidi" w:cstheme="minorBidi"/>
          <w:sz w:val="24"/>
          <w:szCs w:val="24"/>
        </w:rPr>
        <w:t xml:space="preserve">ot, their reading of </w:t>
      </w:r>
      <w:r w:rsidR="009346D9" w:rsidRPr="009346D9">
        <w:rPr>
          <w:rFonts w:asciiTheme="minorBidi" w:hAnsiTheme="minorBidi" w:cstheme="minorBidi"/>
          <w:i/>
          <w:sz w:val="24"/>
          <w:szCs w:val="24"/>
        </w:rPr>
        <w:t>Chagiga</w:t>
      </w:r>
      <w:r w:rsidRPr="00250798">
        <w:rPr>
          <w:rFonts w:asciiTheme="minorBidi" w:hAnsiTheme="minorBidi" w:cstheme="minorBidi"/>
          <w:sz w:val="24"/>
          <w:szCs w:val="24"/>
        </w:rPr>
        <w:t xml:space="preserve"> </w:t>
      </w:r>
      <w:r w:rsidR="0018598E" w:rsidRPr="00250798">
        <w:rPr>
          <w:rFonts w:asciiTheme="minorBidi" w:hAnsiTheme="minorBidi" w:cstheme="minorBidi"/>
          <w:sz w:val="24"/>
          <w:szCs w:val="24"/>
        </w:rPr>
        <w:t xml:space="preserve">13a </w:t>
      </w:r>
      <w:r w:rsidRPr="00250798">
        <w:rPr>
          <w:rFonts w:asciiTheme="minorBidi" w:hAnsiTheme="minorBidi" w:cstheme="minorBidi"/>
          <w:sz w:val="24"/>
          <w:szCs w:val="24"/>
        </w:rPr>
        <w:t>as p</w:t>
      </w:r>
      <w:r w:rsidR="00732AA1">
        <w:rPr>
          <w:rFonts w:asciiTheme="minorBidi" w:hAnsiTheme="minorBidi" w:cstheme="minorBidi"/>
          <w:sz w:val="24"/>
          <w:szCs w:val="24"/>
        </w:rPr>
        <w:t>resent</w:t>
      </w:r>
      <w:r w:rsidRPr="00250798">
        <w:rPr>
          <w:rFonts w:asciiTheme="minorBidi" w:hAnsiTheme="minorBidi" w:cstheme="minorBidi"/>
          <w:sz w:val="24"/>
          <w:szCs w:val="24"/>
        </w:rPr>
        <w:t>ing an additional prohibition is significant. In particu</w:t>
      </w:r>
      <w:r w:rsidR="0018598E" w:rsidRPr="00250798">
        <w:rPr>
          <w:rFonts w:asciiTheme="minorBidi" w:hAnsiTheme="minorBidi" w:cstheme="minorBidi"/>
          <w:sz w:val="24"/>
          <w:szCs w:val="24"/>
        </w:rPr>
        <w:t>lar, the text</w:t>
      </w:r>
      <w:r w:rsidRPr="00250798">
        <w:rPr>
          <w:rFonts w:asciiTheme="minorBidi" w:hAnsiTheme="minorBidi" w:cstheme="minorBidi"/>
          <w:sz w:val="24"/>
          <w:szCs w:val="24"/>
        </w:rPr>
        <w:t xml:space="preserve"> from </w:t>
      </w:r>
      <w:r w:rsidR="00CE107E" w:rsidRPr="00250798">
        <w:rPr>
          <w:rFonts w:asciiTheme="minorBidi" w:hAnsiTheme="minorBidi" w:cstheme="minorBidi"/>
          <w:i/>
          <w:sz w:val="24"/>
          <w:szCs w:val="24"/>
        </w:rPr>
        <w:t>Tehillim</w:t>
      </w:r>
      <w:r w:rsidR="0018598E" w:rsidRPr="00250798">
        <w:rPr>
          <w:rFonts w:asciiTheme="minorBidi" w:hAnsiTheme="minorBidi" w:cstheme="minorBidi"/>
          <w:sz w:val="24"/>
          <w:szCs w:val="24"/>
        </w:rPr>
        <w:t>, which emphasizes that God gives His laws to Jews alone</w:t>
      </w:r>
      <w:r w:rsidRPr="00250798">
        <w:rPr>
          <w:rFonts w:asciiTheme="minorBidi" w:hAnsiTheme="minorBidi" w:cstheme="minorBidi"/>
          <w:sz w:val="24"/>
          <w:szCs w:val="24"/>
        </w:rPr>
        <w:t xml:space="preserve">, lends support to this more essentialist reading of the prohibition. </w:t>
      </w:r>
    </w:p>
    <w:p w:rsidR="00CB40FD" w:rsidRPr="00250798" w:rsidRDefault="00CB40FD" w:rsidP="00D47EBD">
      <w:pPr>
        <w:spacing w:line="240" w:lineRule="auto"/>
        <w:jc w:val="both"/>
        <w:rPr>
          <w:rFonts w:asciiTheme="minorBidi" w:hAnsiTheme="minorBidi" w:cstheme="minorBidi"/>
          <w:sz w:val="24"/>
          <w:szCs w:val="24"/>
        </w:rPr>
      </w:pPr>
    </w:p>
    <w:p w:rsidR="00E96045" w:rsidRPr="00250798" w:rsidRDefault="00CB40FD" w:rsidP="00D47EBD">
      <w:pPr>
        <w:spacing w:line="240" w:lineRule="auto"/>
        <w:jc w:val="both"/>
        <w:rPr>
          <w:rFonts w:asciiTheme="minorBidi" w:hAnsiTheme="minorBidi" w:cstheme="minorBidi"/>
          <w:sz w:val="24"/>
          <w:szCs w:val="24"/>
        </w:rPr>
      </w:pPr>
      <w:r w:rsidRPr="00250798">
        <w:rPr>
          <w:rFonts w:asciiTheme="minorBidi" w:hAnsiTheme="minorBidi" w:cstheme="minorBidi"/>
          <w:sz w:val="24"/>
          <w:szCs w:val="24"/>
        </w:rPr>
        <w:lastRenderedPageBreak/>
        <w:t xml:space="preserve">Other commentaries offer additional solutions to Tosafot’s problem, in the process further buttressing the intrinsic reading of the </w:t>
      </w:r>
      <w:r w:rsidRPr="00250798">
        <w:rPr>
          <w:rFonts w:asciiTheme="minorBidi" w:hAnsiTheme="minorBidi" w:cstheme="minorBidi"/>
          <w:i/>
          <w:sz w:val="24"/>
          <w:szCs w:val="24"/>
        </w:rPr>
        <w:t>issur</w:t>
      </w:r>
      <w:r w:rsidRPr="00250798">
        <w:rPr>
          <w:rFonts w:asciiTheme="minorBidi" w:hAnsiTheme="minorBidi" w:cstheme="minorBidi"/>
          <w:sz w:val="24"/>
          <w:szCs w:val="24"/>
        </w:rPr>
        <w:t xml:space="preserve"> of teaching Torah to </w:t>
      </w:r>
      <w:r w:rsidR="00CE107E" w:rsidRPr="00250798">
        <w:rPr>
          <w:rFonts w:asciiTheme="minorBidi" w:hAnsiTheme="minorBidi" w:cstheme="minorBidi"/>
          <w:sz w:val="24"/>
          <w:szCs w:val="24"/>
        </w:rPr>
        <w:t>non-Jews</w:t>
      </w:r>
      <w:r w:rsidRPr="00250798">
        <w:rPr>
          <w:rFonts w:asciiTheme="minorBidi" w:hAnsiTheme="minorBidi" w:cstheme="minorBidi"/>
          <w:sz w:val="24"/>
          <w:szCs w:val="24"/>
        </w:rPr>
        <w:t xml:space="preserve">. Meiri and Maharsha, in </w:t>
      </w:r>
      <w:r w:rsidR="00E96045" w:rsidRPr="00250798">
        <w:rPr>
          <w:rFonts w:asciiTheme="minorBidi" w:hAnsiTheme="minorBidi" w:cstheme="minorBidi"/>
          <w:sz w:val="24"/>
          <w:szCs w:val="24"/>
        </w:rPr>
        <w:t>a highly controversial manner</w:t>
      </w:r>
      <w:r w:rsidRPr="00250798">
        <w:rPr>
          <w:rFonts w:asciiTheme="minorBidi" w:hAnsiTheme="minorBidi" w:cstheme="minorBidi"/>
          <w:sz w:val="24"/>
          <w:szCs w:val="24"/>
        </w:rPr>
        <w:t>,</w:t>
      </w:r>
      <w:r w:rsidR="00E96045" w:rsidRPr="00250798">
        <w:rPr>
          <w:rFonts w:asciiTheme="minorBidi" w:hAnsiTheme="minorBidi" w:cstheme="minorBidi"/>
          <w:sz w:val="24"/>
          <w:szCs w:val="24"/>
        </w:rPr>
        <w:t xml:space="preserve"> </w:t>
      </w:r>
      <w:r w:rsidRPr="00250798">
        <w:rPr>
          <w:rFonts w:asciiTheme="minorBidi" w:hAnsiTheme="minorBidi" w:cstheme="minorBidi"/>
          <w:sz w:val="24"/>
          <w:szCs w:val="24"/>
        </w:rPr>
        <w:t xml:space="preserve">explain that </w:t>
      </w:r>
      <w:r w:rsidR="009346D9" w:rsidRPr="009346D9">
        <w:rPr>
          <w:rFonts w:asciiTheme="minorBidi" w:hAnsiTheme="minorBidi" w:cstheme="minorBidi"/>
          <w:i/>
          <w:sz w:val="24"/>
          <w:szCs w:val="24"/>
        </w:rPr>
        <w:t>Chagiga</w:t>
      </w:r>
      <w:r w:rsidR="00E96045" w:rsidRPr="00250798">
        <w:rPr>
          <w:rFonts w:asciiTheme="minorBidi" w:hAnsiTheme="minorBidi" w:cstheme="minorBidi"/>
          <w:sz w:val="24"/>
          <w:szCs w:val="24"/>
        </w:rPr>
        <w:t xml:space="preserve"> </w:t>
      </w:r>
      <w:r w:rsidRPr="00250798">
        <w:rPr>
          <w:rFonts w:asciiTheme="minorBidi" w:hAnsiTheme="minorBidi" w:cstheme="minorBidi"/>
          <w:sz w:val="24"/>
          <w:szCs w:val="24"/>
        </w:rPr>
        <w:t>add</w:t>
      </w:r>
      <w:r w:rsidR="00E96045" w:rsidRPr="00250798">
        <w:rPr>
          <w:rFonts w:asciiTheme="minorBidi" w:hAnsiTheme="minorBidi" w:cstheme="minorBidi"/>
          <w:sz w:val="24"/>
          <w:szCs w:val="24"/>
        </w:rPr>
        <w:t>s</w:t>
      </w:r>
      <w:r w:rsidRPr="00250798">
        <w:rPr>
          <w:rFonts w:asciiTheme="minorBidi" w:hAnsiTheme="minorBidi" w:cstheme="minorBidi"/>
          <w:sz w:val="24"/>
          <w:szCs w:val="24"/>
        </w:rPr>
        <w:t xml:space="preserve"> a layer of prohibition even for one who teaches the seven </w:t>
      </w:r>
      <w:r w:rsidR="009138D2" w:rsidRPr="00250798">
        <w:rPr>
          <w:rFonts w:asciiTheme="minorBidi" w:hAnsiTheme="minorBidi" w:cstheme="minorBidi"/>
          <w:sz w:val="24"/>
          <w:szCs w:val="24"/>
        </w:rPr>
        <w:t>Noahide</w:t>
      </w:r>
      <w:r w:rsidRPr="00250798">
        <w:rPr>
          <w:rFonts w:asciiTheme="minorBidi" w:hAnsiTheme="minorBidi" w:cstheme="minorBidi"/>
          <w:sz w:val="24"/>
          <w:szCs w:val="24"/>
        </w:rPr>
        <w:t xml:space="preserve"> laws to </w:t>
      </w:r>
      <w:r w:rsidR="00CE107E" w:rsidRPr="00250798">
        <w:rPr>
          <w:rFonts w:asciiTheme="minorBidi" w:hAnsiTheme="minorBidi" w:cstheme="minorBidi"/>
          <w:sz w:val="24"/>
          <w:szCs w:val="24"/>
        </w:rPr>
        <w:t>non-Jews</w:t>
      </w:r>
      <w:r w:rsidRPr="00250798">
        <w:rPr>
          <w:rFonts w:asciiTheme="minorBidi" w:hAnsiTheme="minorBidi" w:cstheme="minorBidi"/>
          <w:sz w:val="24"/>
          <w:szCs w:val="24"/>
        </w:rPr>
        <w:t>. W</w:t>
      </w:r>
      <w:r w:rsidR="00E96045" w:rsidRPr="00250798">
        <w:rPr>
          <w:rFonts w:asciiTheme="minorBidi" w:hAnsiTheme="minorBidi" w:cstheme="minorBidi"/>
          <w:sz w:val="24"/>
          <w:szCs w:val="24"/>
        </w:rPr>
        <w:t xml:space="preserve">e noted earlier that </w:t>
      </w:r>
      <w:r w:rsidR="009346D9" w:rsidRPr="009346D9">
        <w:rPr>
          <w:rFonts w:asciiTheme="minorBidi" w:hAnsiTheme="minorBidi" w:cstheme="minorBidi"/>
          <w:i/>
          <w:sz w:val="24"/>
          <w:szCs w:val="24"/>
        </w:rPr>
        <w:t>Sanhedrin</w:t>
      </w:r>
      <w:r w:rsidR="00E96045" w:rsidRPr="00250798">
        <w:rPr>
          <w:rFonts w:asciiTheme="minorBidi" w:hAnsiTheme="minorBidi" w:cstheme="minorBidi"/>
          <w:sz w:val="24"/>
          <w:szCs w:val="24"/>
        </w:rPr>
        <w:t xml:space="preserve"> 59a,</w:t>
      </w:r>
      <w:r w:rsidRPr="00250798">
        <w:rPr>
          <w:rFonts w:asciiTheme="minorBidi" w:hAnsiTheme="minorBidi" w:cstheme="minorBidi"/>
          <w:sz w:val="24"/>
          <w:szCs w:val="24"/>
        </w:rPr>
        <w:t xml:space="preserve"> taken at face value, seems to indicate that </w:t>
      </w:r>
      <w:r w:rsidR="0045457A" w:rsidRPr="00250798">
        <w:rPr>
          <w:rFonts w:asciiTheme="minorBidi" w:hAnsiTheme="minorBidi" w:cstheme="minorBidi"/>
          <w:sz w:val="24"/>
          <w:szCs w:val="24"/>
        </w:rPr>
        <w:t>a non-Jew</w:t>
      </w:r>
      <w:r w:rsidRPr="00250798">
        <w:rPr>
          <w:rFonts w:asciiTheme="minorBidi" w:hAnsiTheme="minorBidi" w:cstheme="minorBidi"/>
          <w:sz w:val="24"/>
          <w:szCs w:val="24"/>
        </w:rPr>
        <w:t xml:space="preserve"> is rewarded handsomely for studying the </w:t>
      </w:r>
      <w:r w:rsidR="009138D2" w:rsidRPr="00250798">
        <w:rPr>
          <w:rFonts w:asciiTheme="minorBidi" w:hAnsiTheme="minorBidi" w:cstheme="minorBidi"/>
          <w:sz w:val="24"/>
          <w:szCs w:val="24"/>
        </w:rPr>
        <w:t>Noahide</w:t>
      </w:r>
      <w:r w:rsidRPr="00250798">
        <w:rPr>
          <w:rFonts w:asciiTheme="minorBidi" w:hAnsiTheme="minorBidi" w:cstheme="minorBidi"/>
          <w:sz w:val="24"/>
          <w:szCs w:val="24"/>
        </w:rPr>
        <w:t xml:space="preserve"> laws. Nonetheless, Meiri and Maharsha’s position p</w:t>
      </w:r>
      <w:r w:rsidR="00732AA1">
        <w:rPr>
          <w:rFonts w:asciiTheme="minorBidi" w:hAnsiTheme="minorBidi" w:cstheme="minorBidi"/>
          <w:sz w:val="24"/>
          <w:szCs w:val="24"/>
        </w:rPr>
        <w:t xml:space="preserve">oints to the context of the </w:t>
      </w:r>
      <w:r w:rsidR="00732AA1">
        <w:rPr>
          <w:rFonts w:asciiTheme="minorBidi" w:hAnsiTheme="minorBidi" w:cstheme="minorBidi"/>
          <w:sz w:val="24"/>
          <w:szCs w:val="24"/>
          <w:lang w:val="en-US"/>
        </w:rPr>
        <w:t>seco</w:t>
      </w:r>
      <w:r w:rsidR="009346D9">
        <w:rPr>
          <w:rFonts w:asciiTheme="minorBidi" w:hAnsiTheme="minorBidi" w:cstheme="minorBidi"/>
          <w:sz w:val="24"/>
          <w:szCs w:val="24"/>
          <w:lang w:val="en-US"/>
        </w:rPr>
        <w:t>nd</w:t>
      </w:r>
      <w:r w:rsidRPr="00250798">
        <w:rPr>
          <w:rFonts w:asciiTheme="minorBidi" w:hAnsiTheme="minorBidi" w:cstheme="minorBidi"/>
          <w:sz w:val="24"/>
          <w:szCs w:val="24"/>
        </w:rPr>
        <w:t xml:space="preserve"> chapter of </w:t>
      </w:r>
      <w:r w:rsidR="009346D9" w:rsidRPr="009346D9">
        <w:rPr>
          <w:rFonts w:asciiTheme="minorBidi" w:hAnsiTheme="minorBidi" w:cstheme="minorBidi"/>
          <w:i/>
          <w:sz w:val="24"/>
          <w:szCs w:val="24"/>
        </w:rPr>
        <w:t>Chagiga</w:t>
      </w:r>
      <w:r w:rsidRPr="00250798">
        <w:rPr>
          <w:rFonts w:asciiTheme="minorBidi" w:hAnsiTheme="minorBidi" w:cstheme="minorBidi"/>
          <w:sz w:val="24"/>
          <w:szCs w:val="24"/>
        </w:rPr>
        <w:t>, which discusses secret areas of Torah that are subject to significant restrictions. They th</w:t>
      </w:r>
      <w:r w:rsidR="00E96045" w:rsidRPr="00250798">
        <w:rPr>
          <w:rFonts w:asciiTheme="minorBidi" w:hAnsiTheme="minorBidi" w:cstheme="minorBidi"/>
          <w:sz w:val="24"/>
          <w:szCs w:val="24"/>
        </w:rPr>
        <w:t xml:space="preserve">erefore suggest that </w:t>
      </w:r>
      <w:r w:rsidR="009346D9" w:rsidRPr="009346D9">
        <w:rPr>
          <w:rFonts w:asciiTheme="minorBidi" w:hAnsiTheme="minorBidi" w:cstheme="minorBidi"/>
          <w:i/>
          <w:sz w:val="24"/>
          <w:szCs w:val="24"/>
        </w:rPr>
        <w:t>Chagiga</w:t>
      </w:r>
      <w:r w:rsidRPr="00250798">
        <w:rPr>
          <w:rFonts w:asciiTheme="minorBidi" w:hAnsiTheme="minorBidi" w:cstheme="minorBidi"/>
          <w:sz w:val="24"/>
          <w:szCs w:val="24"/>
        </w:rPr>
        <w:t xml:space="preserve"> means to outlaw the study of deeper secrets in Torah that are tied to the </w:t>
      </w:r>
      <w:r w:rsidR="009138D2" w:rsidRPr="00250798">
        <w:rPr>
          <w:rFonts w:asciiTheme="minorBidi" w:hAnsiTheme="minorBidi" w:cstheme="minorBidi"/>
          <w:sz w:val="24"/>
          <w:szCs w:val="24"/>
        </w:rPr>
        <w:t>Noahide</w:t>
      </w:r>
      <w:r w:rsidRPr="00250798">
        <w:rPr>
          <w:rFonts w:asciiTheme="minorBidi" w:hAnsiTheme="minorBidi" w:cstheme="minorBidi"/>
          <w:sz w:val="24"/>
          <w:szCs w:val="24"/>
        </w:rPr>
        <w:t xml:space="preserve"> laws. </w:t>
      </w:r>
    </w:p>
    <w:p w:rsidR="00E96045" w:rsidRPr="00250798" w:rsidRDefault="00E96045" w:rsidP="00D47EBD">
      <w:pPr>
        <w:spacing w:line="240" w:lineRule="auto"/>
        <w:jc w:val="both"/>
        <w:rPr>
          <w:rFonts w:asciiTheme="minorBidi" w:hAnsiTheme="minorBidi" w:cstheme="minorBidi"/>
          <w:sz w:val="24"/>
          <w:szCs w:val="24"/>
        </w:rPr>
      </w:pPr>
    </w:p>
    <w:p w:rsidR="00CB40FD" w:rsidRPr="00250798" w:rsidRDefault="00CB40FD" w:rsidP="00D47EBD">
      <w:pPr>
        <w:spacing w:line="240" w:lineRule="auto"/>
        <w:jc w:val="both"/>
        <w:rPr>
          <w:rFonts w:asciiTheme="minorBidi" w:hAnsiTheme="minorBidi" w:cstheme="minorBidi"/>
          <w:sz w:val="24"/>
          <w:szCs w:val="24"/>
        </w:rPr>
      </w:pPr>
      <w:r w:rsidRPr="00250798">
        <w:rPr>
          <w:rFonts w:asciiTheme="minorBidi" w:hAnsiTheme="minorBidi" w:cstheme="minorBidi"/>
          <w:sz w:val="24"/>
          <w:szCs w:val="24"/>
        </w:rPr>
        <w:t xml:space="preserve">This bar against teaching the esoteric parts of Torah to </w:t>
      </w:r>
      <w:r w:rsidR="00CE107E" w:rsidRPr="00250798">
        <w:rPr>
          <w:rFonts w:asciiTheme="minorBidi" w:hAnsiTheme="minorBidi" w:cstheme="minorBidi"/>
          <w:sz w:val="24"/>
          <w:szCs w:val="24"/>
        </w:rPr>
        <w:t>non-Jews</w:t>
      </w:r>
      <w:r w:rsidRPr="00250798">
        <w:rPr>
          <w:rFonts w:asciiTheme="minorBidi" w:hAnsiTheme="minorBidi" w:cstheme="minorBidi"/>
          <w:sz w:val="24"/>
          <w:szCs w:val="24"/>
        </w:rPr>
        <w:t xml:space="preserve">, while not working particularly well with Meiri’s own </w:t>
      </w:r>
      <w:r w:rsidR="00732AA1">
        <w:rPr>
          <w:rFonts w:asciiTheme="minorBidi" w:hAnsiTheme="minorBidi" w:cstheme="minorBidi"/>
          <w:sz w:val="24"/>
          <w:szCs w:val="24"/>
        </w:rPr>
        <w:t xml:space="preserve">comments in </w:t>
      </w:r>
      <w:r w:rsidR="009346D9" w:rsidRPr="009346D9">
        <w:rPr>
          <w:rFonts w:asciiTheme="minorBidi" w:hAnsiTheme="minorBidi" w:cstheme="minorBidi"/>
          <w:i/>
          <w:sz w:val="24"/>
          <w:szCs w:val="24"/>
        </w:rPr>
        <w:t>Sanhedrin</w:t>
      </w:r>
      <w:r w:rsidR="00732AA1">
        <w:rPr>
          <w:rFonts w:asciiTheme="minorBidi" w:hAnsiTheme="minorBidi" w:cstheme="minorBidi"/>
          <w:sz w:val="24"/>
          <w:szCs w:val="24"/>
        </w:rPr>
        <w:t xml:space="preserve"> (possibly</w:t>
      </w:r>
      <w:r w:rsidRPr="00250798">
        <w:rPr>
          <w:rFonts w:asciiTheme="minorBidi" w:hAnsiTheme="minorBidi" w:cstheme="minorBidi"/>
          <w:sz w:val="24"/>
          <w:szCs w:val="24"/>
        </w:rPr>
        <w:t xml:space="preserve"> Meiri holds that there are two distinct prohibitions), does seem to work nicely with the intrinsic interpretation of the prohibition: the esoteric parts of Torah are reserved uniquely for the Jewish people, and are not to be given away to others. Along similar lines, Iyun Y</w:t>
      </w:r>
      <w:r w:rsidR="005C107D" w:rsidRPr="00250798">
        <w:rPr>
          <w:rFonts w:asciiTheme="minorBidi" w:hAnsiTheme="minorBidi" w:cstheme="minorBidi"/>
          <w:sz w:val="24"/>
          <w:szCs w:val="24"/>
        </w:rPr>
        <w:t>a’a</w:t>
      </w:r>
      <w:r w:rsidR="00732AA1">
        <w:rPr>
          <w:rFonts w:asciiTheme="minorBidi" w:hAnsiTheme="minorBidi" w:cstheme="minorBidi"/>
          <w:sz w:val="24"/>
          <w:szCs w:val="24"/>
        </w:rPr>
        <w:t>kov, pointing to</w:t>
      </w:r>
      <w:r w:rsidR="00E96045" w:rsidRPr="00250798">
        <w:rPr>
          <w:rFonts w:asciiTheme="minorBidi" w:hAnsiTheme="minorBidi" w:cstheme="minorBidi"/>
          <w:sz w:val="24"/>
          <w:szCs w:val="24"/>
        </w:rPr>
        <w:t xml:space="preserve"> the term “transmitted” </w:t>
      </w:r>
      <w:r w:rsidR="00250798">
        <w:rPr>
          <w:rFonts w:asciiTheme="minorBidi" w:hAnsiTheme="minorBidi" w:cstheme="minorBidi"/>
          <w:sz w:val="24"/>
          <w:szCs w:val="24"/>
        </w:rPr>
        <w:t>(</w:t>
      </w:r>
      <w:r w:rsidR="00250798">
        <w:rPr>
          <w:rFonts w:asciiTheme="minorBidi" w:eastAsia="Times New Roman" w:hAnsiTheme="minorBidi" w:cstheme="minorBidi"/>
          <w:color w:val="auto"/>
          <w:sz w:val="24"/>
          <w:szCs w:val="24"/>
          <w:lang w:val="en-US"/>
        </w:rPr>
        <w:t>“</w:t>
      </w:r>
      <w:r w:rsidR="00250798" w:rsidRPr="009138D2">
        <w:rPr>
          <w:rFonts w:asciiTheme="minorBidi" w:eastAsia="Times New Roman" w:hAnsiTheme="minorBidi" w:cstheme="minorBidi"/>
          <w:color w:val="auto"/>
          <w:sz w:val="24"/>
          <w:szCs w:val="24"/>
          <w:lang w:val="en-US"/>
        </w:rPr>
        <w:t>The teachings of the Torah are not</w:t>
      </w:r>
      <w:r w:rsidR="00250798" w:rsidRPr="00250798">
        <w:rPr>
          <w:rFonts w:asciiTheme="minorBidi" w:eastAsia="Times New Roman" w:hAnsiTheme="minorBidi" w:cstheme="minorBidi"/>
          <w:color w:val="auto"/>
          <w:sz w:val="24"/>
          <w:szCs w:val="24"/>
          <w:lang w:val="en-US"/>
        </w:rPr>
        <w:t xml:space="preserve"> </w:t>
      </w:r>
      <w:r w:rsidR="00250798" w:rsidRPr="009138D2">
        <w:rPr>
          <w:rFonts w:asciiTheme="minorBidi" w:eastAsia="Times New Roman" w:hAnsiTheme="minorBidi" w:cstheme="minorBidi"/>
          <w:color w:val="auto"/>
          <w:sz w:val="24"/>
          <w:szCs w:val="24"/>
          <w:lang w:val="en-US"/>
        </w:rPr>
        <w:t xml:space="preserve">to be </w:t>
      </w:r>
      <w:r w:rsidR="00250798" w:rsidRPr="00250798">
        <w:rPr>
          <w:rFonts w:asciiTheme="minorBidi" w:eastAsia="Times New Roman" w:hAnsiTheme="minorBidi" w:cstheme="minorBidi"/>
          <w:color w:val="auto"/>
          <w:sz w:val="24"/>
          <w:szCs w:val="24"/>
          <w:lang w:val="en-US"/>
        </w:rPr>
        <w:t>t</w:t>
      </w:r>
      <w:r w:rsidR="00250798" w:rsidRPr="009138D2">
        <w:rPr>
          <w:rFonts w:asciiTheme="minorBidi" w:eastAsia="Times New Roman" w:hAnsiTheme="minorBidi" w:cstheme="minorBidi"/>
          <w:color w:val="auto"/>
          <w:sz w:val="24"/>
          <w:szCs w:val="24"/>
          <w:lang w:val="en-US"/>
        </w:rPr>
        <w:t>ransmitted to a</w:t>
      </w:r>
      <w:r w:rsidR="00250798">
        <w:rPr>
          <w:rFonts w:asciiTheme="minorBidi" w:eastAsia="Times New Roman" w:hAnsiTheme="minorBidi" w:cstheme="minorBidi"/>
          <w:color w:val="auto"/>
          <w:sz w:val="24"/>
          <w:szCs w:val="24"/>
          <w:lang w:val="en-US"/>
        </w:rPr>
        <w:t xml:space="preserve"> non-Jew”</w:t>
      </w:r>
      <w:r w:rsidR="00250798">
        <w:rPr>
          <w:rFonts w:asciiTheme="minorBidi" w:hAnsiTheme="minorBidi" w:cstheme="minorBidi"/>
          <w:sz w:val="24"/>
          <w:szCs w:val="24"/>
        </w:rPr>
        <w:t>)</w:t>
      </w:r>
      <w:r w:rsidR="00732AA1">
        <w:rPr>
          <w:rFonts w:asciiTheme="minorBidi" w:hAnsiTheme="minorBidi" w:cstheme="minorBidi"/>
          <w:sz w:val="24"/>
          <w:szCs w:val="24"/>
        </w:rPr>
        <w:t>,</w:t>
      </w:r>
      <w:r w:rsidR="00250798">
        <w:rPr>
          <w:rFonts w:asciiTheme="minorBidi" w:hAnsiTheme="minorBidi" w:cstheme="minorBidi"/>
          <w:sz w:val="24"/>
          <w:szCs w:val="24"/>
        </w:rPr>
        <w:t xml:space="preserve"> </w:t>
      </w:r>
      <w:r w:rsidR="00E96045" w:rsidRPr="00250798">
        <w:rPr>
          <w:rFonts w:asciiTheme="minorBidi" w:hAnsiTheme="minorBidi" w:cstheme="minorBidi"/>
          <w:sz w:val="24"/>
          <w:szCs w:val="24"/>
        </w:rPr>
        <w:t>suggests</w:t>
      </w:r>
      <w:r w:rsidRPr="00250798">
        <w:rPr>
          <w:rFonts w:asciiTheme="minorBidi" w:hAnsiTheme="minorBidi" w:cstheme="minorBidi"/>
          <w:sz w:val="24"/>
          <w:szCs w:val="24"/>
        </w:rPr>
        <w:t xml:space="preserve"> that the G</w:t>
      </w:r>
      <w:r w:rsidR="00E96045" w:rsidRPr="00250798">
        <w:rPr>
          <w:rFonts w:asciiTheme="minorBidi" w:hAnsiTheme="minorBidi" w:cstheme="minorBidi"/>
          <w:sz w:val="24"/>
          <w:szCs w:val="24"/>
        </w:rPr>
        <w:t>emara is outlawing handing</w:t>
      </w:r>
      <w:r w:rsidRPr="00250798">
        <w:rPr>
          <w:rFonts w:asciiTheme="minorBidi" w:hAnsiTheme="minorBidi" w:cstheme="minorBidi"/>
          <w:sz w:val="24"/>
          <w:szCs w:val="24"/>
        </w:rPr>
        <w:t xml:space="preserve"> Torah writings to </w:t>
      </w:r>
      <w:r w:rsidR="00CE107E" w:rsidRPr="00250798">
        <w:rPr>
          <w:rFonts w:asciiTheme="minorBidi" w:hAnsiTheme="minorBidi" w:cstheme="minorBidi"/>
          <w:sz w:val="24"/>
          <w:szCs w:val="24"/>
        </w:rPr>
        <w:t>non-Jews</w:t>
      </w:r>
      <w:r w:rsidRPr="00250798">
        <w:rPr>
          <w:rFonts w:asciiTheme="minorBidi" w:hAnsiTheme="minorBidi" w:cstheme="minorBidi"/>
          <w:sz w:val="24"/>
          <w:szCs w:val="24"/>
        </w:rPr>
        <w:t xml:space="preserve">. Because the Torah is comprised of the names of God, this is tantamount to handing over divine secrets. </w:t>
      </w:r>
    </w:p>
    <w:p w:rsidR="00CB40FD" w:rsidRPr="00250798" w:rsidRDefault="00CB40FD" w:rsidP="00D47EBD">
      <w:pPr>
        <w:spacing w:line="240" w:lineRule="auto"/>
        <w:jc w:val="both"/>
        <w:rPr>
          <w:rFonts w:asciiTheme="minorBidi" w:hAnsiTheme="minorBidi" w:cstheme="minorBidi"/>
          <w:sz w:val="24"/>
          <w:szCs w:val="24"/>
        </w:rPr>
      </w:pPr>
    </w:p>
    <w:p w:rsidR="00CB40FD" w:rsidRPr="00250798" w:rsidRDefault="00CB40FD" w:rsidP="00D47EBD">
      <w:pPr>
        <w:spacing w:line="240" w:lineRule="auto"/>
        <w:jc w:val="both"/>
        <w:rPr>
          <w:rFonts w:asciiTheme="minorBidi" w:hAnsiTheme="minorBidi" w:cstheme="minorBidi"/>
          <w:sz w:val="24"/>
          <w:szCs w:val="24"/>
        </w:rPr>
      </w:pPr>
      <w:r w:rsidRPr="00250798">
        <w:rPr>
          <w:rFonts w:asciiTheme="minorBidi" w:hAnsiTheme="minorBidi" w:cstheme="minorBidi"/>
          <w:sz w:val="24"/>
          <w:szCs w:val="24"/>
        </w:rPr>
        <w:t xml:space="preserve">This approach, which sees the </w:t>
      </w:r>
      <w:r w:rsidRPr="00250798">
        <w:rPr>
          <w:rFonts w:asciiTheme="minorBidi" w:hAnsiTheme="minorBidi" w:cstheme="minorBidi"/>
          <w:i/>
          <w:sz w:val="24"/>
          <w:szCs w:val="24"/>
        </w:rPr>
        <w:t>issur</w:t>
      </w:r>
      <w:r w:rsidRPr="00250798">
        <w:rPr>
          <w:rFonts w:asciiTheme="minorBidi" w:hAnsiTheme="minorBidi" w:cstheme="minorBidi"/>
          <w:sz w:val="24"/>
          <w:szCs w:val="24"/>
        </w:rPr>
        <w:t xml:space="preserve"> of teaching Torah to </w:t>
      </w:r>
      <w:r w:rsidR="00CE107E" w:rsidRPr="00250798">
        <w:rPr>
          <w:rFonts w:asciiTheme="minorBidi" w:hAnsiTheme="minorBidi" w:cstheme="minorBidi"/>
          <w:sz w:val="24"/>
          <w:szCs w:val="24"/>
        </w:rPr>
        <w:t>non-Jews</w:t>
      </w:r>
      <w:r w:rsidR="00732AA1">
        <w:rPr>
          <w:rFonts w:asciiTheme="minorBidi" w:hAnsiTheme="minorBidi" w:cstheme="minorBidi"/>
          <w:sz w:val="24"/>
          <w:szCs w:val="24"/>
        </w:rPr>
        <w:t xml:space="preserve"> as rooted in the concept</w:t>
      </w:r>
      <w:r w:rsidRPr="00250798">
        <w:rPr>
          <w:rFonts w:asciiTheme="minorBidi" w:hAnsiTheme="minorBidi" w:cstheme="minorBidi"/>
          <w:sz w:val="24"/>
          <w:szCs w:val="24"/>
        </w:rPr>
        <w:t xml:space="preserve"> that the Torah is a treasured gift given by God to the</w:t>
      </w:r>
      <w:r w:rsidR="00732AA1">
        <w:rPr>
          <w:rFonts w:asciiTheme="minorBidi" w:hAnsiTheme="minorBidi" w:cstheme="minorBidi"/>
          <w:sz w:val="24"/>
          <w:szCs w:val="24"/>
        </w:rPr>
        <w:t xml:space="preserve"> Jewish people</w:t>
      </w:r>
      <w:r w:rsidR="009346D9">
        <w:rPr>
          <w:rFonts w:asciiTheme="minorBidi" w:hAnsiTheme="minorBidi" w:cstheme="minorBidi"/>
          <w:sz w:val="24"/>
          <w:szCs w:val="24"/>
        </w:rPr>
        <w:t xml:space="preserve"> </w:t>
      </w:r>
      <w:r w:rsidR="00732AA1">
        <w:rPr>
          <w:rFonts w:asciiTheme="minorBidi" w:hAnsiTheme="minorBidi" w:cstheme="minorBidi"/>
          <w:sz w:val="24"/>
          <w:szCs w:val="24"/>
        </w:rPr>
        <w:t>, symbolizing</w:t>
      </w:r>
      <w:r w:rsidRPr="00250798">
        <w:rPr>
          <w:rFonts w:asciiTheme="minorBidi" w:hAnsiTheme="minorBidi" w:cstheme="minorBidi"/>
          <w:sz w:val="24"/>
          <w:szCs w:val="24"/>
        </w:rPr>
        <w:t xml:space="preserve"> their covenantal relationship, helps to account for a number of additional sources. First, as noted in our last </w:t>
      </w:r>
      <w:r w:rsidR="00874FEC" w:rsidRPr="00250798">
        <w:rPr>
          <w:rFonts w:asciiTheme="minorBidi" w:hAnsiTheme="minorBidi" w:cstheme="minorBidi"/>
          <w:i/>
          <w:sz w:val="24"/>
          <w:szCs w:val="24"/>
        </w:rPr>
        <w:t>shiur</w:t>
      </w:r>
      <w:r w:rsidRPr="00250798">
        <w:rPr>
          <w:rFonts w:asciiTheme="minorBidi" w:hAnsiTheme="minorBidi" w:cstheme="minorBidi"/>
          <w:sz w:val="24"/>
          <w:szCs w:val="24"/>
        </w:rPr>
        <w:t>, Maharatz Chayot (</w:t>
      </w:r>
      <w:r w:rsidR="00CE107E" w:rsidRPr="00250798">
        <w:rPr>
          <w:rFonts w:asciiTheme="minorBidi" w:hAnsiTheme="minorBidi" w:cstheme="minorBidi"/>
          <w:i/>
          <w:sz w:val="24"/>
          <w:szCs w:val="24"/>
        </w:rPr>
        <w:t>Sota</w:t>
      </w:r>
      <w:r w:rsidRPr="00250798">
        <w:rPr>
          <w:rFonts w:asciiTheme="minorBidi" w:hAnsiTheme="minorBidi" w:cstheme="minorBidi"/>
          <w:sz w:val="24"/>
          <w:szCs w:val="24"/>
        </w:rPr>
        <w:t xml:space="preserve"> 35b s.v. </w:t>
      </w:r>
      <w:r w:rsidR="00CE107E" w:rsidRPr="00250798">
        <w:rPr>
          <w:rFonts w:asciiTheme="minorBidi" w:hAnsiTheme="minorBidi" w:cstheme="minorBidi"/>
          <w:i/>
          <w:sz w:val="24"/>
          <w:szCs w:val="24"/>
          <w:lang w:val="en-US"/>
        </w:rPr>
        <w:t>L</w:t>
      </w:r>
      <w:r w:rsidRPr="00250798">
        <w:rPr>
          <w:rFonts w:asciiTheme="minorBidi" w:hAnsiTheme="minorBidi" w:cstheme="minorBidi"/>
          <w:i/>
          <w:sz w:val="24"/>
          <w:szCs w:val="24"/>
        </w:rPr>
        <w:t>i</w:t>
      </w:r>
      <w:r w:rsidR="00CE107E" w:rsidRPr="00250798">
        <w:rPr>
          <w:rFonts w:asciiTheme="minorBidi" w:hAnsiTheme="minorBidi" w:cstheme="minorBidi"/>
          <w:i/>
          <w:sz w:val="24"/>
          <w:szCs w:val="24"/>
        </w:rPr>
        <w:t>-</w:t>
      </w:r>
      <w:r w:rsidRPr="00250798">
        <w:rPr>
          <w:rFonts w:asciiTheme="minorBidi" w:hAnsiTheme="minorBidi" w:cstheme="minorBidi"/>
          <w:i/>
          <w:sz w:val="24"/>
          <w:szCs w:val="24"/>
        </w:rPr>
        <w:t>dvarekha</w:t>
      </w:r>
      <w:r w:rsidR="00E96045" w:rsidRPr="00250798">
        <w:rPr>
          <w:rFonts w:asciiTheme="minorBidi" w:hAnsiTheme="minorBidi" w:cstheme="minorBidi"/>
          <w:sz w:val="24"/>
          <w:szCs w:val="24"/>
        </w:rPr>
        <w:t xml:space="preserve">), </w:t>
      </w:r>
      <w:r w:rsidRPr="00250798">
        <w:rPr>
          <w:rFonts w:asciiTheme="minorBidi" w:hAnsiTheme="minorBidi" w:cstheme="minorBidi"/>
          <w:iCs/>
          <w:sz w:val="24"/>
          <w:szCs w:val="24"/>
        </w:rPr>
        <w:t>Yehuda Ya’aleh</w:t>
      </w:r>
      <w:r w:rsidR="00E96045" w:rsidRPr="00250798">
        <w:rPr>
          <w:rFonts w:asciiTheme="minorBidi" w:hAnsiTheme="minorBidi" w:cstheme="minorBidi"/>
          <w:sz w:val="24"/>
          <w:szCs w:val="24"/>
        </w:rPr>
        <w:t xml:space="preserve"> (</w:t>
      </w:r>
      <w:r w:rsidR="00E96045" w:rsidRPr="00250798">
        <w:rPr>
          <w:rFonts w:asciiTheme="minorBidi" w:hAnsiTheme="minorBidi" w:cstheme="minorBidi"/>
          <w:i/>
          <w:iCs/>
          <w:sz w:val="24"/>
          <w:szCs w:val="24"/>
        </w:rPr>
        <w:t>OC</w:t>
      </w:r>
      <w:r w:rsidRPr="00250798">
        <w:rPr>
          <w:rFonts w:asciiTheme="minorBidi" w:hAnsiTheme="minorBidi" w:cstheme="minorBidi"/>
          <w:sz w:val="24"/>
          <w:szCs w:val="24"/>
        </w:rPr>
        <w:t xml:space="preserve"> 1:4) and Netziv (</w:t>
      </w:r>
      <w:r w:rsidR="00CE107E" w:rsidRPr="00250798">
        <w:rPr>
          <w:rFonts w:asciiTheme="minorBidi" w:hAnsiTheme="minorBidi" w:cstheme="minorBidi"/>
          <w:i/>
          <w:sz w:val="24"/>
          <w:szCs w:val="24"/>
        </w:rPr>
        <w:t>Meshiv</w:t>
      </w:r>
      <w:r w:rsidRPr="00250798">
        <w:rPr>
          <w:rFonts w:asciiTheme="minorBidi" w:hAnsiTheme="minorBidi" w:cstheme="minorBidi"/>
          <w:i/>
          <w:sz w:val="24"/>
          <w:szCs w:val="24"/>
        </w:rPr>
        <w:t xml:space="preserve"> Davar</w:t>
      </w:r>
      <w:r w:rsidRPr="00250798">
        <w:rPr>
          <w:rFonts w:asciiTheme="minorBidi" w:hAnsiTheme="minorBidi" w:cstheme="minorBidi"/>
          <w:sz w:val="24"/>
          <w:szCs w:val="24"/>
        </w:rPr>
        <w:t xml:space="preserve"> 2:77) claim that the prohibition is limited to the Oral Torah; the Written Torah may be taught without reservation. While this assertion is hotly disputed (see, for example, Responsa </w:t>
      </w:r>
      <w:r w:rsidRPr="00250798">
        <w:rPr>
          <w:rFonts w:asciiTheme="minorBidi" w:hAnsiTheme="minorBidi" w:cstheme="minorBidi"/>
          <w:i/>
          <w:sz w:val="24"/>
          <w:szCs w:val="24"/>
        </w:rPr>
        <w:t>Vayomer Yitzchak</w:t>
      </w:r>
      <w:r w:rsidR="00E96045" w:rsidRPr="00250798">
        <w:rPr>
          <w:rFonts w:asciiTheme="minorBidi" w:hAnsiTheme="minorBidi" w:cstheme="minorBidi"/>
          <w:sz w:val="24"/>
          <w:szCs w:val="24"/>
        </w:rPr>
        <w:t xml:space="preserve"> </w:t>
      </w:r>
      <w:r w:rsidR="00E96045" w:rsidRPr="00250798">
        <w:rPr>
          <w:rFonts w:asciiTheme="minorBidi" w:hAnsiTheme="minorBidi" w:cstheme="minorBidi"/>
          <w:i/>
          <w:iCs/>
          <w:sz w:val="24"/>
          <w:szCs w:val="24"/>
        </w:rPr>
        <w:t>OC</w:t>
      </w:r>
      <w:r w:rsidRPr="00250798">
        <w:rPr>
          <w:rFonts w:asciiTheme="minorBidi" w:hAnsiTheme="minorBidi" w:cstheme="minorBidi"/>
          <w:sz w:val="24"/>
          <w:szCs w:val="24"/>
        </w:rPr>
        <w:t xml:space="preserve"> 21), it fits perfectly with the rabbinical notion that the covenant was particularly crafted around the Oral Torah. </w:t>
      </w:r>
    </w:p>
    <w:p w:rsidR="00CB40FD" w:rsidRPr="00250798" w:rsidRDefault="00CB40FD" w:rsidP="00D47EBD">
      <w:pPr>
        <w:spacing w:line="240" w:lineRule="auto"/>
        <w:jc w:val="both"/>
        <w:rPr>
          <w:rFonts w:asciiTheme="minorBidi" w:hAnsiTheme="minorBidi" w:cstheme="minorBidi"/>
          <w:sz w:val="24"/>
          <w:szCs w:val="24"/>
        </w:rPr>
      </w:pPr>
    </w:p>
    <w:p w:rsidR="00CB40FD" w:rsidRPr="00250798" w:rsidRDefault="00CB40FD" w:rsidP="00D47EBD">
      <w:pPr>
        <w:spacing w:line="240" w:lineRule="auto"/>
        <w:jc w:val="both"/>
        <w:rPr>
          <w:rFonts w:asciiTheme="minorBidi" w:hAnsiTheme="minorBidi" w:cstheme="minorBidi"/>
          <w:sz w:val="24"/>
          <w:szCs w:val="24"/>
        </w:rPr>
      </w:pPr>
      <w:r w:rsidRPr="00250798">
        <w:rPr>
          <w:rFonts w:asciiTheme="minorBidi" w:hAnsiTheme="minorBidi" w:cstheme="minorBidi"/>
          <w:sz w:val="24"/>
          <w:szCs w:val="24"/>
        </w:rPr>
        <w:t xml:space="preserve">This also helps to account for the similarity between our subject and the Gemara’s parallel ruling that </w:t>
      </w:r>
      <w:r w:rsidR="0045457A" w:rsidRPr="00250798">
        <w:rPr>
          <w:rFonts w:asciiTheme="minorBidi" w:hAnsiTheme="minorBidi" w:cstheme="minorBidi"/>
          <w:sz w:val="24"/>
          <w:szCs w:val="24"/>
        </w:rPr>
        <w:t>a non-Jew</w:t>
      </w:r>
      <w:r w:rsidRPr="00250798">
        <w:rPr>
          <w:rFonts w:asciiTheme="minorBidi" w:hAnsiTheme="minorBidi" w:cstheme="minorBidi"/>
          <w:sz w:val="24"/>
          <w:szCs w:val="24"/>
        </w:rPr>
        <w:t xml:space="preserve"> who rest</w:t>
      </w:r>
      <w:r w:rsidR="00E96045" w:rsidRPr="00250798">
        <w:rPr>
          <w:rFonts w:asciiTheme="minorBidi" w:hAnsiTheme="minorBidi" w:cstheme="minorBidi"/>
          <w:sz w:val="24"/>
          <w:szCs w:val="24"/>
        </w:rPr>
        <w:t>s on Shabbat is liable to death, as Reish Lakish declares on the previous page (</w:t>
      </w:r>
      <w:r w:rsidR="009346D9" w:rsidRPr="009346D9">
        <w:rPr>
          <w:rFonts w:asciiTheme="minorBidi" w:hAnsiTheme="minorBidi" w:cstheme="minorBidi"/>
          <w:i/>
          <w:sz w:val="24"/>
          <w:szCs w:val="24"/>
        </w:rPr>
        <w:t>Sanhedrin</w:t>
      </w:r>
      <w:r w:rsidR="00E96045" w:rsidRPr="00250798">
        <w:rPr>
          <w:rFonts w:asciiTheme="minorBidi" w:hAnsiTheme="minorBidi" w:cstheme="minorBidi"/>
          <w:sz w:val="24"/>
          <w:szCs w:val="24"/>
        </w:rPr>
        <w:t xml:space="preserve"> 58b).</w:t>
      </w:r>
      <w:r w:rsidRPr="00250798">
        <w:rPr>
          <w:rFonts w:asciiTheme="minorBidi" w:hAnsiTheme="minorBidi" w:cstheme="minorBidi"/>
          <w:sz w:val="24"/>
          <w:szCs w:val="24"/>
        </w:rPr>
        <w:t xml:space="preserve"> The common denominator between Shabbat and Torah study is that both are emblemati</w:t>
      </w:r>
      <w:r w:rsidR="00E96045" w:rsidRPr="00250798">
        <w:rPr>
          <w:rFonts w:asciiTheme="minorBidi" w:hAnsiTheme="minorBidi" w:cstheme="minorBidi"/>
          <w:sz w:val="24"/>
          <w:szCs w:val="24"/>
        </w:rPr>
        <w:t>c of the covenant between God</w:t>
      </w:r>
      <w:r w:rsidRPr="00250798">
        <w:rPr>
          <w:rFonts w:asciiTheme="minorBidi" w:hAnsiTheme="minorBidi" w:cstheme="minorBidi"/>
          <w:sz w:val="24"/>
          <w:szCs w:val="24"/>
        </w:rPr>
        <w:t xml:space="preserve"> and His people; it is highly reasonable, therefore, that the Gemara goes out of its way to exclude </w:t>
      </w:r>
      <w:r w:rsidR="00CE107E" w:rsidRPr="00250798">
        <w:rPr>
          <w:rFonts w:asciiTheme="minorBidi" w:hAnsiTheme="minorBidi" w:cstheme="minorBidi"/>
          <w:sz w:val="24"/>
          <w:szCs w:val="24"/>
        </w:rPr>
        <w:t>non-Jews</w:t>
      </w:r>
      <w:r w:rsidRPr="00250798">
        <w:rPr>
          <w:rFonts w:asciiTheme="minorBidi" w:hAnsiTheme="minorBidi" w:cstheme="minorBidi"/>
          <w:sz w:val="24"/>
          <w:szCs w:val="24"/>
        </w:rPr>
        <w:t xml:space="preserve"> from both categories. </w:t>
      </w:r>
    </w:p>
    <w:p w:rsidR="00CB40FD" w:rsidRPr="00250798" w:rsidRDefault="00CB40FD" w:rsidP="00D47EBD">
      <w:pPr>
        <w:spacing w:line="240" w:lineRule="auto"/>
        <w:jc w:val="both"/>
        <w:rPr>
          <w:rFonts w:asciiTheme="minorBidi" w:hAnsiTheme="minorBidi" w:cstheme="minorBidi"/>
          <w:sz w:val="24"/>
          <w:szCs w:val="24"/>
        </w:rPr>
      </w:pPr>
    </w:p>
    <w:p w:rsidR="00E96045" w:rsidRPr="00250798" w:rsidRDefault="00CB40FD" w:rsidP="00D47EBD">
      <w:pPr>
        <w:spacing w:line="240" w:lineRule="auto"/>
        <w:jc w:val="both"/>
        <w:rPr>
          <w:rFonts w:asciiTheme="minorBidi" w:hAnsiTheme="minorBidi" w:cstheme="minorBidi"/>
          <w:sz w:val="24"/>
          <w:szCs w:val="24"/>
        </w:rPr>
      </w:pPr>
      <w:r w:rsidRPr="00250798">
        <w:rPr>
          <w:rFonts w:asciiTheme="minorBidi" w:hAnsiTheme="minorBidi" w:cstheme="minorBidi"/>
          <w:sz w:val="24"/>
          <w:szCs w:val="24"/>
        </w:rPr>
        <w:t xml:space="preserve">Finally, a number of </w:t>
      </w:r>
      <w:r w:rsidR="00CE107E" w:rsidRPr="00250798">
        <w:rPr>
          <w:rFonts w:asciiTheme="minorBidi" w:hAnsiTheme="minorBidi" w:cstheme="minorBidi"/>
          <w:iCs/>
          <w:sz w:val="24"/>
          <w:szCs w:val="24"/>
        </w:rPr>
        <w:t>Acharonim</w:t>
      </w:r>
      <w:r w:rsidRPr="00250798">
        <w:rPr>
          <w:rFonts w:asciiTheme="minorBidi" w:hAnsiTheme="minorBidi" w:cstheme="minorBidi"/>
          <w:sz w:val="24"/>
          <w:szCs w:val="24"/>
        </w:rPr>
        <w:t xml:space="preserve"> make the striking suggestion that </w:t>
      </w:r>
      <w:r w:rsidR="0045457A" w:rsidRPr="00250798">
        <w:rPr>
          <w:rFonts w:asciiTheme="minorBidi" w:hAnsiTheme="minorBidi" w:cstheme="minorBidi"/>
          <w:sz w:val="24"/>
          <w:szCs w:val="24"/>
        </w:rPr>
        <w:t>a non-Jew</w:t>
      </w:r>
      <w:r w:rsidRPr="00250798">
        <w:rPr>
          <w:rFonts w:asciiTheme="minorBidi" w:hAnsiTheme="minorBidi" w:cstheme="minorBidi"/>
          <w:sz w:val="24"/>
          <w:szCs w:val="24"/>
        </w:rPr>
        <w:t xml:space="preserve"> is not precluded from all forms of </w:t>
      </w:r>
      <w:r w:rsidRPr="00250798">
        <w:rPr>
          <w:rFonts w:asciiTheme="minorBidi" w:hAnsiTheme="minorBidi" w:cstheme="minorBidi"/>
          <w:i/>
          <w:sz w:val="24"/>
          <w:szCs w:val="24"/>
        </w:rPr>
        <w:t>talmud Torah</w:t>
      </w:r>
      <w:r w:rsidRPr="00250798">
        <w:rPr>
          <w:rFonts w:asciiTheme="minorBidi" w:hAnsiTheme="minorBidi" w:cstheme="minorBidi"/>
          <w:sz w:val="24"/>
          <w:szCs w:val="24"/>
        </w:rPr>
        <w:t>. Tiferet Yisrael (</w:t>
      </w:r>
      <w:r w:rsidR="00CE107E" w:rsidRPr="00250798">
        <w:rPr>
          <w:rFonts w:asciiTheme="minorBidi" w:hAnsiTheme="minorBidi" w:cstheme="minorBidi"/>
          <w:i/>
          <w:sz w:val="24"/>
          <w:szCs w:val="24"/>
        </w:rPr>
        <w:t>Zevachim</w:t>
      </w:r>
      <w:r w:rsidRPr="00250798">
        <w:rPr>
          <w:rFonts w:asciiTheme="minorBidi" w:hAnsiTheme="minorBidi" w:cstheme="minorBidi"/>
          <w:sz w:val="24"/>
          <w:szCs w:val="24"/>
        </w:rPr>
        <w:t xml:space="preserve"> 14:36) and Seridei </w:t>
      </w:r>
      <w:r w:rsidR="00CE107E" w:rsidRPr="00250798">
        <w:rPr>
          <w:rFonts w:asciiTheme="minorBidi" w:hAnsiTheme="minorBidi" w:cstheme="minorBidi"/>
          <w:sz w:val="24"/>
          <w:szCs w:val="24"/>
        </w:rPr>
        <w:t>Esh</w:t>
      </w:r>
      <w:r w:rsidRPr="00250798">
        <w:rPr>
          <w:rFonts w:asciiTheme="minorBidi" w:hAnsiTheme="minorBidi" w:cstheme="minorBidi"/>
          <w:sz w:val="24"/>
          <w:szCs w:val="24"/>
        </w:rPr>
        <w:t xml:space="preserve"> (2:56) contend that </w:t>
      </w:r>
      <w:r w:rsidR="0045457A" w:rsidRPr="00250798">
        <w:rPr>
          <w:rFonts w:asciiTheme="minorBidi" w:hAnsiTheme="minorBidi" w:cstheme="minorBidi"/>
          <w:sz w:val="24"/>
          <w:szCs w:val="24"/>
        </w:rPr>
        <w:t>a non-Jew</w:t>
      </w:r>
      <w:r w:rsidRPr="00250798">
        <w:rPr>
          <w:rFonts w:asciiTheme="minorBidi" w:hAnsiTheme="minorBidi" w:cstheme="minorBidi"/>
          <w:sz w:val="24"/>
          <w:szCs w:val="24"/>
        </w:rPr>
        <w:t xml:space="preserve"> who studies without in-depth analysis does not fall under the rubric of this prohibition. (See also </w:t>
      </w:r>
      <w:r w:rsidRPr="00250798">
        <w:rPr>
          <w:rFonts w:asciiTheme="minorBidi" w:hAnsiTheme="minorBidi" w:cstheme="minorBidi"/>
          <w:iCs/>
          <w:sz w:val="24"/>
          <w:szCs w:val="24"/>
        </w:rPr>
        <w:t xml:space="preserve">Yehuda </w:t>
      </w:r>
      <w:r w:rsidR="00CE107E" w:rsidRPr="00250798">
        <w:rPr>
          <w:rFonts w:asciiTheme="minorBidi" w:hAnsiTheme="minorBidi" w:cstheme="minorBidi"/>
          <w:iCs/>
          <w:sz w:val="24"/>
          <w:szCs w:val="24"/>
        </w:rPr>
        <w:t>Ya’aleh</w:t>
      </w:r>
      <w:r w:rsidRPr="00250798">
        <w:rPr>
          <w:rFonts w:asciiTheme="minorBidi" w:hAnsiTheme="minorBidi" w:cstheme="minorBidi"/>
          <w:i/>
          <w:sz w:val="24"/>
          <w:szCs w:val="24"/>
        </w:rPr>
        <w:t xml:space="preserve"> </w:t>
      </w:r>
      <w:r w:rsidR="00E96045" w:rsidRPr="00250798">
        <w:rPr>
          <w:rFonts w:asciiTheme="minorBidi" w:hAnsiTheme="minorBidi" w:cstheme="minorBidi"/>
          <w:i/>
          <w:iCs/>
          <w:sz w:val="24"/>
          <w:szCs w:val="24"/>
        </w:rPr>
        <w:t>OC</w:t>
      </w:r>
      <w:r w:rsidRPr="00250798">
        <w:rPr>
          <w:rFonts w:asciiTheme="minorBidi" w:hAnsiTheme="minorBidi" w:cstheme="minorBidi"/>
          <w:sz w:val="24"/>
          <w:szCs w:val="24"/>
        </w:rPr>
        <w:t xml:space="preserve"> 4). Indeed, I once heard HaRav Mosheh Lichtenstein propose precisely this distinction. </w:t>
      </w:r>
    </w:p>
    <w:p w:rsidR="00E96045" w:rsidRPr="00250798" w:rsidRDefault="00E96045" w:rsidP="00D47EBD">
      <w:pPr>
        <w:spacing w:line="240" w:lineRule="auto"/>
        <w:jc w:val="both"/>
        <w:rPr>
          <w:rFonts w:asciiTheme="minorBidi" w:hAnsiTheme="minorBidi" w:cstheme="minorBidi"/>
          <w:sz w:val="24"/>
          <w:szCs w:val="24"/>
        </w:rPr>
      </w:pPr>
    </w:p>
    <w:p w:rsidR="00CB40FD" w:rsidRPr="00250798" w:rsidRDefault="00CB40FD" w:rsidP="00D47EBD">
      <w:pPr>
        <w:spacing w:line="240" w:lineRule="auto"/>
        <w:jc w:val="both"/>
        <w:rPr>
          <w:rFonts w:asciiTheme="minorBidi" w:hAnsiTheme="minorBidi" w:cstheme="minorBidi"/>
          <w:sz w:val="24"/>
          <w:szCs w:val="24"/>
          <w:highlight w:val="white"/>
        </w:rPr>
      </w:pPr>
      <w:r w:rsidRPr="00250798">
        <w:rPr>
          <w:rFonts w:asciiTheme="minorBidi" w:hAnsiTheme="minorBidi" w:cstheme="minorBidi"/>
          <w:sz w:val="24"/>
          <w:szCs w:val="24"/>
          <w:highlight w:val="white"/>
        </w:rPr>
        <w:lastRenderedPageBreak/>
        <w:t>This striking suggestion also fits well with the approach we outlined</w:t>
      </w:r>
      <w:r w:rsidR="00E96045" w:rsidRPr="00250798">
        <w:rPr>
          <w:rFonts w:asciiTheme="minorBidi" w:hAnsiTheme="minorBidi" w:cstheme="minorBidi"/>
          <w:sz w:val="24"/>
          <w:szCs w:val="24"/>
          <w:highlight w:val="white"/>
        </w:rPr>
        <w:t xml:space="preserve"> </w:t>
      </w:r>
      <w:r w:rsidR="00250798" w:rsidRPr="00250798">
        <w:rPr>
          <w:rFonts w:asciiTheme="minorBidi" w:hAnsiTheme="minorBidi" w:cstheme="minorBidi"/>
          <w:sz w:val="24"/>
          <w:szCs w:val="24"/>
          <w:highlight w:val="white"/>
        </w:rPr>
        <w:t>previously</w:t>
      </w:r>
      <w:r w:rsidR="00E96045" w:rsidRPr="00250798">
        <w:rPr>
          <w:rFonts w:asciiTheme="minorBidi" w:hAnsiTheme="minorBidi" w:cstheme="minorBidi"/>
          <w:sz w:val="24"/>
          <w:szCs w:val="24"/>
          <w:highlight w:val="white"/>
        </w:rPr>
        <w:t xml:space="preserve">. As </w:t>
      </w:r>
      <w:r w:rsidR="00E96045" w:rsidRPr="00250798">
        <w:rPr>
          <w:rFonts w:asciiTheme="minorBidi" w:hAnsiTheme="minorBidi" w:cstheme="minorBidi"/>
          <w:i/>
          <w:iCs/>
          <w:sz w:val="24"/>
          <w:szCs w:val="24"/>
          <w:highlight w:val="white"/>
        </w:rPr>
        <w:t>Midrash Tanchuma (</w:t>
      </w:r>
      <w:r w:rsidR="00E96045" w:rsidRPr="00250798">
        <w:rPr>
          <w:rFonts w:asciiTheme="minorBidi" w:hAnsiTheme="minorBidi" w:cstheme="minorBidi"/>
          <w:i/>
          <w:sz w:val="24"/>
          <w:szCs w:val="24"/>
          <w:highlight w:val="white"/>
        </w:rPr>
        <w:t>Pa</w:t>
      </w:r>
      <w:r w:rsidR="00CE107E" w:rsidRPr="00250798">
        <w:rPr>
          <w:rFonts w:asciiTheme="minorBidi" w:hAnsiTheme="minorBidi" w:cstheme="minorBidi"/>
          <w:i/>
          <w:sz w:val="24"/>
          <w:szCs w:val="24"/>
          <w:highlight w:val="white"/>
        </w:rPr>
        <w:t>rashat</w:t>
      </w:r>
      <w:r w:rsidRPr="00250798">
        <w:rPr>
          <w:rFonts w:asciiTheme="minorBidi" w:hAnsiTheme="minorBidi" w:cstheme="minorBidi"/>
          <w:i/>
          <w:sz w:val="24"/>
          <w:szCs w:val="24"/>
          <w:highlight w:val="white"/>
        </w:rPr>
        <w:t xml:space="preserve"> Noach</w:t>
      </w:r>
      <w:r w:rsidR="00E96045" w:rsidRPr="00250798">
        <w:rPr>
          <w:rFonts w:asciiTheme="minorBidi" w:hAnsiTheme="minorBidi" w:cstheme="minorBidi"/>
          <w:i/>
          <w:sz w:val="24"/>
          <w:szCs w:val="24"/>
          <w:highlight w:val="white"/>
        </w:rPr>
        <w:t xml:space="preserve"> </w:t>
      </w:r>
      <w:r w:rsidR="00E96045" w:rsidRPr="00250798">
        <w:rPr>
          <w:rFonts w:asciiTheme="minorBidi" w:hAnsiTheme="minorBidi" w:cstheme="minorBidi"/>
          <w:iCs/>
          <w:sz w:val="24"/>
          <w:szCs w:val="24"/>
          <w:highlight w:val="white"/>
        </w:rPr>
        <w:t>3</w:t>
      </w:r>
      <w:r w:rsidRPr="00250798">
        <w:rPr>
          <w:rFonts w:asciiTheme="minorBidi" w:hAnsiTheme="minorBidi" w:cstheme="minorBidi"/>
          <w:sz w:val="24"/>
          <w:szCs w:val="24"/>
          <w:highlight w:val="white"/>
        </w:rPr>
        <w:t>, cited in our pr</w:t>
      </w:r>
      <w:r w:rsidR="00E96045" w:rsidRPr="00250798">
        <w:rPr>
          <w:rFonts w:asciiTheme="minorBidi" w:hAnsiTheme="minorBidi" w:cstheme="minorBidi"/>
          <w:sz w:val="24"/>
          <w:szCs w:val="24"/>
          <w:highlight w:val="white"/>
        </w:rPr>
        <w:t>ior</w:t>
      </w:r>
      <w:r w:rsidRPr="00250798">
        <w:rPr>
          <w:rFonts w:asciiTheme="minorBidi" w:hAnsiTheme="minorBidi" w:cstheme="minorBidi"/>
          <w:sz w:val="24"/>
          <w:szCs w:val="24"/>
          <w:highlight w:val="white"/>
        </w:rPr>
        <w:t xml:space="preserve"> </w:t>
      </w:r>
      <w:r w:rsidR="00874FEC" w:rsidRPr="00250798">
        <w:rPr>
          <w:rFonts w:asciiTheme="minorBidi" w:hAnsiTheme="minorBidi" w:cstheme="minorBidi"/>
          <w:i/>
          <w:sz w:val="24"/>
          <w:szCs w:val="24"/>
          <w:highlight w:val="white"/>
        </w:rPr>
        <w:t>shiur</w:t>
      </w:r>
      <w:r w:rsidRPr="00250798">
        <w:rPr>
          <w:rFonts w:asciiTheme="minorBidi" w:hAnsiTheme="minorBidi" w:cstheme="minorBidi"/>
          <w:sz w:val="24"/>
          <w:szCs w:val="24"/>
          <w:highlight w:val="white"/>
        </w:rPr>
        <w:t xml:space="preserve">) underscores, it is not only the content of Torah, but </w:t>
      </w:r>
      <w:r w:rsidR="00E96045" w:rsidRPr="00250798">
        <w:rPr>
          <w:rFonts w:asciiTheme="minorBidi" w:hAnsiTheme="minorBidi" w:cstheme="minorBidi"/>
          <w:sz w:val="24"/>
          <w:szCs w:val="24"/>
          <w:highlight w:val="white"/>
        </w:rPr>
        <w:t>its intensive study, that, for R</w:t>
      </w:r>
      <w:r w:rsidRPr="00250798">
        <w:rPr>
          <w:rFonts w:asciiTheme="minorBidi" w:hAnsiTheme="minorBidi" w:cstheme="minorBidi"/>
          <w:sz w:val="24"/>
          <w:szCs w:val="24"/>
          <w:highlight w:val="white"/>
        </w:rPr>
        <w:t xml:space="preserve">abbinical Judaism, forms the backbone of our covenantal relationship with God. Therefore, one can argue that </w:t>
      </w:r>
      <w:r w:rsidR="0045457A" w:rsidRPr="00250798">
        <w:rPr>
          <w:rFonts w:asciiTheme="minorBidi" w:hAnsiTheme="minorBidi" w:cstheme="minorBidi"/>
          <w:sz w:val="24"/>
          <w:szCs w:val="24"/>
          <w:highlight w:val="white"/>
        </w:rPr>
        <w:t>a non-Jew</w:t>
      </w:r>
      <w:r w:rsidR="00E96045" w:rsidRPr="00250798">
        <w:rPr>
          <w:rFonts w:asciiTheme="minorBidi" w:hAnsiTheme="minorBidi" w:cstheme="minorBidi"/>
          <w:sz w:val="24"/>
          <w:szCs w:val="24"/>
          <w:highlight w:val="white"/>
        </w:rPr>
        <w:t xml:space="preserve"> who hears a lecture in no way compromises</w:t>
      </w:r>
      <w:r w:rsidRPr="00250798">
        <w:rPr>
          <w:rFonts w:asciiTheme="minorBidi" w:hAnsiTheme="minorBidi" w:cstheme="minorBidi"/>
          <w:sz w:val="24"/>
          <w:szCs w:val="24"/>
          <w:highlight w:val="white"/>
        </w:rPr>
        <w:t xml:space="preserve"> that unique covenantal rela</w:t>
      </w:r>
      <w:r w:rsidR="00E96045" w:rsidRPr="00250798">
        <w:rPr>
          <w:rFonts w:asciiTheme="minorBidi" w:hAnsiTheme="minorBidi" w:cstheme="minorBidi"/>
          <w:sz w:val="24"/>
          <w:szCs w:val="24"/>
          <w:highlight w:val="white"/>
        </w:rPr>
        <w:t xml:space="preserve">tionship; he or she has merely </w:t>
      </w:r>
      <w:r w:rsidRPr="00250798">
        <w:rPr>
          <w:rFonts w:asciiTheme="minorBidi" w:hAnsiTheme="minorBidi" w:cstheme="minorBidi"/>
          <w:sz w:val="24"/>
          <w:szCs w:val="24"/>
          <w:highlight w:val="white"/>
        </w:rPr>
        <w:t xml:space="preserve">listened to a </w:t>
      </w:r>
      <w:r w:rsidR="00874FEC" w:rsidRPr="00250798">
        <w:rPr>
          <w:rFonts w:asciiTheme="minorBidi" w:hAnsiTheme="minorBidi" w:cstheme="minorBidi"/>
          <w:i/>
          <w:sz w:val="24"/>
          <w:szCs w:val="24"/>
          <w:highlight w:val="white"/>
        </w:rPr>
        <w:t>shiur</w:t>
      </w:r>
      <w:r w:rsidR="00E96045" w:rsidRPr="00250798">
        <w:rPr>
          <w:rFonts w:asciiTheme="minorBidi" w:hAnsiTheme="minorBidi" w:cstheme="minorBidi"/>
          <w:sz w:val="24"/>
          <w:szCs w:val="24"/>
          <w:highlight w:val="white"/>
        </w:rPr>
        <w:t>.</w:t>
      </w:r>
      <w:r w:rsidRPr="00250798">
        <w:rPr>
          <w:rFonts w:asciiTheme="minorBidi" w:hAnsiTheme="minorBidi" w:cstheme="minorBidi"/>
          <w:sz w:val="24"/>
          <w:szCs w:val="24"/>
          <w:highlight w:val="white"/>
        </w:rPr>
        <w:t xml:space="preserve"> </w:t>
      </w:r>
    </w:p>
    <w:p w:rsidR="00CB40FD" w:rsidRPr="00250798" w:rsidRDefault="00CB40FD" w:rsidP="00D47EBD">
      <w:pPr>
        <w:spacing w:line="240" w:lineRule="auto"/>
        <w:jc w:val="both"/>
        <w:rPr>
          <w:rFonts w:asciiTheme="minorBidi" w:hAnsiTheme="minorBidi" w:cstheme="minorBidi"/>
          <w:sz w:val="24"/>
          <w:szCs w:val="24"/>
          <w:highlight w:val="white"/>
        </w:rPr>
      </w:pPr>
    </w:p>
    <w:p w:rsidR="00CB40FD" w:rsidRPr="00250798" w:rsidRDefault="00CB40FD" w:rsidP="00D47EBD">
      <w:pPr>
        <w:spacing w:line="240" w:lineRule="auto"/>
        <w:jc w:val="both"/>
        <w:rPr>
          <w:rFonts w:asciiTheme="minorBidi" w:hAnsiTheme="minorBidi" w:cstheme="minorBidi"/>
          <w:sz w:val="24"/>
          <w:szCs w:val="24"/>
          <w:highlight w:val="white"/>
        </w:rPr>
      </w:pPr>
      <w:r w:rsidRPr="00250798">
        <w:rPr>
          <w:rFonts w:asciiTheme="minorBidi" w:hAnsiTheme="minorBidi" w:cstheme="minorBidi"/>
          <w:sz w:val="24"/>
          <w:szCs w:val="24"/>
          <w:highlight w:val="white"/>
        </w:rPr>
        <w:t xml:space="preserve">We have seen, then, that the notion that Torah is the crux of our </w:t>
      </w:r>
      <w:r w:rsidRPr="00250798">
        <w:rPr>
          <w:rFonts w:asciiTheme="minorBidi" w:hAnsiTheme="minorBidi" w:cstheme="minorBidi"/>
          <w:i/>
          <w:sz w:val="24"/>
          <w:szCs w:val="24"/>
          <w:highlight w:val="white"/>
        </w:rPr>
        <w:t>brit</w:t>
      </w:r>
      <w:r w:rsidRPr="00250798">
        <w:rPr>
          <w:rFonts w:asciiTheme="minorBidi" w:hAnsiTheme="minorBidi" w:cstheme="minorBidi"/>
          <w:sz w:val="24"/>
          <w:szCs w:val="24"/>
          <w:highlight w:val="white"/>
        </w:rPr>
        <w:t xml:space="preserve"> with </w:t>
      </w:r>
      <w:r w:rsidR="009346D9">
        <w:rPr>
          <w:rFonts w:asciiTheme="minorBidi" w:hAnsiTheme="minorBidi" w:cstheme="minorBidi"/>
          <w:sz w:val="24"/>
          <w:szCs w:val="24"/>
          <w:highlight w:val="white"/>
        </w:rPr>
        <w:t>God</w:t>
      </w:r>
      <w:r w:rsidRPr="00250798">
        <w:rPr>
          <w:rFonts w:asciiTheme="minorBidi" w:hAnsiTheme="minorBidi" w:cstheme="minorBidi"/>
          <w:sz w:val="24"/>
          <w:szCs w:val="24"/>
          <w:highlight w:val="white"/>
        </w:rPr>
        <w:t xml:space="preserve"> finds echoes in the </w:t>
      </w:r>
      <w:r w:rsidR="00250798" w:rsidRPr="00250798">
        <w:rPr>
          <w:rFonts w:asciiTheme="minorBidi" w:hAnsiTheme="minorBidi" w:cstheme="minorBidi"/>
          <w:i/>
          <w:sz w:val="24"/>
          <w:szCs w:val="24"/>
          <w:highlight w:val="white"/>
        </w:rPr>
        <w:t>sugya</w:t>
      </w:r>
      <w:r w:rsidRPr="00250798">
        <w:rPr>
          <w:rFonts w:asciiTheme="minorBidi" w:hAnsiTheme="minorBidi" w:cstheme="minorBidi"/>
          <w:sz w:val="24"/>
          <w:szCs w:val="24"/>
          <w:highlight w:val="white"/>
        </w:rPr>
        <w:t xml:space="preserve"> of </w:t>
      </w:r>
      <w:r w:rsidRPr="00250798">
        <w:rPr>
          <w:rFonts w:asciiTheme="minorBidi" w:hAnsiTheme="minorBidi" w:cstheme="minorBidi"/>
          <w:i/>
          <w:sz w:val="24"/>
          <w:szCs w:val="24"/>
          <w:highlight w:val="white"/>
        </w:rPr>
        <w:t>talmud Torah</w:t>
      </w:r>
      <w:r w:rsidRPr="00250798">
        <w:rPr>
          <w:rFonts w:asciiTheme="minorBidi" w:hAnsiTheme="minorBidi" w:cstheme="minorBidi"/>
          <w:sz w:val="24"/>
          <w:szCs w:val="24"/>
          <w:highlight w:val="white"/>
        </w:rPr>
        <w:t xml:space="preserve"> for </w:t>
      </w:r>
      <w:r w:rsidR="00CE107E" w:rsidRPr="00250798">
        <w:rPr>
          <w:rFonts w:asciiTheme="minorBidi" w:hAnsiTheme="minorBidi" w:cstheme="minorBidi"/>
          <w:sz w:val="24"/>
          <w:szCs w:val="24"/>
          <w:highlight w:val="white"/>
        </w:rPr>
        <w:t>non-Jews</w:t>
      </w:r>
      <w:r w:rsidRPr="00250798">
        <w:rPr>
          <w:rFonts w:asciiTheme="minorBidi" w:hAnsiTheme="minorBidi" w:cstheme="minorBidi"/>
          <w:sz w:val="24"/>
          <w:szCs w:val="24"/>
          <w:highlight w:val="white"/>
        </w:rPr>
        <w:t xml:space="preserve">. Not only does this approach seem to emerge quite naturally from the language of the </w:t>
      </w:r>
      <w:r w:rsidR="00250798" w:rsidRPr="00250798">
        <w:rPr>
          <w:rFonts w:asciiTheme="minorBidi" w:hAnsiTheme="minorBidi" w:cstheme="minorBidi"/>
          <w:i/>
          <w:sz w:val="24"/>
          <w:szCs w:val="24"/>
          <w:highlight w:val="white"/>
        </w:rPr>
        <w:t>sugyot</w:t>
      </w:r>
      <w:r w:rsidRPr="00250798">
        <w:rPr>
          <w:rFonts w:asciiTheme="minorBidi" w:hAnsiTheme="minorBidi" w:cstheme="minorBidi"/>
          <w:sz w:val="24"/>
          <w:szCs w:val="24"/>
          <w:highlight w:val="white"/>
        </w:rPr>
        <w:t xml:space="preserve"> in both </w:t>
      </w:r>
      <w:r w:rsidR="009346D9" w:rsidRPr="009346D9">
        <w:rPr>
          <w:rFonts w:asciiTheme="minorBidi" w:hAnsiTheme="minorBidi" w:cstheme="minorBidi"/>
          <w:i/>
          <w:sz w:val="24"/>
          <w:szCs w:val="24"/>
          <w:highlight w:val="white"/>
        </w:rPr>
        <w:t>Sanhedrin</w:t>
      </w:r>
      <w:r w:rsidRPr="00250798">
        <w:rPr>
          <w:rFonts w:asciiTheme="minorBidi" w:hAnsiTheme="minorBidi" w:cstheme="minorBidi"/>
          <w:sz w:val="24"/>
          <w:szCs w:val="24"/>
          <w:highlight w:val="white"/>
        </w:rPr>
        <w:t xml:space="preserve"> and </w:t>
      </w:r>
      <w:r w:rsidR="009346D9" w:rsidRPr="009346D9">
        <w:rPr>
          <w:rFonts w:asciiTheme="minorBidi" w:hAnsiTheme="minorBidi" w:cstheme="minorBidi"/>
          <w:i/>
          <w:sz w:val="24"/>
          <w:szCs w:val="24"/>
          <w:highlight w:val="white"/>
        </w:rPr>
        <w:t>Chagiga</w:t>
      </w:r>
      <w:r w:rsidRPr="00250798">
        <w:rPr>
          <w:rFonts w:asciiTheme="minorBidi" w:hAnsiTheme="minorBidi" w:cstheme="minorBidi"/>
          <w:sz w:val="24"/>
          <w:szCs w:val="24"/>
          <w:highlight w:val="white"/>
        </w:rPr>
        <w:t>, it has echoes in the later commentaries as well. This “intrinsic” view on the one hand might imply a stricter applicat</w:t>
      </w:r>
      <w:r w:rsidR="00250798" w:rsidRPr="00250798">
        <w:rPr>
          <w:rFonts w:asciiTheme="minorBidi" w:hAnsiTheme="minorBidi" w:cstheme="minorBidi"/>
          <w:sz w:val="24"/>
          <w:szCs w:val="24"/>
          <w:highlight w:val="white"/>
        </w:rPr>
        <w:t xml:space="preserve">ion of the prohibition than </w:t>
      </w:r>
      <w:r w:rsidRPr="00250798">
        <w:rPr>
          <w:rFonts w:asciiTheme="minorBidi" w:hAnsiTheme="minorBidi" w:cstheme="minorBidi"/>
          <w:sz w:val="24"/>
          <w:szCs w:val="24"/>
          <w:highlight w:val="white"/>
        </w:rPr>
        <w:t xml:space="preserve">Meiri’s extrinsic reading, but </w:t>
      </w:r>
      <w:r w:rsidR="00250798" w:rsidRPr="00250798">
        <w:rPr>
          <w:rFonts w:asciiTheme="minorBidi" w:hAnsiTheme="minorBidi" w:cstheme="minorBidi"/>
          <w:sz w:val="24"/>
          <w:szCs w:val="24"/>
          <w:highlight w:val="white"/>
        </w:rPr>
        <w:t xml:space="preserve">it </w:t>
      </w:r>
      <w:r w:rsidRPr="00250798">
        <w:rPr>
          <w:rFonts w:asciiTheme="minorBidi" w:hAnsiTheme="minorBidi" w:cstheme="minorBidi"/>
          <w:sz w:val="24"/>
          <w:szCs w:val="24"/>
          <w:highlight w:val="white"/>
        </w:rPr>
        <w:t xml:space="preserve">also might account for distinctions between study of the Written and Oral Torah, and, fascinatingly, even between different modes of study. </w:t>
      </w:r>
    </w:p>
    <w:p w:rsidR="00250798" w:rsidRPr="00250798" w:rsidRDefault="00250798" w:rsidP="00D47EBD">
      <w:pPr>
        <w:spacing w:line="240" w:lineRule="auto"/>
        <w:jc w:val="both"/>
        <w:rPr>
          <w:rFonts w:asciiTheme="minorBidi" w:hAnsiTheme="minorBidi" w:cstheme="minorBidi"/>
          <w:sz w:val="24"/>
          <w:szCs w:val="24"/>
          <w:highlight w:val="white"/>
        </w:rPr>
      </w:pPr>
    </w:p>
    <w:p w:rsidR="00CB40FD" w:rsidRPr="00250798" w:rsidRDefault="00CB40FD" w:rsidP="00D47EBD">
      <w:pPr>
        <w:spacing w:line="240" w:lineRule="auto"/>
        <w:jc w:val="both"/>
        <w:rPr>
          <w:rFonts w:asciiTheme="minorBidi" w:hAnsiTheme="minorBidi" w:cstheme="minorBidi"/>
          <w:sz w:val="24"/>
          <w:szCs w:val="24"/>
          <w:highlight w:val="white"/>
        </w:rPr>
      </w:pPr>
    </w:p>
    <w:p w:rsidR="00CB40FD" w:rsidRPr="00250798" w:rsidRDefault="00CB40FD" w:rsidP="00D47EBD">
      <w:pPr>
        <w:spacing w:line="240" w:lineRule="auto"/>
        <w:jc w:val="both"/>
        <w:rPr>
          <w:rFonts w:asciiTheme="minorBidi" w:eastAsia="Times New Roman" w:hAnsiTheme="minorBidi" w:cstheme="minorBidi"/>
          <w:b/>
          <w:bCs/>
          <w:color w:val="222222"/>
          <w:sz w:val="24"/>
          <w:szCs w:val="24"/>
        </w:rPr>
      </w:pPr>
      <w:r w:rsidRPr="00250798">
        <w:rPr>
          <w:rFonts w:asciiTheme="minorBidi" w:hAnsiTheme="minorBidi" w:cstheme="minorBidi"/>
          <w:sz w:val="24"/>
          <w:szCs w:val="24"/>
          <w:highlight w:val="white"/>
        </w:rPr>
        <w:t xml:space="preserve">Having concluded our analysis of the relationship between the Written and </w:t>
      </w:r>
      <w:r w:rsidR="00250798" w:rsidRPr="00250798">
        <w:rPr>
          <w:rFonts w:asciiTheme="minorBidi" w:hAnsiTheme="minorBidi" w:cstheme="minorBidi"/>
          <w:sz w:val="24"/>
          <w:szCs w:val="24"/>
          <w:highlight w:val="white"/>
        </w:rPr>
        <w:t xml:space="preserve">the </w:t>
      </w:r>
      <w:r w:rsidRPr="00250798">
        <w:rPr>
          <w:rFonts w:asciiTheme="minorBidi" w:hAnsiTheme="minorBidi" w:cstheme="minorBidi"/>
          <w:sz w:val="24"/>
          <w:szCs w:val="24"/>
          <w:highlight w:val="white"/>
        </w:rPr>
        <w:t xml:space="preserve">Oral Torah, next week we will consider the prerequisites necessary for one to properly engage in </w:t>
      </w:r>
      <w:r w:rsidRPr="00250798">
        <w:rPr>
          <w:rFonts w:asciiTheme="minorBidi" w:hAnsiTheme="minorBidi" w:cstheme="minorBidi"/>
          <w:i/>
          <w:sz w:val="24"/>
          <w:szCs w:val="24"/>
          <w:highlight w:val="white"/>
        </w:rPr>
        <w:t>talmud Torah</w:t>
      </w:r>
      <w:r w:rsidRPr="00250798">
        <w:rPr>
          <w:rFonts w:asciiTheme="minorBidi" w:hAnsiTheme="minorBidi" w:cstheme="minorBidi"/>
          <w:sz w:val="24"/>
          <w:szCs w:val="24"/>
          <w:highlight w:val="white"/>
        </w:rPr>
        <w:t xml:space="preserve">. </w:t>
      </w:r>
    </w:p>
    <w:sectPr w:rsidR="00CB40FD" w:rsidRPr="00250798" w:rsidSect="00EB2933">
      <w:pgSz w:w="12240" w:h="15840"/>
      <w:pgMar w:top="1440" w:right="1797" w:bottom="1440" w:left="1797"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4F1" w:rsidRDefault="001924F1">
      <w:pPr>
        <w:spacing w:line="240" w:lineRule="auto"/>
      </w:pPr>
      <w:r>
        <w:separator/>
      </w:r>
    </w:p>
  </w:endnote>
  <w:endnote w:type="continuationSeparator" w:id="0">
    <w:p w:rsidR="001924F1" w:rsidRDefault="001924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4F1" w:rsidRDefault="001924F1">
      <w:pPr>
        <w:spacing w:line="240" w:lineRule="auto"/>
      </w:pPr>
      <w:r>
        <w:separator/>
      </w:r>
    </w:p>
  </w:footnote>
  <w:footnote w:type="continuationSeparator" w:id="0">
    <w:p w:rsidR="001924F1" w:rsidRDefault="001924F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73116"/>
    <w:multiLevelType w:val="multilevel"/>
    <w:tmpl w:val="BDAC033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A8F"/>
    <w:rsid w:val="000C6856"/>
    <w:rsid w:val="0012398B"/>
    <w:rsid w:val="0018598E"/>
    <w:rsid w:val="001924F1"/>
    <w:rsid w:val="001C7683"/>
    <w:rsid w:val="00250798"/>
    <w:rsid w:val="002F6BDD"/>
    <w:rsid w:val="0031130A"/>
    <w:rsid w:val="00317C11"/>
    <w:rsid w:val="00354990"/>
    <w:rsid w:val="00377182"/>
    <w:rsid w:val="0045457A"/>
    <w:rsid w:val="00470FEB"/>
    <w:rsid w:val="0049019E"/>
    <w:rsid w:val="004A0E42"/>
    <w:rsid w:val="004C56B3"/>
    <w:rsid w:val="004F37AB"/>
    <w:rsid w:val="005045DD"/>
    <w:rsid w:val="00587E9F"/>
    <w:rsid w:val="005C107D"/>
    <w:rsid w:val="00610714"/>
    <w:rsid w:val="00621C4B"/>
    <w:rsid w:val="00732AA1"/>
    <w:rsid w:val="00776A8F"/>
    <w:rsid w:val="00874FEC"/>
    <w:rsid w:val="008A16AE"/>
    <w:rsid w:val="009138D2"/>
    <w:rsid w:val="009346D9"/>
    <w:rsid w:val="00973423"/>
    <w:rsid w:val="00985E5F"/>
    <w:rsid w:val="009E3035"/>
    <w:rsid w:val="00A87BB3"/>
    <w:rsid w:val="00BD4E5F"/>
    <w:rsid w:val="00BE53CF"/>
    <w:rsid w:val="00C816C3"/>
    <w:rsid w:val="00CB40FD"/>
    <w:rsid w:val="00CE107E"/>
    <w:rsid w:val="00D4624A"/>
    <w:rsid w:val="00D47EBD"/>
    <w:rsid w:val="00D7696B"/>
    <w:rsid w:val="00E20B49"/>
    <w:rsid w:val="00E20E5B"/>
    <w:rsid w:val="00E4514B"/>
    <w:rsid w:val="00E80D7D"/>
    <w:rsid w:val="00E96045"/>
    <w:rsid w:val="00EA7E46"/>
    <w:rsid w:val="00EB29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he-IL"/>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semiHidden/>
    <w:unhideWhenUsed/>
    <w:rsid w:val="00CB40FD"/>
    <w:rPr>
      <w:color w:val="0000FF"/>
      <w:u w:val="single"/>
    </w:rPr>
  </w:style>
  <w:style w:type="character" w:customStyle="1" w:styleId="spelle">
    <w:name w:val="spelle"/>
    <w:basedOn w:val="DefaultParagraphFont"/>
    <w:rsid w:val="00BD4E5F"/>
  </w:style>
  <w:style w:type="paragraph" w:customStyle="1" w:styleId="line">
    <w:name w:val="line"/>
    <w:basedOn w:val="Normal"/>
    <w:rsid w:val="00621C4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text">
    <w:name w:val="text"/>
    <w:basedOn w:val="DefaultParagraphFont"/>
    <w:rsid w:val="00621C4B"/>
  </w:style>
  <w:style w:type="character" w:customStyle="1" w:styleId="indent-1-breaks">
    <w:name w:val="indent-1-breaks"/>
    <w:basedOn w:val="DefaultParagraphFont"/>
    <w:rsid w:val="00621C4B"/>
  </w:style>
  <w:style w:type="character" w:customStyle="1" w:styleId="small-caps">
    <w:name w:val="small-caps"/>
    <w:basedOn w:val="DefaultParagraphFont"/>
    <w:rsid w:val="00621C4B"/>
  </w:style>
  <w:style w:type="paragraph" w:styleId="Header">
    <w:name w:val="header"/>
    <w:basedOn w:val="Normal"/>
    <w:link w:val="HeaderChar"/>
    <w:uiPriority w:val="99"/>
    <w:unhideWhenUsed/>
    <w:rsid w:val="00377182"/>
    <w:pPr>
      <w:tabs>
        <w:tab w:val="center" w:pos="4320"/>
        <w:tab w:val="right" w:pos="8640"/>
      </w:tabs>
      <w:spacing w:line="240" w:lineRule="auto"/>
    </w:pPr>
  </w:style>
  <w:style w:type="character" w:customStyle="1" w:styleId="HeaderChar">
    <w:name w:val="Header Char"/>
    <w:basedOn w:val="DefaultParagraphFont"/>
    <w:link w:val="Header"/>
    <w:uiPriority w:val="99"/>
    <w:rsid w:val="00377182"/>
  </w:style>
  <w:style w:type="paragraph" w:styleId="Footer">
    <w:name w:val="footer"/>
    <w:basedOn w:val="Normal"/>
    <w:link w:val="FooterChar"/>
    <w:uiPriority w:val="99"/>
    <w:unhideWhenUsed/>
    <w:rsid w:val="00377182"/>
    <w:pPr>
      <w:tabs>
        <w:tab w:val="center" w:pos="4320"/>
        <w:tab w:val="right" w:pos="8640"/>
      </w:tabs>
      <w:spacing w:line="240" w:lineRule="auto"/>
    </w:pPr>
  </w:style>
  <w:style w:type="character" w:customStyle="1" w:styleId="FooterChar">
    <w:name w:val="Footer Char"/>
    <w:basedOn w:val="DefaultParagraphFont"/>
    <w:link w:val="Footer"/>
    <w:uiPriority w:val="99"/>
    <w:rsid w:val="003771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he-IL"/>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semiHidden/>
    <w:unhideWhenUsed/>
    <w:rsid w:val="00CB40FD"/>
    <w:rPr>
      <w:color w:val="0000FF"/>
      <w:u w:val="single"/>
    </w:rPr>
  </w:style>
  <w:style w:type="character" w:customStyle="1" w:styleId="spelle">
    <w:name w:val="spelle"/>
    <w:basedOn w:val="DefaultParagraphFont"/>
    <w:rsid w:val="00BD4E5F"/>
  </w:style>
  <w:style w:type="paragraph" w:customStyle="1" w:styleId="line">
    <w:name w:val="line"/>
    <w:basedOn w:val="Normal"/>
    <w:rsid w:val="00621C4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text">
    <w:name w:val="text"/>
    <w:basedOn w:val="DefaultParagraphFont"/>
    <w:rsid w:val="00621C4B"/>
  </w:style>
  <w:style w:type="character" w:customStyle="1" w:styleId="indent-1-breaks">
    <w:name w:val="indent-1-breaks"/>
    <w:basedOn w:val="DefaultParagraphFont"/>
    <w:rsid w:val="00621C4B"/>
  </w:style>
  <w:style w:type="character" w:customStyle="1" w:styleId="small-caps">
    <w:name w:val="small-caps"/>
    <w:basedOn w:val="DefaultParagraphFont"/>
    <w:rsid w:val="00621C4B"/>
  </w:style>
  <w:style w:type="paragraph" w:styleId="Header">
    <w:name w:val="header"/>
    <w:basedOn w:val="Normal"/>
    <w:link w:val="HeaderChar"/>
    <w:uiPriority w:val="99"/>
    <w:unhideWhenUsed/>
    <w:rsid w:val="00377182"/>
    <w:pPr>
      <w:tabs>
        <w:tab w:val="center" w:pos="4320"/>
        <w:tab w:val="right" w:pos="8640"/>
      </w:tabs>
      <w:spacing w:line="240" w:lineRule="auto"/>
    </w:pPr>
  </w:style>
  <w:style w:type="character" w:customStyle="1" w:styleId="HeaderChar">
    <w:name w:val="Header Char"/>
    <w:basedOn w:val="DefaultParagraphFont"/>
    <w:link w:val="Header"/>
    <w:uiPriority w:val="99"/>
    <w:rsid w:val="00377182"/>
  </w:style>
  <w:style w:type="paragraph" w:styleId="Footer">
    <w:name w:val="footer"/>
    <w:basedOn w:val="Normal"/>
    <w:link w:val="FooterChar"/>
    <w:uiPriority w:val="99"/>
    <w:unhideWhenUsed/>
    <w:rsid w:val="00377182"/>
    <w:pPr>
      <w:tabs>
        <w:tab w:val="center" w:pos="4320"/>
        <w:tab w:val="right" w:pos="8640"/>
      </w:tabs>
      <w:spacing w:line="240" w:lineRule="auto"/>
    </w:pPr>
  </w:style>
  <w:style w:type="character" w:customStyle="1" w:styleId="FooterChar">
    <w:name w:val="Footer Char"/>
    <w:basedOn w:val="DefaultParagraphFont"/>
    <w:link w:val="Footer"/>
    <w:uiPriority w:val="99"/>
    <w:rsid w:val="00377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829633">
      <w:bodyDiv w:val="1"/>
      <w:marLeft w:val="0"/>
      <w:marRight w:val="0"/>
      <w:marTop w:val="0"/>
      <w:marBottom w:val="0"/>
      <w:divBdr>
        <w:top w:val="none" w:sz="0" w:space="0" w:color="auto"/>
        <w:left w:val="none" w:sz="0" w:space="0" w:color="auto"/>
        <w:bottom w:val="none" w:sz="0" w:space="0" w:color="auto"/>
        <w:right w:val="none" w:sz="0" w:space="0" w:color="auto"/>
      </w:divBdr>
    </w:div>
    <w:div w:id="271479531">
      <w:bodyDiv w:val="1"/>
      <w:marLeft w:val="0"/>
      <w:marRight w:val="0"/>
      <w:marTop w:val="0"/>
      <w:marBottom w:val="0"/>
      <w:divBdr>
        <w:top w:val="none" w:sz="0" w:space="0" w:color="auto"/>
        <w:left w:val="none" w:sz="0" w:space="0" w:color="auto"/>
        <w:bottom w:val="none" w:sz="0" w:space="0" w:color="auto"/>
        <w:right w:val="none" w:sz="0" w:space="0" w:color="auto"/>
      </w:divBdr>
    </w:div>
    <w:div w:id="356928454">
      <w:bodyDiv w:val="1"/>
      <w:marLeft w:val="0"/>
      <w:marRight w:val="0"/>
      <w:marTop w:val="0"/>
      <w:marBottom w:val="0"/>
      <w:divBdr>
        <w:top w:val="none" w:sz="0" w:space="0" w:color="auto"/>
        <w:left w:val="none" w:sz="0" w:space="0" w:color="auto"/>
        <w:bottom w:val="none" w:sz="0" w:space="0" w:color="auto"/>
        <w:right w:val="none" w:sz="0" w:space="0" w:color="auto"/>
      </w:divBdr>
    </w:div>
    <w:div w:id="442068883">
      <w:bodyDiv w:val="1"/>
      <w:marLeft w:val="0"/>
      <w:marRight w:val="0"/>
      <w:marTop w:val="0"/>
      <w:marBottom w:val="0"/>
      <w:divBdr>
        <w:top w:val="none" w:sz="0" w:space="0" w:color="auto"/>
        <w:left w:val="none" w:sz="0" w:space="0" w:color="auto"/>
        <w:bottom w:val="none" w:sz="0" w:space="0" w:color="auto"/>
        <w:right w:val="none" w:sz="0" w:space="0" w:color="auto"/>
      </w:divBdr>
    </w:div>
    <w:div w:id="464005843">
      <w:bodyDiv w:val="1"/>
      <w:marLeft w:val="0"/>
      <w:marRight w:val="0"/>
      <w:marTop w:val="0"/>
      <w:marBottom w:val="0"/>
      <w:divBdr>
        <w:top w:val="none" w:sz="0" w:space="0" w:color="auto"/>
        <w:left w:val="none" w:sz="0" w:space="0" w:color="auto"/>
        <w:bottom w:val="none" w:sz="0" w:space="0" w:color="auto"/>
        <w:right w:val="none" w:sz="0" w:space="0" w:color="auto"/>
      </w:divBdr>
      <w:divsChild>
        <w:div w:id="1592348994">
          <w:marLeft w:val="0"/>
          <w:marRight w:val="0"/>
          <w:marTop w:val="0"/>
          <w:marBottom w:val="0"/>
          <w:divBdr>
            <w:top w:val="none" w:sz="0" w:space="0" w:color="auto"/>
            <w:left w:val="none" w:sz="0" w:space="0" w:color="auto"/>
            <w:bottom w:val="none" w:sz="0" w:space="0" w:color="auto"/>
            <w:right w:val="none" w:sz="0" w:space="0" w:color="auto"/>
          </w:divBdr>
        </w:div>
        <w:div w:id="1985038035">
          <w:marLeft w:val="0"/>
          <w:marRight w:val="0"/>
          <w:marTop w:val="0"/>
          <w:marBottom w:val="0"/>
          <w:divBdr>
            <w:top w:val="none" w:sz="0" w:space="0" w:color="auto"/>
            <w:left w:val="none" w:sz="0" w:space="0" w:color="auto"/>
            <w:bottom w:val="none" w:sz="0" w:space="0" w:color="auto"/>
            <w:right w:val="none" w:sz="0" w:space="0" w:color="auto"/>
          </w:divBdr>
        </w:div>
      </w:divsChild>
    </w:div>
    <w:div w:id="689649674">
      <w:bodyDiv w:val="1"/>
      <w:marLeft w:val="0"/>
      <w:marRight w:val="0"/>
      <w:marTop w:val="0"/>
      <w:marBottom w:val="0"/>
      <w:divBdr>
        <w:top w:val="none" w:sz="0" w:space="0" w:color="auto"/>
        <w:left w:val="none" w:sz="0" w:space="0" w:color="auto"/>
        <w:bottom w:val="none" w:sz="0" w:space="0" w:color="auto"/>
        <w:right w:val="none" w:sz="0" w:space="0" w:color="auto"/>
      </w:divBdr>
    </w:div>
    <w:div w:id="757410720">
      <w:bodyDiv w:val="1"/>
      <w:marLeft w:val="0"/>
      <w:marRight w:val="0"/>
      <w:marTop w:val="0"/>
      <w:marBottom w:val="0"/>
      <w:divBdr>
        <w:top w:val="none" w:sz="0" w:space="0" w:color="auto"/>
        <w:left w:val="none" w:sz="0" w:space="0" w:color="auto"/>
        <w:bottom w:val="none" w:sz="0" w:space="0" w:color="auto"/>
        <w:right w:val="none" w:sz="0" w:space="0" w:color="auto"/>
      </w:divBdr>
    </w:div>
    <w:div w:id="1086654831">
      <w:bodyDiv w:val="1"/>
      <w:marLeft w:val="0"/>
      <w:marRight w:val="0"/>
      <w:marTop w:val="0"/>
      <w:marBottom w:val="0"/>
      <w:divBdr>
        <w:top w:val="none" w:sz="0" w:space="0" w:color="auto"/>
        <w:left w:val="none" w:sz="0" w:space="0" w:color="auto"/>
        <w:bottom w:val="none" w:sz="0" w:space="0" w:color="auto"/>
        <w:right w:val="none" w:sz="0" w:space="0" w:color="auto"/>
      </w:divBdr>
    </w:div>
    <w:div w:id="1096054998">
      <w:bodyDiv w:val="1"/>
      <w:marLeft w:val="0"/>
      <w:marRight w:val="0"/>
      <w:marTop w:val="0"/>
      <w:marBottom w:val="0"/>
      <w:divBdr>
        <w:top w:val="none" w:sz="0" w:space="0" w:color="auto"/>
        <w:left w:val="none" w:sz="0" w:space="0" w:color="auto"/>
        <w:bottom w:val="none" w:sz="0" w:space="0" w:color="auto"/>
        <w:right w:val="none" w:sz="0" w:space="0" w:color="auto"/>
      </w:divBdr>
      <w:divsChild>
        <w:div w:id="770125511">
          <w:marLeft w:val="0"/>
          <w:marRight w:val="0"/>
          <w:marTop w:val="0"/>
          <w:marBottom w:val="0"/>
          <w:divBdr>
            <w:top w:val="none" w:sz="0" w:space="0" w:color="auto"/>
            <w:left w:val="none" w:sz="0" w:space="0" w:color="auto"/>
            <w:bottom w:val="none" w:sz="0" w:space="0" w:color="auto"/>
            <w:right w:val="none" w:sz="0" w:space="0" w:color="auto"/>
          </w:divBdr>
        </w:div>
        <w:div w:id="302853347">
          <w:marLeft w:val="0"/>
          <w:marRight w:val="0"/>
          <w:marTop w:val="0"/>
          <w:marBottom w:val="0"/>
          <w:divBdr>
            <w:top w:val="none" w:sz="0" w:space="0" w:color="auto"/>
            <w:left w:val="none" w:sz="0" w:space="0" w:color="auto"/>
            <w:bottom w:val="none" w:sz="0" w:space="0" w:color="auto"/>
            <w:right w:val="none" w:sz="0" w:space="0" w:color="auto"/>
          </w:divBdr>
        </w:div>
        <w:div w:id="554465021">
          <w:marLeft w:val="0"/>
          <w:marRight w:val="0"/>
          <w:marTop w:val="0"/>
          <w:marBottom w:val="0"/>
          <w:divBdr>
            <w:top w:val="none" w:sz="0" w:space="0" w:color="auto"/>
            <w:left w:val="none" w:sz="0" w:space="0" w:color="auto"/>
            <w:bottom w:val="none" w:sz="0" w:space="0" w:color="auto"/>
            <w:right w:val="none" w:sz="0" w:space="0" w:color="auto"/>
          </w:divBdr>
        </w:div>
        <w:div w:id="1671567153">
          <w:marLeft w:val="0"/>
          <w:marRight w:val="0"/>
          <w:marTop w:val="0"/>
          <w:marBottom w:val="0"/>
          <w:divBdr>
            <w:top w:val="none" w:sz="0" w:space="0" w:color="auto"/>
            <w:left w:val="none" w:sz="0" w:space="0" w:color="auto"/>
            <w:bottom w:val="none" w:sz="0" w:space="0" w:color="auto"/>
            <w:right w:val="none" w:sz="0" w:space="0" w:color="auto"/>
          </w:divBdr>
        </w:div>
        <w:div w:id="1267158651">
          <w:marLeft w:val="0"/>
          <w:marRight w:val="0"/>
          <w:marTop w:val="0"/>
          <w:marBottom w:val="0"/>
          <w:divBdr>
            <w:top w:val="none" w:sz="0" w:space="0" w:color="auto"/>
            <w:left w:val="none" w:sz="0" w:space="0" w:color="auto"/>
            <w:bottom w:val="none" w:sz="0" w:space="0" w:color="auto"/>
            <w:right w:val="none" w:sz="0" w:space="0" w:color="auto"/>
          </w:divBdr>
        </w:div>
        <w:div w:id="1685397492">
          <w:marLeft w:val="0"/>
          <w:marRight w:val="0"/>
          <w:marTop w:val="0"/>
          <w:marBottom w:val="0"/>
          <w:divBdr>
            <w:top w:val="none" w:sz="0" w:space="0" w:color="auto"/>
            <w:left w:val="none" w:sz="0" w:space="0" w:color="auto"/>
            <w:bottom w:val="none" w:sz="0" w:space="0" w:color="auto"/>
            <w:right w:val="none" w:sz="0" w:space="0" w:color="auto"/>
          </w:divBdr>
        </w:div>
        <w:div w:id="1819688522">
          <w:marLeft w:val="0"/>
          <w:marRight w:val="0"/>
          <w:marTop w:val="0"/>
          <w:marBottom w:val="0"/>
          <w:divBdr>
            <w:top w:val="none" w:sz="0" w:space="0" w:color="auto"/>
            <w:left w:val="none" w:sz="0" w:space="0" w:color="auto"/>
            <w:bottom w:val="none" w:sz="0" w:space="0" w:color="auto"/>
            <w:right w:val="none" w:sz="0" w:space="0" w:color="auto"/>
          </w:divBdr>
        </w:div>
      </w:divsChild>
    </w:div>
    <w:div w:id="1719742515">
      <w:bodyDiv w:val="1"/>
      <w:marLeft w:val="0"/>
      <w:marRight w:val="0"/>
      <w:marTop w:val="0"/>
      <w:marBottom w:val="0"/>
      <w:divBdr>
        <w:top w:val="none" w:sz="0" w:space="0" w:color="auto"/>
        <w:left w:val="none" w:sz="0" w:space="0" w:color="auto"/>
        <w:bottom w:val="none" w:sz="0" w:space="0" w:color="auto"/>
        <w:right w:val="none" w:sz="0" w:space="0" w:color="auto"/>
      </w:divBdr>
      <w:divsChild>
        <w:div w:id="705562962">
          <w:marLeft w:val="0"/>
          <w:marRight w:val="0"/>
          <w:marTop w:val="0"/>
          <w:marBottom w:val="0"/>
          <w:divBdr>
            <w:top w:val="none" w:sz="0" w:space="0" w:color="auto"/>
            <w:left w:val="none" w:sz="0" w:space="0" w:color="auto"/>
            <w:bottom w:val="none" w:sz="0" w:space="0" w:color="auto"/>
            <w:right w:val="none" w:sz="0" w:space="0" w:color="auto"/>
          </w:divBdr>
        </w:div>
        <w:div w:id="309021887">
          <w:marLeft w:val="0"/>
          <w:marRight w:val="0"/>
          <w:marTop w:val="0"/>
          <w:marBottom w:val="0"/>
          <w:divBdr>
            <w:top w:val="none" w:sz="0" w:space="0" w:color="auto"/>
            <w:left w:val="none" w:sz="0" w:space="0" w:color="auto"/>
            <w:bottom w:val="none" w:sz="0" w:space="0" w:color="auto"/>
            <w:right w:val="none" w:sz="0" w:space="0" w:color="auto"/>
          </w:divBdr>
        </w:div>
      </w:divsChild>
    </w:div>
    <w:div w:id="1807503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FDE3E-055B-44CA-93B7-93CAFF3F2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1802</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אנדי ריפקין</dc:creator>
  <cp:lastModifiedBy>tmpUser</cp:lastModifiedBy>
  <cp:revision>7</cp:revision>
  <dcterms:created xsi:type="dcterms:W3CDTF">2017-12-05T08:28:00Z</dcterms:created>
  <dcterms:modified xsi:type="dcterms:W3CDTF">2017-12-10T09:16:00Z</dcterms:modified>
</cp:coreProperties>
</file>