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D5" w:rsidRDefault="0004748E" w:rsidP="00BE2A5E">
      <w:pPr>
        <w:pStyle w:val="a8"/>
        <w:spacing w:line="276" w:lineRule="auto"/>
        <w:rPr>
          <w:rFonts w:ascii="Arial" w:hAnsi="Arial" w:hint="cs"/>
          <w:rtl/>
        </w:rPr>
      </w:pPr>
      <w:r>
        <w:rPr>
          <w:sz w:val="24"/>
          <w:rtl/>
        </w:rPr>
        <w:t xml:space="preserve">שיחה </w:t>
      </w:r>
      <w:r>
        <w:rPr>
          <w:rFonts w:hint="cs"/>
          <w:sz w:val="24"/>
          <w:rtl/>
        </w:rPr>
        <w:t>לפרשת מקץ - חנוכה</w:t>
      </w:r>
    </w:p>
    <w:p w:rsidR="00954CD5" w:rsidRDefault="00954CD5" w:rsidP="00BE2A5E">
      <w:pPr>
        <w:pStyle w:val="a8"/>
        <w:spacing w:line="276" w:lineRule="auto"/>
        <w:rPr>
          <w:rFonts w:ascii="Arial" w:hAnsi="Arial"/>
          <w:rtl/>
        </w:rPr>
      </w:pPr>
      <w:r>
        <w:rPr>
          <w:sz w:val="24"/>
          <w:rtl/>
        </w:rPr>
        <w:t xml:space="preserve">הרב אהרן ליכטנשטיין </w:t>
      </w:r>
      <w:r w:rsidR="00BE2A5E">
        <w:rPr>
          <w:rFonts w:hint="cs"/>
          <w:sz w:val="24"/>
          <w:rtl/>
        </w:rPr>
        <w:t>זצ"ל</w:t>
      </w:r>
    </w:p>
    <w:p w:rsidR="00954CD5" w:rsidRPr="003D084F" w:rsidRDefault="00954CD5" w:rsidP="00BE2A5E">
      <w:pPr>
        <w:pStyle w:val="a8"/>
        <w:spacing w:line="276" w:lineRule="auto"/>
        <w:rPr>
          <w:rFonts w:ascii="Arial" w:hAnsi="Arial"/>
          <w:rtl/>
        </w:rPr>
      </w:pPr>
    </w:p>
    <w:p w:rsidR="00954CD5" w:rsidRPr="00BE2A5E" w:rsidRDefault="00954CD5" w:rsidP="00BE2A5E">
      <w:pPr>
        <w:spacing w:before="120" w:line="276" w:lineRule="auto"/>
        <w:jc w:val="center"/>
        <w:rPr>
          <w:rFonts w:asciiTheme="minorBidi" w:hAnsiTheme="minorBidi" w:cstheme="minorBidi"/>
          <w:b/>
          <w:bCs/>
          <w:sz w:val="44"/>
          <w:szCs w:val="44"/>
          <w:rtl/>
        </w:rPr>
      </w:pPr>
      <w:r w:rsidRPr="00BE2A5E">
        <w:rPr>
          <w:rFonts w:asciiTheme="minorBidi" w:hAnsiTheme="minorBidi" w:cstheme="minorBidi"/>
          <w:b/>
          <w:bCs/>
          <w:sz w:val="44"/>
          <w:szCs w:val="44"/>
          <w:rtl/>
        </w:rPr>
        <w:t>להשכיחם תורתך</w:t>
      </w:r>
    </w:p>
    <w:p w:rsidR="00954CD5" w:rsidRPr="00BE2A5E" w:rsidRDefault="00954CD5" w:rsidP="00BE2A5E">
      <w:pPr>
        <w:spacing w:before="120" w:line="276" w:lineRule="auto"/>
        <w:jc w:val="center"/>
        <w:rPr>
          <w:rFonts w:asciiTheme="minorBidi" w:hAnsiTheme="minorBidi" w:cstheme="minorBidi"/>
          <w:b/>
          <w:bCs/>
          <w:sz w:val="44"/>
          <w:szCs w:val="44"/>
          <w:rtl/>
        </w:rPr>
      </w:pPr>
      <w:r w:rsidRPr="00BE2A5E">
        <w:rPr>
          <w:rFonts w:asciiTheme="minorBidi" w:hAnsiTheme="minorBidi" w:cstheme="minorBidi"/>
          <w:b/>
          <w:bCs/>
          <w:sz w:val="44"/>
          <w:szCs w:val="44"/>
          <w:rtl/>
        </w:rPr>
        <w:t>ולהעבירם מחוקי רצונך</w:t>
      </w:r>
      <w:r w:rsidRPr="00BE2A5E">
        <w:rPr>
          <w:rStyle w:val="a5"/>
          <w:rFonts w:asciiTheme="minorBidi" w:hAnsiTheme="minorBidi" w:cstheme="minorBidi"/>
          <w:b/>
          <w:bCs/>
          <w:rtl/>
        </w:rPr>
        <w:footnoteReference w:customMarkFollows="1" w:id="1"/>
        <w:t>*</w:t>
      </w:r>
    </w:p>
    <w:p w:rsidR="00954CD5" w:rsidRPr="00BE2A5E" w:rsidRDefault="00954CD5" w:rsidP="00BE2A5E">
      <w:pPr>
        <w:pStyle w:val="af2"/>
        <w:spacing w:line="276" w:lineRule="auto"/>
        <w:rPr>
          <w:rFonts w:asciiTheme="minorBidi" w:hAnsiTheme="minorBidi" w:cstheme="minorBidi"/>
          <w:rtl/>
        </w:rPr>
      </w:pPr>
    </w:p>
    <w:p w:rsidR="00954CD5" w:rsidRPr="00E86850" w:rsidRDefault="00954CD5" w:rsidP="00BE2A5E">
      <w:pPr>
        <w:spacing w:line="276" w:lineRule="auto"/>
        <w:rPr>
          <w:rFonts w:ascii="Calibri" w:hAnsi="Calibri"/>
        </w:rPr>
      </w:pPr>
      <w:r w:rsidRPr="00E86850">
        <w:rPr>
          <w:rFonts w:ascii="Calibri" w:hAnsi="Calibri" w:hint="cs"/>
          <w:rtl/>
        </w:rPr>
        <w:t>נוסח "על הניסים", שאותו אנו מוסיפים לתפילת שמונה-עשרה ולברכת המזון בימי החנוכה, פותח בתיא</w:t>
      </w:r>
      <w:r w:rsidR="00BE2A5E">
        <w:rPr>
          <w:rFonts w:ascii="Calibri" w:hAnsi="Calibri" w:hint="cs"/>
          <w:rtl/>
        </w:rPr>
        <w:t>ור מזימתה של "מלכות יוון הרשעה",</w:t>
      </w:r>
      <w:r w:rsidRPr="00E86850">
        <w:rPr>
          <w:rFonts w:ascii="Calibri" w:hAnsi="Calibri" w:hint="cs"/>
          <w:rtl/>
        </w:rPr>
        <w:t xml:space="preserve"> כשעמדה על עם ישראל, "להשכיחם תורתך ולהעבירם מחוקי רצונך".</w:t>
      </w:r>
    </w:p>
    <w:p w:rsidR="00954CD5" w:rsidRPr="00E86850" w:rsidRDefault="00954CD5" w:rsidP="00BE2A5E">
      <w:pPr>
        <w:spacing w:line="276" w:lineRule="auto"/>
        <w:rPr>
          <w:rFonts w:ascii="Calibri" w:hAnsi="Calibri"/>
          <w:rtl/>
        </w:rPr>
      </w:pPr>
      <w:r w:rsidRPr="00E86850">
        <w:rPr>
          <w:rFonts w:ascii="Calibri" w:hAnsi="Calibri" w:hint="cs"/>
          <w:rtl/>
        </w:rPr>
        <w:t>למרות ההקבלה הבולטת בין שתי המזימות, יש ביניהן הבדל במושא המזימה – התורה לעומת המצוות, וכן בצורת הפעולה: הכפייה על המצוות מתוארת בלשון "להעבירם", המשדרת נימת כוח ואלימות, ואילו איסור לימוד התורה מתואר במונח "השכחה", המתפרש ככפייה לא כוחנית, ללא אלימות או הפעלת כוח.</w:t>
      </w:r>
    </w:p>
    <w:p w:rsidR="00954CD5" w:rsidRPr="00E86850" w:rsidRDefault="00954CD5" w:rsidP="00BE2A5E">
      <w:pPr>
        <w:spacing w:line="276" w:lineRule="auto"/>
        <w:rPr>
          <w:rFonts w:ascii="Calibri" w:hAnsi="Calibri"/>
          <w:rtl/>
        </w:rPr>
      </w:pPr>
      <w:r w:rsidRPr="00E86850">
        <w:rPr>
          <w:rFonts w:ascii="Calibri" w:hAnsi="Calibri" w:hint="cs"/>
          <w:rtl/>
        </w:rPr>
        <w:t>בפרפראזה הלכתית, ניתן לדמות את ההבדל שבין הכפייה על המצוות לבין הכפייה על לימוד התורה להבדל שבין אונס לפיתוי: היוונים כפו על היהודים שלא לשמור שבת, הכריחום שלא למול את בניהם ומנעו מהם לקדש חדשים – "להעבירם מחוקי רצונך"; ובמקביל פעלו לנתק את הזיקה הקיומית שבין עם ישראל לתורת ישראל ע"י הצבת אלטרנטיבה תרבותית, שתגרום – ללא כפייה כוחנית – לאיבוד הידיעה התורנית והשאיפה אליה בקרב כנסת ישראל.</w:t>
      </w:r>
    </w:p>
    <w:p w:rsidR="00954CD5" w:rsidRPr="00E86850" w:rsidRDefault="00954CD5" w:rsidP="00BE2A5E">
      <w:pPr>
        <w:spacing w:line="276" w:lineRule="auto"/>
        <w:rPr>
          <w:rFonts w:ascii="Calibri" w:hAnsi="Calibri"/>
          <w:rtl/>
        </w:rPr>
      </w:pPr>
      <w:r w:rsidRPr="00E86850">
        <w:rPr>
          <w:rFonts w:ascii="Calibri" w:hAnsi="Calibri" w:hint="cs"/>
          <w:rtl/>
        </w:rPr>
        <w:t>לאור ביאור ההבדל שבין "להשכיחם תורתך" לבין "להעבירם מחוקי רצונך", יכולים אנו לשאול שאלה מעניינת: איזה משני המהלכים פוגע יותר בכנסת ישראל, ומאיים יותר על עתידה? מחד גיסא, ברור שהכפייה הכוחנית והאלימה היא מסוכנת ביותר. די להעיף מבט על תולדות האומה כדי להבחין שהתקופות שנחשבות לתקופות הקשות ביותר בהיסטוריה הארוכה של עמנו הן תקופות של "להעבירם מחוקי רצונך": אינקוויזיציה, גזירות שמד והעלאה על המוקד. בלבו של כל יהודי שהפנים את תולדות עמו, מקוננת תחושה שכפייה כזו היא קשה מנשוא, שכן האדם אינו יכול להתמודד עמה במישור הפיסי כלל.</w:t>
      </w:r>
    </w:p>
    <w:p w:rsidR="00954CD5" w:rsidRPr="00E86850" w:rsidRDefault="00954CD5" w:rsidP="00BE2A5E">
      <w:pPr>
        <w:spacing w:line="276" w:lineRule="auto"/>
        <w:rPr>
          <w:rFonts w:ascii="Calibri" w:hAnsi="Calibri"/>
          <w:rtl/>
        </w:rPr>
      </w:pPr>
      <w:r w:rsidRPr="00E86850">
        <w:rPr>
          <w:rFonts w:ascii="Calibri" w:hAnsi="Calibri" w:hint="cs"/>
          <w:rtl/>
        </w:rPr>
        <w:t xml:space="preserve">אמנם, במציאות התרבותית המודרנית, נראה שדווקא המזימה של "להשכיחם תורתך" היא מסוכנת ומאיימת </w:t>
      </w:r>
      <w:r w:rsidRPr="00E86850">
        <w:rPr>
          <w:rFonts w:ascii="Calibri" w:hAnsi="Calibri" w:hint="cs"/>
          <w:rtl/>
        </w:rPr>
        <w:t>יותר, הן בגלות והן בארץ. ייתכן כי דווקא כאשר אנו יושבים לבטח בארצנו גובר החשש לשכחת התורה. ואמנם</w:t>
      </w:r>
      <w:r w:rsidR="00BE2A5E">
        <w:rPr>
          <w:rFonts w:ascii="Calibri" w:hAnsi="Calibri" w:hint="cs"/>
          <w:rtl/>
        </w:rPr>
        <w:t>, משה רבנו</w:t>
      </w:r>
      <w:r w:rsidRPr="00E86850">
        <w:rPr>
          <w:rFonts w:ascii="Calibri" w:hAnsi="Calibri" w:hint="cs"/>
          <w:rtl/>
        </w:rPr>
        <w:t xml:space="preserve"> בדבריו לבני ישראל לפני מותו, מדגיש את החשש לשכחת ה' דווקא לאור הכניסה לארץ:</w:t>
      </w:r>
    </w:p>
    <w:p w:rsidR="00BE2A5E" w:rsidRDefault="00954CD5" w:rsidP="00E744A3">
      <w:pPr>
        <w:pStyle w:val="a9"/>
        <w:rPr>
          <w:rtl/>
        </w:rPr>
      </w:pPr>
      <w:r w:rsidRPr="00E86850">
        <w:rPr>
          <w:rFonts w:hint="cs"/>
          <w:rtl/>
        </w:rPr>
        <w:t>"</w:t>
      </w:r>
      <w:r w:rsidR="00E744A3">
        <w:rPr>
          <w:rtl/>
        </w:rPr>
        <w:t xml:space="preserve"> וְהָיָה כִּי יְבִיאֲךָ ה' </w:t>
      </w:r>
      <w:proofErr w:type="spellStart"/>
      <w:r w:rsidR="00E744A3">
        <w:rPr>
          <w:rtl/>
        </w:rPr>
        <w:t>אֱ</w:t>
      </w:r>
      <w:r w:rsidR="00E744A3">
        <w:rPr>
          <w:rFonts w:hint="cs"/>
          <w:rtl/>
        </w:rPr>
        <w:t>-</w:t>
      </w:r>
      <w:r w:rsidR="00E744A3">
        <w:rPr>
          <w:rtl/>
        </w:rPr>
        <w:t>לֹהֶיך</w:t>
      </w:r>
      <w:proofErr w:type="spellEnd"/>
      <w:r w:rsidR="00E744A3">
        <w:rPr>
          <w:rtl/>
        </w:rPr>
        <w:t xml:space="preserve">ָ אֶל הָאָרֶץ אֲשֶׁר נִשְׁבַּע </w:t>
      </w:r>
      <w:proofErr w:type="spellStart"/>
      <w:r w:rsidR="00E744A3">
        <w:rPr>
          <w:rtl/>
        </w:rPr>
        <w:t>לַאֲבֹתֶיך</w:t>
      </w:r>
      <w:proofErr w:type="spellEnd"/>
      <w:r w:rsidR="00E744A3">
        <w:rPr>
          <w:rtl/>
        </w:rPr>
        <w:t>ָ לְאַבְרָהָם לְיִצְחָק וּלְיַעֲקֹב לָתֶת לָךְ עָרִים גְּדֹלֹת וְטֹבֹת אֲשֶׁר לֹא בָנִיתָ: וּבָתִּים מְלֵאִים כָּל טוּב אֲשֶׁר לֹא מִלֵּאתָ וּבֹרֹת חֲצוּבִים אֲשֶׁר לֹא חָצַבְתָּ כְּרָמִים וְזֵיתִים אֲשֶׁר לֹא נָטָעְתָּ וְאָכַלְתָּ וְשָׂבָעְתָּ:</w:t>
      </w:r>
      <w:r w:rsidR="00E744A3">
        <w:rPr>
          <w:rFonts w:hint="cs"/>
          <w:rtl/>
        </w:rPr>
        <w:t xml:space="preserve"> </w:t>
      </w:r>
      <w:proofErr w:type="spellStart"/>
      <w:r w:rsidR="00E744A3">
        <w:rPr>
          <w:rtl/>
        </w:rPr>
        <w:t>הִשָּׁמֶר</w:t>
      </w:r>
      <w:proofErr w:type="spellEnd"/>
      <w:r w:rsidR="00E744A3">
        <w:rPr>
          <w:rtl/>
        </w:rPr>
        <w:t xml:space="preserve"> לְךָ פֶּן תִּשְׁכַּח אֶת ה' אֲשֶׁר הוֹצִיאֲךָ מֵאֶרֶץ מִצְרַיִם מִבֵּית עֲבָדִים:</w:t>
      </w:r>
      <w:r w:rsidRPr="00E86850">
        <w:rPr>
          <w:rFonts w:hint="cs"/>
          <w:rtl/>
        </w:rPr>
        <w:t xml:space="preserve">" </w:t>
      </w:r>
    </w:p>
    <w:p w:rsidR="00954CD5" w:rsidRPr="00BE2A5E" w:rsidRDefault="00954CD5" w:rsidP="00BE2A5E">
      <w:pPr>
        <w:pStyle w:val="a9"/>
        <w:jc w:val="right"/>
        <w:rPr>
          <w:szCs w:val="20"/>
          <w:rtl/>
        </w:rPr>
      </w:pPr>
      <w:r w:rsidRPr="00BE2A5E">
        <w:rPr>
          <w:rFonts w:hint="cs"/>
          <w:szCs w:val="20"/>
          <w:rtl/>
        </w:rPr>
        <w:t>(דברים ו', י</w:t>
      </w:r>
      <w:r w:rsidR="00BE2A5E">
        <w:rPr>
          <w:rFonts w:hint="cs"/>
          <w:szCs w:val="20"/>
          <w:rtl/>
        </w:rPr>
        <w:t xml:space="preserve"> </w:t>
      </w:r>
      <w:r w:rsidR="00BE2A5E">
        <w:rPr>
          <w:szCs w:val="20"/>
          <w:rtl/>
        </w:rPr>
        <w:t>–</w:t>
      </w:r>
      <w:r w:rsidR="00BE2A5E">
        <w:rPr>
          <w:rFonts w:hint="cs"/>
          <w:szCs w:val="20"/>
          <w:rtl/>
        </w:rPr>
        <w:t xml:space="preserve"> </w:t>
      </w:r>
      <w:proofErr w:type="spellStart"/>
      <w:r w:rsidRPr="00BE2A5E">
        <w:rPr>
          <w:rFonts w:hint="cs"/>
          <w:szCs w:val="20"/>
          <w:rtl/>
        </w:rPr>
        <w:t>יב</w:t>
      </w:r>
      <w:proofErr w:type="spellEnd"/>
      <w:r w:rsidRPr="00BE2A5E">
        <w:rPr>
          <w:rFonts w:hint="cs"/>
          <w:szCs w:val="20"/>
          <w:rtl/>
        </w:rPr>
        <w:t>)</w:t>
      </w:r>
    </w:p>
    <w:p w:rsidR="00954CD5" w:rsidRPr="00E86850" w:rsidRDefault="00E744A3" w:rsidP="00E744A3">
      <w:pPr>
        <w:spacing w:line="276" w:lineRule="auto"/>
        <w:rPr>
          <w:rFonts w:ascii="Calibri" w:hAnsi="Calibri"/>
          <w:rtl/>
        </w:rPr>
      </w:pPr>
      <w:r>
        <w:rPr>
          <w:rFonts w:ascii="Calibri" w:hAnsi="Calibri" w:hint="cs"/>
          <w:rtl/>
        </w:rPr>
        <w:t>ישנן שלוש סיבות לכך</w:t>
      </w:r>
      <w:r w:rsidR="00954CD5" w:rsidRPr="00E86850">
        <w:rPr>
          <w:rFonts w:ascii="Calibri" w:hAnsi="Calibri" w:hint="cs"/>
          <w:rtl/>
        </w:rPr>
        <w:t xml:space="preserve"> שחששו של משה ל</w:t>
      </w:r>
      <w:r>
        <w:rPr>
          <w:rFonts w:ascii="Calibri" w:hAnsi="Calibri" w:hint="cs"/>
          <w:rtl/>
        </w:rPr>
        <w:t>ניתוק בין עם ישראל לבין א-</w:t>
      </w:r>
      <w:proofErr w:type="spellStart"/>
      <w:r>
        <w:rPr>
          <w:rFonts w:ascii="Calibri" w:hAnsi="Calibri" w:hint="cs"/>
          <w:rtl/>
        </w:rPr>
        <w:t>לוהיו</w:t>
      </w:r>
      <w:proofErr w:type="spellEnd"/>
      <w:r w:rsidR="00954CD5" w:rsidRPr="00E86850">
        <w:rPr>
          <w:rFonts w:ascii="Calibri" w:hAnsi="Calibri" w:hint="cs"/>
          <w:rtl/>
        </w:rPr>
        <w:t xml:space="preserve"> מתעורר דווקא לאור ההתנחלות בארץ. ראשית, חייהם של בני ישראל במדבר התאפיינו בתלות מוחלטת בקב"ה ובנוכחות שכינה בולטת על כל צעד ושעל.</w:t>
      </w:r>
      <w:r>
        <w:rPr>
          <w:rFonts w:ascii="Calibri" w:hAnsi="Calibri" w:hint="cs"/>
          <w:rtl/>
        </w:rPr>
        <w:t xml:space="preserve"> המעבר מהנהגה זו</w:t>
      </w:r>
      <w:r w:rsidR="00954CD5" w:rsidRPr="00E86850">
        <w:rPr>
          <w:rFonts w:ascii="Calibri" w:hAnsi="Calibri" w:hint="cs"/>
          <w:rtl/>
        </w:rPr>
        <w:t xml:space="preserve"> של המן והבאר, עמוד האש ועמוד הענן, להנהגה הטבעית עם הכניסה לארץ – עלול לגרום לשבר אמוני. אותו הדור – שהתרגל לליווי הקב"ה "כנשר יעיר קנו", לכשינחת בבת-אחת למציאות של שכינה מסתתרת וחבויה – עלול לפרש בטעות את ירידת השכינה למסתור כהיעלמות מוחלטת.</w:t>
      </w:r>
    </w:p>
    <w:p w:rsidR="00954CD5" w:rsidRPr="00E86850" w:rsidRDefault="00954CD5" w:rsidP="00BE2A5E">
      <w:pPr>
        <w:spacing w:line="276" w:lineRule="auto"/>
        <w:rPr>
          <w:rFonts w:ascii="Calibri" w:hAnsi="Calibri"/>
          <w:rtl/>
        </w:rPr>
      </w:pPr>
      <w:r w:rsidRPr="00E86850">
        <w:rPr>
          <w:rFonts w:ascii="Calibri" w:hAnsi="Calibri" w:hint="cs"/>
          <w:rtl/>
        </w:rPr>
        <w:t>פרט לנימוק זה, המיוחד לדור המדבר, מעוררת הכניסה לארץ ישראל שני חששות נוספים, המתעוררים בימינו ביתר שאת. יסוד הסכנה הטמונה בכניסה לארץ היא העובדה, שעליה עומדת התורה, שנחלת הארץ כרוכה בפריחה ובשגשוג כלכלי.</w:t>
      </w:r>
    </w:p>
    <w:p w:rsidR="00E744A3" w:rsidRDefault="00954CD5" w:rsidP="00E744A3">
      <w:pPr>
        <w:spacing w:line="276" w:lineRule="auto"/>
        <w:rPr>
          <w:rFonts w:ascii="Calibri" w:hAnsi="Calibri"/>
          <w:rtl/>
        </w:rPr>
      </w:pPr>
      <w:r w:rsidRPr="00E86850">
        <w:rPr>
          <w:rFonts w:ascii="Calibri" w:hAnsi="Calibri" w:hint="cs"/>
          <w:rtl/>
        </w:rPr>
        <w:t>בעקבות הצלחותיו, עלול האדם לשכוח כי הקב"ה הוא שנותן לו כוח לעשות חיל, ולשגות בהרהורים כאילו כוחו ועוצם ידו עשו לו את החיל הזה. ברמה האישית או ברמה הלאומית – במיוחד בחברה המודרנית, נדמה לאדם שהוא מסתדר בכוחות עצמו, המודעות לתלותו בקב"ה דועכת, ואשליית יכולתו העצמ</w:t>
      </w:r>
      <w:r w:rsidR="00E744A3">
        <w:rPr>
          <w:rFonts w:ascii="Calibri" w:hAnsi="Calibri" w:hint="cs"/>
          <w:rtl/>
        </w:rPr>
        <w:t>ית תופסת תאוצה. משה רבנו</w:t>
      </w:r>
      <w:r w:rsidRPr="00E86850">
        <w:rPr>
          <w:rFonts w:ascii="Calibri" w:hAnsi="Calibri" w:hint="cs"/>
          <w:rtl/>
        </w:rPr>
        <w:t xml:space="preserve"> מתאר </w:t>
      </w:r>
      <w:r w:rsidR="00E744A3">
        <w:rPr>
          <w:rFonts w:ascii="Calibri" w:hAnsi="Calibri" w:hint="cs"/>
          <w:rtl/>
        </w:rPr>
        <w:t xml:space="preserve">בשירת האזינו </w:t>
      </w:r>
      <w:r w:rsidRPr="00E86850">
        <w:rPr>
          <w:rFonts w:ascii="Calibri" w:hAnsi="Calibri" w:hint="cs"/>
          <w:rtl/>
        </w:rPr>
        <w:t>תופעה זו במילים הידועות</w:t>
      </w:r>
      <w:r w:rsidR="00E744A3">
        <w:rPr>
          <w:rFonts w:ascii="Calibri" w:hAnsi="Calibri" w:hint="cs"/>
          <w:rtl/>
        </w:rPr>
        <w:t>:</w:t>
      </w:r>
    </w:p>
    <w:p w:rsidR="00E744A3" w:rsidRDefault="00954CD5" w:rsidP="00E744A3">
      <w:pPr>
        <w:pStyle w:val="a9"/>
        <w:rPr>
          <w:rtl/>
        </w:rPr>
      </w:pPr>
      <w:r w:rsidRPr="00E86850">
        <w:rPr>
          <w:rFonts w:hint="cs"/>
          <w:rtl/>
        </w:rPr>
        <w:t xml:space="preserve">"וַיִּשְׁמַן יְשֻׁרוּן וַיִּבְעָט... </w:t>
      </w:r>
      <w:proofErr w:type="spellStart"/>
      <w:r w:rsidRPr="00E86850">
        <w:rPr>
          <w:rFonts w:hint="cs"/>
          <w:rtl/>
        </w:rPr>
        <w:t>וַיִּטֹּש</w:t>
      </w:r>
      <w:proofErr w:type="spellEnd"/>
      <w:r w:rsidRPr="00E86850">
        <w:rPr>
          <w:rFonts w:hint="cs"/>
          <w:rtl/>
        </w:rPr>
        <w:t xml:space="preserve">ׁ </w:t>
      </w:r>
      <w:proofErr w:type="spellStart"/>
      <w:r w:rsidRPr="00E86850">
        <w:rPr>
          <w:rFonts w:hint="cs"/>
          <w:rtl/>
        </w:rPr>
        <w:t>אֱ-לוֹה</w:t>
      </w:r>
      <w:proofErr w:type="spellEnd"/>
      <w:r w:rsidRPr="00E86850">
        <w:rPr>
          <w:rFonts w:hint="cs"/>
          <w:rtl/>
        </w:rPr>
        <w:t xml:space="preserve">ַּ עָשָׂהוּ וַיְנַבֵּל צוּר </w:t>
      </w:r>
      <w:proofErr w:type="spellStart"/>
      <w:r w:rsidRPr="00E86850">
        <w:rPr>
          <w:rFonts w:hint="cs"/>
          <w:rtl/>
        </w:rPr>
        <w:t>יְשֻׁעָתו</w:t>
      </w:r>
      <w:proofErr w:type="spellEnd"/>
      <w:r w:rsidRPr="00E86850">
        <w:rPr>
          <w:rFonts w:hint="cs"/>
          <w:rtl/>
        </w:rPr>
        <w:t xml:space="preserve">ֹ" </w:t>
      </w:r>
    </w:p>
    <w:p w:rsidR="00954CD5" w:rsidRPr="00E744A3" w:rsidRDefault="00E744A3" w:rsidP="00E744A3">
      <w:pPr>
        <w:spacing w:line="276" w:lineRule="auto"/>
        <w:jc w:val="right"/>
        <w:rPr>
          <w:rFonts w:ascii="Calibri" w:hAnsi="Calibri"/>
          <w:szCs w:val="20"/>
          <w:rtl/>
        </w:rPr>
      </w:pPr>
      <w:r w:rsidRPr="00E744A3">
        <w:rPr>
          <w:rFonts w:ascii="Calibri" w:hAnsi="Calibri" w:hint="cs"/>
          <w:szCs w:val="20"/>
          <w:rtl/>
        </w:rPr>
        <w:lastRenderedPageBreak/>
        <w:t>(דברים ל"ב, טו)</w:t>
      </w:r>
    </w:p>
    <w:p w:rsidR="00E744A3" w:rsidRDefault="00954CD5" w:rsidP="00BE2A5E">
      <w:pPr>
        <w:spacing w:line="276" w:lineRule="auto"/>
        <w:rPr>
          <w:rFonts w:ascii="Calibri" w:hAnsi="Calibri"/>
          <w:rtl/>
        </w:rPr>
      </w:pPr>
      <w:r w:rsidRPr="00E86850">
        <w:rPr>
          <w:rFonts w:ascii="Calibri" w:hAnsi="Calibri" w:hint="cs"/>
          <w:rtl/>
        </w:rPr>
        <w:t>הסכנה השנייה הטמונה במעבר לחיים טבעיים בא</w:t>
      </w:r>
      <w:r w:rsidR="00E744A3">
        <w:rPr>
          <w:rFonts w:ascii="Calibri" w:hAnsi="Calibri" w:hint="cs"/>
          <w:rtl/>
        </w:rPr>
        <w:t>רץ ישראל, נרמזת ע"י חז"ל במאמרם:</w:t>
      </w:r>
      <w:r w:rsidRPr="00E86850">
        <w:rPr>
          <w:rFonts w:ascii="Calibri" w:hAnsi="Calibri" w:hint="cs"/>
          <w:rtl/>
        </w:rPr>
        <w:t xml:space="preserve"> </w:t>
      </w:r>
    </w:p>
    <w:p w:rsidR="00E744A3" w:rsidRDefault="00954CD5" w:rsidP="00E744A3">
      <w:pPr>
        <w:pStyle w:val="a9"/>
        <w:rPr>
          <w:rtl/>
        </w:rPr>
      </w:pPr>
      <w:r w:rsidRPr="00E86850">
        <w:rPr>
          <w:rFonts w:hint="cs"/>
          <w:rtl/>
        </w:rPr>
        <w:t>"לא נתנה התורה לדרוש אלא לאוכלי המן, שלא היה להם צורך לא למלאכה ולא לסחורה</w:t>
      </w:r>
      <w:r w:rsidR="00E744A3">
        <w:rPr>
          <w:rFonts w:hint="cs"/>
          <w:rtl/>
        </w:rPr>
        <w:t>.</w:t>
      </w:r>
      <w:r w:rsidRPr="00E86850">
        <w:rPr>
          <w:rFonts w:hint="cs"/>
          <w:rtl/>
        </w:rPr>
        <w:t xml:space="preserve">" </w:t>
      </w:r>
    </w:p>
    <w:p w:rsidR="00954CD5" w:rsidRPr="00E744A3" w:rsidRDefault="00E744A3" w:rsidP="00E744A3">
      <w:pPr>
        <w:spacing w:line="276" w:lineRule="auto"/>
        <w:jc w:val="right"/>
        <w:rPr>
          <w:rFonts w:ascii="Calibri" w:hAnsi="Calibri"/>
          <w:szCs w:val="20"/>
          <w:rtl/>
        </w:rPr>
      </w:pPr>
      <w:r w:rsidRPr="00E744A3">
        <w:rPr>
          <w:rFonts w:ascii="Calibri" w:hAnsi="Calibri" w:hint="cs"/>
          <w:szCs w:val="20"/>
          <w:rtl/>
        </w:rPr>
        <w:t>(</w:t>
      </w:r>
      <w:proofErr w:type="spellStart"/>
      <w:r w:rsidRPr="00E744A3">
        <w:rPr>
          <w:rFonts w:ascii="Calibri" w:hAnsi="Calibri" w:hint="cs"/>
          <w:szCs w:val="20"/>
          <w:rtl/>
        </w:rPr>
        <w:t>תנחומא</w:t>
      </w:r>
      <w:proofErr w:type="spellEnd"/>
      <w:r w:rsidRPr="00E744A3">
        <w:rPr>
          <w:rFonts w:ascii="Calibri" w:hAnsi="Calibri" w:hint="cs"/>
          <w:szCs w:val="20"/>
          <w:rtl/>
        </w:rPr>
        <w:t xml:space="preserve"> בשלח, כ')</w:t>
      </w:r>
    </w:p>
    <w:p w:rsidR="00954CD5" w:rsidRPr="00E86850" w:rsidRDefault="00954CD5" w:rsidP="00BE2A5E">
      <w:pPr>
        <w:spacing w:line="276" w:lineRule="auto"/>
        <w:rPr>
          <w:rFonts w:ascii="Calibri" w:hAnsi="Calibri"/>
          <w:rtl/>
        </w:rPr>
      </w:pPr>
      <w:r w:rsidRPr="00E86850">
        <w:rPr>
          <w:rFonts w:ascii="Calibri" w:hAnsi="Calibri" w:hint="cs"/>
          <w:rtl/>
        </w:rPr>
        <w:t>כאשר בני ישראל נכנסו לארץ, לאחר שהתרגלו לכך שכל צרכיהם ניתנים להם מן השמיים, ועמוד הענן מיישר לפניהם את ההרים והגאיות, עלולה ה</w:t>
      </w:r>
      <w:r w:rsidR="00E744A3">
        <w:rPr>
          <w:rFonts w:ascii="Calibri" w:hAnsi="Calibri" w:hint="cs"/>
          <w:rtl/>
        </w:rPr>
        <w:t>י</w:t>
      </w:r>
      <w:r w:rsidRPr="00E86850">
        <w:rPr>
          <w:rFonts w:ascii="Calibri" w:hAnsi="Calibri" w:hint="cs"/>
          <w:rtl/>
        </w:rPr>
        <w:t>יתה להתפתח שחיקה טבעית, הגורמת להתרחקות מחיי תורה ויראת שמים. כאן אין הכוונה לאידיאולוגיה מודעת של "כוחי ועוצם ידי", אלא לתהליך טבעי, המתרחש כאשר העיסוקים מתרבים והראש מתמלא בדברים שונים ומשונים, שעלול לגרום להתנתקות מהקשר החי לקב"ה ולתורתו.</w:t>
      </w:r>
    </w:p>
    <w:p w:rsidR="00954CD5" w:rsidRPr="00E86850" w:rsidRDefault="00954CD5" w:rsidP="00BE2A5E">
      <w:pPr>
        <w:spacing w:line="276" w:lineRule="auto"/>
        <w:rPr>
          <w:rFonts w:ascii="Calibri" w:hAnsi="Calibri"/>
          <w:rtl/>
        </w:rPr>
      </w:pPr>
      <w:r w:rsidRPr="00E86850">
        <w:rPr>
          <w:rFonts w:ascii="Calibri" w:hAnsi="Calibri" w:hint="cs"/>
          <w:rtl/>
        </w:rPr>
        <w:t>בהקשר זה, מזימת "להשכיחם תורתך" אינה מכוונת להעביר את האדם במודע על דתו, אלא להפוך אותו ליהודי דתי הממשיך לשמור מצוות, אך הולך ומתרחק – מתוך חוסר תשומת לב, חוסר זמן וטרדות היום-יום – מזיקתו לעולם התורה.</w:t>
      </w:r>
    </w:p>
    <w:p w:rsidR="00FF2C65" w:rsidRDefault="00FF2C65" w:rsidP="00BE2A5E">
      <w:pPr>
        <w:spacing w:line="276" w:lineRule="auto"/>
        <w:rPr>
          <w:rFonts w:ascii="Calibri" w:hAnsi="Calibri"/>
          <w:rtl/>
        </w:rPr>
      </w:pPr>
      <w:r>
        <w:rPr>
          <w:rFonts w:ascii="Calibri" w:hAnsi="Calibri" w:hint="cs"/>
          <w:rtl/>
        </w:rPr>
        <w:t>המשנה באבות אומרת:</w:t>
      </w:r>
      <w:r w:rsidR="00954CD5" w:rsidRPr="00E86850">
        <w:rPr>
          <w:rFonts w:ascii="Calibri" w:hAnsi="Calibri" w:hint="cs"/>
          <w:rtl/>
        </w:rPr>
        <w:t xml:space="preserve"> </w:t>
      </w:r>
    </w:p>
    <w:p w:rsidR="00FF2C65" w:rsidRDefault="00954CD5" w:rsidP="00FF2C65">
      <w:pPr>
        <w:pStyle w:val="a9"/>
        <w:rPr>
          <w:rtl/>
        </w:rPr>
      </w:pPr>
      <w:r w:rsidRPr="00E86850">
        <w:rPr>
          <w:rFonts w:hint="cs"/>
          <w:rtl/>
        </w:rPr>
        <w:t xml:space="preserve">"כל השוכח דבר אחד ממשנתו – מעלה עליו הכתוב כאלו מתחייב בנפשו" </w:t>
      </w:r>
    </w:p>
    <w:p w:rsidR="00FF2C65" w:rsidRPr="00FF2C65" w:rsidRDefault="00FF2C65" w:rsidP="00FF2C65">
      <w:pPr>
        <w:spacing w:line="276" w:lineRule="auto"/>
        <w:jc w:val="right"/>
        <w:rPr>
          <w:rFonts w:ascii="Calibri" w:hAnsi="Calibri"/>
          <w:szCs w:val="20"/>
          <w:rtl/>
        </w:rPr>
      </w:pPr>
      <w:r w:rsidRPr="00FF2C65">
        <w:rPr>
          <w:rFonts w:ascii="Calibri" w:hAnsi="Calibri" w:hint="cs"/>
          <w:szCs w:val="20"/>
          <w:rtl/>
        </w:rPr>
        <w:t>(אבות פ"ג, מ"ח)</w:t>
      </w:r>
    </w:p>
    <w:p w:rsidR="00954CD5" w:rsidRPr="00E86850" w:rsidRDefault="00954CD5" w:rsidP="00FF2C65">
      <w:pPr>
        <w:spacing w:line="276" w:lineRule="auto"/>
        <w:rPr>
          <w:rFonts w:ascii="Calibri" w:hAnsi="Calibri"/>
          <w:rtl/>
        </w:rPr>
      </w:pPr>
      <w:r w:rsidRPr="00E86850">
        <w:rPr>
          <w:rFonts w:ascii="Calibri" w:hAnsi="Calibri" w:hint="cs"/>
          <w:rtl/>
        </w:rPr>
        <w:t>כוונת המשנה אינה לשכחה סתם, המהווה מקור למפח-נפש ללומד המבקש לראות ברכה בעמלו, אלא לשכחה הבאה מתוך ריחוק וחוסר זיקה מספקת.</w:t>
      </w:r>
    </w:p>
    <w:p w:rsidR="00954CD5" w:rsidRPr="00E86850" w:rsidRDefault="00954CD5" w:rsidP="00BE2A5E">
      <w:pPr>
        <w:spacing w:line="276" w:lineRule="auto"/>
        <w:rPr>
          <w:rFonts w:ascii="Calibri" w:hAnsi="Calibri"/>
          <w:rtl/>
        </w:rPr>
      </w:pPr>
      <w:r w:rsidRPr="00E86850">
        <w:rPr>
          <w:rFonts w:ascii="Calibri" w:hAnsi="Calibri" w:hint="cs"/>
          <w:rtl/>
        </w:rPr>
        <w:t>השכחה הטבעית אמנם נפוצה וכואבת, ואף על משה רבנו כותב המדרש שהתורה ניתנה לו מה' במתנה, לאחר שבתום ארבעים הימים ששהה בראש ההר הרגיש כי הוא שוכח את כל מה שלמד, אולם ברור שלא בשכחה כזו דנה המשנה.</w:t>
      </w:r>
    </w:p>
    <w:p w:rsidR="00954CD5" w:rsidRPr="00E86850" w:rsidRDefault="00954CD5" w:rsidP="00FF2C65">
      <w:pPr>
        <w:spacing w:line="276" w:lineRule="auto"/>
        <w:rPr>
          <w:rFonts w:ascii="Calibri" w:hAnsi="Calibri"/>
          <w:rtl/>
        </w:rPr>
      </w:pPr>
      <w:r w:rsidRPr="00E86850">
        <w:rPr>
          <w:rFonts w:ascii="Calibri" w:hAnsi="Calibri" w:hint="cs"/>
          <w:rtl/>
        </w:rPr>
        <w:t>בהמשך מסבירה המשנה, שאין הכוונה למי ש"תקפה עליו משנתו", אלא למי ש"יושב ומסירה מלבו". רבנו יונה, בפירושו למשנה זו, מסביר שכוונת המשנה היא לאדם הנותר אדיש לכך שהוא הולך ושוכח את תורתו.</w:t>
      </w:r>
      <w:r w:rsidR="00FF2C65">
        <w:rPr>
          <w:rFonts w:ascii="Calibri" w:hAnsi="Calibri" w:hint="cs"/>
          <w:rtl/>
        </w:rPr>
        <w:t xml:space="preserve"> </w:t>
      </w:r>
      <w:r w:rsidRPr="00E86850">
        <w:rPr>
          <w:rFonts w:ascii="Calibri" w:hAnsi="Calibri" w:hint="cs"/>
          <w:rtl/>
        </w:rPr>
        <w:t>הוא רואה שהימים חולפים, הוא מרגיש שקמעא קמעא הוא הולך ומתרחק מבית המדרש – אך אינו עושה דבר כדי להשיב ימיו כקדם. מדי פעם הוא נזכר בחוויות הנעימות ובימים היפים שבהם שהה בין כתלי בית המדרש, אך באופן כללי הוא הולך ושוקע – ונותר אדיש.</w:t>
      </w:r>
    </w:p>
    <w:p w:rsidR="00954CD5" w:rsidRPr="00E86850" w:rsidRDefault="00954CD5" w:rsidP="00BE2A5E">
      <w:pPr>
        <w:spacing w:line="276" w:lineRule="auto"/>
        <w:rPr>
          <w:rFonts w:ascii="Calibri" w:hAnsi="Calibri"/>
          <w:rtl/>
        </w:rPr>
      </w:pPr>
      <w:r w:rsidRPr="00E86850">
        <w:rPr>
          <w:rFonts w:ascii="Calibri" w:hAnsi="Calibri" w:hint="cs"/>
          <w:rtl/>
        </w:rPr>
        <w:t xml:space="preserve">לפי פירושו של רבנו יונה, המסר העולה מהמשנה הוא חד-משמעי: "זיכרון" שאינו פעיל, שאינו מבוסס על קשר נפשי וזיקה קיומית – נחשב "יושב ומסירם מלבו". </w:t>
      </w:r>
      <w:r w:rsidRPr="00E86850">
        <w:rPr>
          <w:rFonts w:ascii="Calibri" w:hAnsi="Calibri" w:hint="cs"/>
          <w:rtl/>
        </w:rPr>
        <w:t>הקשר לבית המדרש ולעולם התורה צריך להיות חי, תוסס ויוצר.</w:t>
      </w:r>
    </w:p>
    <w:p w:rsidR="00954CD5" w:rsidRPr="00E86850" w:rsidRDefault="00954CD5" w:rsidP="00BE2A5E">
      <w:pPr>
        <w:spacing w:line="276" w:lineRule="auto"/>
        <w:rPr>
          <w:rFonts w:ascii="Calibri" w:hAnsi="Calibri"/>
          <w:rtl/>
        </w:rPr>
      </w:pPr>
      <w:r w:rsidRPr="00E86850">
        <w:rPr>
          <w:rFonts w:ascii="Calibri" w:hAnsi="Calibri" w:hint="cs"/>
          <w:rtl/>
        </w:rPr>
        <w:t>כעת נוכל לשוב לשאלה שפתחנו בה: מהי המזימה הקשה יותר, "להשכיחם תורתך" או "להעבירם מחוקי רצונך"? אכן, ישנן תקופות שמד, בהן נדרש האדם לגבורה, מסירות נפש וקידוש השם בחייו ממש; אולם ישנן גם תקופות – והעידן המודרני ביניהן – בהן הסכנה האורבת היא דווקא סכנת השגרה, האפרוריות והשכחה.</w:t>
      </w:r>
    </w:p>
    <w:p w:rsidR="00954CD5" w:rsidRPr="00E86850" w:rsidRDefault="00954CD5" w:rsidP="00BE2A5E">
      <w:pPr>
        <w:spacing w:line="276" w:lineRule="auto"/>
        <w:rPr>
          <w:rFonts w:ascii="Calibri" w:hAnsi="Calibri"/>
          <w:rtl/>
        </w:rPr>
      </w:pPr>
      <w:r w:rsidRPr="00E86850">
        <w:rPr>
          <w:rFonts w:ascii="Calibri" w:hAnsi="Calibri" w:hint="cs"/>
          <w:rtl/>
        </w:rPr>
        <w:t>עוד במאה הקודמת היו מקומות, כדוגמת גרמניה הנאצית או רוסיה הקומוניסטית, בהם נאלצו היהודים להתמודד עם סכנה איומה של "להעבירם מחוקי רצונך"; אולם בעולם המערבי המודרני, האיום הגדול יותר הוא דווקא מזימת "להשכיחם תורתך".</w:t>
      </w:r>
    </w:p>
    <w:p w:rsidR="00954CD5" w:rsidRPr="00E86850" w:rsidRDefault="00954CD5" w:rsidP="00BE2A5E">
      <w:pPr>
        <w:spacing w:line="276" w:lineRule="auto"/>
        <w:rPr>
          <w:rFonts w:ascii="Calibri" w:hAnsi="Calibri"/>
          <w:rtl/>
        </w:rPr>
      </w:pPr>
      <w:r w:rsidRPr="00E86850">
        <w:rPr>
          <w:rFonts w:ascii="Calibri" w:hAnsi="Calibri" w:hint="cs"/>
          <w:rtl/>
        </w:rPr>
        <w:t>התרבות המערבית מתאפיינת בתודעה של האדרת האדם ושקיעה בענייני העולם הזה, ובמקביל התעלמות מהקב"ה ומהטרקלין המצוי בסופו של הפרוזדור שבו אנו חיים. במישור הלאומי, סכנה זו משתקפת בתהליך החילון של מאתיים השנים האחרונות; אולם למרבה הצער, הסכנה המדוברת מחלחלת לא פעם גם לתוך בית המדרש, ובמיוחד פוקדת את אלו שסיימו את לימודיהם בו.</w:t>
      </w:r>
    </w:p>
    <w:p w:rsidR="00FF2C65" w:rsidRDefault="00954CD5" w:rsidP="00BE2A5E">
      <w:pPr>
        <w:spacing w:line="276" w:lineRule="auto"/>
        <w:rPr>
          <w:rFonts w:ascii="Calibri" w:hAnsi="Calibri"/>
          <w:rtl/>
        </w:rPr>
      </w:pPr>
      <w:r w:rsidRPr="00E86850">
        <w:rPr>
          <w:rFonts w:ascii="Calibri" w:hAnsi="Calibri" w:hint="cs"/>
          <w:rtl/>
        </w:rPr>
        <w:t xml:space="preserve">קטן יחסית הסיכוי שתלמיד העוזב את הישיבה ייתקל בסכנת "להעבירם מחוקי רצונך". מאידך, סביר להניח, וכמעט בלתי-נמנע, שהוא ייאלץ להתמודד עם "להשכיחם תורתך". </w:t>
      </w:r>
    </w:p>
    <w:p w:rsidR="00954CD5" w:rsidRPr="00E86850" w:rsidRDefault="00954CD5" w:rsidP="00FF2C65">
      <w:pPr>
        <w:spacing w:line="276" w:lineRule="auto"/>
        <w:rPr>
          <w:rFonts w:ascii="Calibri" w:hAnsi="Calibri"/>
          <w:rtl/>
        </w:rPr>
      </w:pPr>
      <w:r w:rsidRPr="00E86850">
        <w:rPr>
          <w:rFonts w:ascii="Calibri" w:hAnsi="Calibri" w:hint="cs"/>
          <w:rtl/>
        </w:rPr>
        <w:t>במשימת החינוך לשמירה על המצוות נוחל עולם הישיבות הצלחה רבתי.</w:t>
      </w:r>
      <w:r w:rsidR="00FF2C65">
        <w:rPr>
          <w:rFonts w:ascii="Calibri" w:hAnsi="Calibri" w:hint="cs"/>
          <w:rtl/>
        </w:rPr>
        <w:t xml:space="preserve"> </w:t>
      </w:r>
      <w:r w:rsidRPr="00E86850">
        <w:rPr>
          <w:rFonts w:ascii="Calibri" w:hAnsi="Calibri" w:hint="cs"/>
          <w:rtl/>
        </w:rPr>
        <w:t>אמנם ישנם, בשולי המחנה, כאלו הנוטים מדרך הישר; אך באופן כללי, הרוב המכריע של בוגרי הישיבות בדורנו ממשיכים גם לאחר יציאתם מהישיבה לנהל אורח חיים דתי, תוך שמירה – מי פחות ומי יותר – על חוקי ההלכה.</w:t>
      </w:r>
    </w:p>
    <w:p w:rsidR="00954CD5" w:rsidRPr="00E86850" w:rsidRDefault="00954CD5" w:rsidP="00BE2A5E">
      <w:pPr>
        <w:spacing w:line="276" w:lineRule="auto"/>
        <w:rPr>
          <w:rFonts w:ascii="Calibri" w:hAnsi="Calibri"/>
          <w:rtl/>
        </w:rPr>
      </w:pPr>
      <w:r w:rsidRPr="00E86850">
        <w:rPr>
          <w:rFonts w:ascii="Calibri" w:hAnsi="Calibri" w:hint="cs"/>
          <w:rtl/>
        </w:rPr>
        <w:t>עם זאת, עלינו להודות שהצלחת ישיבותינו בהנחלת הקשר החי לתורה היא קטנה בהרבה. למרות שרוב בוגרי הישיבות מודעים לעובדה הערטילאית שטוב ורצוי ללמוד תורה, המציאות המצערת היא, שרק חלק קטן מהם מסיקים מכך את המסקנות האופרטיביות המתאימות.</w:t>
      </w:r>
    </w:p>
    <w:p w:rsidR="00954CD5" w:rsidRPr="00E86850" w:rsidRDefault="00954CD5" w:rsidP="00BE2A5E">
      <w:pPr>
        <w:spacing w:line="276" w:lineRule="auto"/>
        <w:rPr>
          <w:rFonts w:ascii="Calibri" w:hAnsi="Calibri"/>
          <w:rtl/>
        </w:rPr>
      </w:pPr>
      <w:r w:rsidRPr="00E86850">
        <w:rPr>
          <w:rFonts w:ascii="Calibri" w:hAnsi="Calibri" w:hint="cs"/>
          <w:rtl/>
        </w:rPr>
        <w:t xml:space="preserve">במידה </w:t>
      </w:r>
      <w:proofErr w:type="spellStart"/>
      <w:r w:rsidRPr="00E86850">
        <w:rPr>
          <w:rFonts w:ascii="Calibri" w:hAnsi="Calibri" w:hint="cs"/>
          <w:rtl/>
        </w:rPr>
        <w:t>מועטת</w:t>
      </w:r>
      <w:proofErr w:type="spellEnd"/>
      <w:r w:rsidRPr="00E86850">
        <w:rPr>
          <w:rFonts w:ascii="Calibri" w:hAnsi="Calibri" w:hint="cs"/>
          <w:rtl/>
        </w:rPr>
        <w:t xml:space="preserve"> קיימת מגמה של "וישמן ישֻרון ויבעט" – אובדן הפרופורציות, ברמת ההצהרה </w:t>
      </w:r>
      <w:proofErr w:type="spellStart"/>
      <w:r w:rsidRPr="00E86850">
        <w:rPr>
          <w:rFonts w:ascii="Calibri" w:hAnsi="Calibri" w:hint="cs"/>
          <w:rtl/>
        </w:rPr>
        <w:t>ההשקפתית</w:t>
      </w:r>
      <w:proofErr w:type="spellEnd"/>
      <w:r w:rsidRPr="00E86850">
        <w:rPr>
          <w:rFonts w:ascii="Calibri" w:hAnsi="Calibri" w:hint="cs"/>
          <w:rtl/>
        </w:rPr>
        <w:t>, שבין לימוד התורה לעיסוקי היום-יום; אך שכיחה למדי נטייה של ריחוק וניתוק, שקיעה בתחומים אחרים – חיוביים כשלעצמם – והתייבשות הקשר החי והתוסס לתורה וללימודה.</w:t>
      </w:r>
    </w:p>
    <w:p w:rsidR="00954CD5" w:rsidRPr="00E86850" w:rsidRDefault="00954CD5" w:rsidP="00BE2A5E">
      <w:pPr>
        <w:spacing w:line="276" w:lineRule="auto"/>
        <w:rPr>
          <w:rFonts w:ascii="Calibri" w:hAnsi="Calibri"/>
          <w:rtl/>
        </w:rPr>
      </w:pPr>
      <w:r w:rsidRPr="00E86850">
        <w:rPr>
          <w:rFonts w:ascii="Calibri" w:hAnsi="Calibri" w:hint="cs"/>
          <w:rtl/>
        </w:rPr>
        <w:t xml:space="preserve">הבעיה שעמדתי עליה מתעוררת לאחר עזיבת הישיבה, אך כדי לפתור אותה צריך האדם לבנות את עצמו בשנות שהותו בישיבה. עליו להעמיק את מושרשותו בתורה, ולדאוג לכך שגם בשעה שהוא עוסק בדברים </w:t>
      </w:r>
      <w:r w:rsidRPr="00E86850">
        <w:rPr>
          <w:rFonts w:ascii="Calibri" w:hAnsi="Calibri" w:hint="cs"/>
          <w:rtl/>
        </w:rPr>
        <w:lastRenderedPageBreak/>
        <w:t>אחרים – כל מעשיו יהיו לשם שמיים, והקשר שבינו ובין התורה לא יתנתק.</w:t>
      </w:r>
    </w:p>
    <w:p w:rsidR="00954CD5" w:rsidRPr="00E86850" w:rsidRDefault="00954CD5" w:rsidP="00BE2A5E">
      <w:pPr>
        <w:spacing w:line="276" w:lineRule="auto"/>
        <w:rPr>
          <w:rFonts w:ascii="Calibri" w:hAnsi="Calibri"/>
          <w:rtl/>
        </w:rPr>
      </w:pPr>
      <w:r w:rsidRPr="00E86850">
        <w:rPr>
          <w:rFonts w:ascii="Calibri" w:hAnsi="Calibri" w:hint="cs"/>
          <w:rtl/>
        </w:rPr>
        <w:t>לשם השגת מטרה זו, ישנה חשיבות מיוחדת לעיסוק בתורה, בניגוד לקיום המצוות גרידא, שכן עוצמתו של לימוד התורה ויכולתו להשפיע על אישיותו של האדם גדולות יותר מעוצמתן של המצוות ומיכולתן להשיג את אותה מטרה.</w:t>
      </w:r>
    </w:p>
    <w:p w:rsidR="008D67F3" w:rsidRDefault="008D67F3" w:rsidP="00BE2A5E">
      <w:pPr>
        <w:spacing w:line="276" w:lineRule="auto"/>
        <w:rPr>
          <w:rFonts w:ascii="Calibri" w:hAnsi="Calibri"/>
          <w:rtl/>
        </w:rPr>
      </w:pPr>
      <w:r>
        <w:rPr>
          <w:rFonts w:ascii="Calibri" w:hAnsi="Calibri" w:hint="cs"/>
          <w:rtl/>
        </w:rPr>
        <w:t>במשלי נאמר:</w:t>
      </w:r>
    </w:p>
    <w:p w:rsidR="008D67F3" w:rsidRDefault="00954CD5" w:rsidP="008D67F3">
      <w:pPr>
        <w:pStyle w:val="a9"/>
        <w:rPr>
          <w:rtl/>
        </w:rPr>
      </w:pPr>
      <w:r w:rsidRPr="00E86850">
        <w:rPr>
          <w:rFonts w:hint="cs"/>
          <w:rtl/>
        </w:rPr>
        <w:t xml:space="preserve">"כִּי נֵר מִצְוָה וְתוֹרָה אוֹר" </w:t>
      </w:r>
    </w:p>
    <w:p w:rsidR="008D67F3" w:rsidRPr="008D67F3" w:rsidRDefault="008D67F3" w:rsidP="008D67F3">
      <w:pPr>
        <w:spacing w:line="276" w:lineRule="auto"/>
        <w:jc w:val="right"/>
        <w:rPr>
          <w:rFonts w:ascii="Calibri" w:hAnsi="Calibri"/>
          <w:szCs w:val="20"/>
          <w:rtl/>
        </w:rPr>
      </w:pPr>
      <w:r w:rsidRPr="008D67F3">
        <w:rPr>
          <w:rFonts w:ascii="Calibri" w:hAnsi="Calibri" w:hint="cs"/>
          <w:szCs w:val="20"/>
          <w:rtl/>
        </w:rPr>
        <w:t xml:space="preserve">(משלי ו', </w:t>
      </w:r>
      <w:proofErr w:type="spellStart"/>
      <w:r w:rsidRPr="008D67F3">
        <w:rPr>
          <w:rFonts w:ascii="Calibri" w:hAnsi="Calibri" w:hint="cs"/>
          <w:szCs w:val="20"/>
          <w:rtl/>
        </w:rPr>
        <w:t>כג</w:t>
      </w:r>
      <w:proofErr w:type="spellEnd"/>
      <w:r w:rsidRPr="008D67F3">
        <w:rPr>
          <w:rFonts w:ascii="Calibri" w:hAnsi="Calibri" w:hint="cs"/>
          <w:szCs w:val="20"/>
          <w:rtl/>
        </w:rPr>
        <w:t>)</w:t>
      </w:r>
    </w:p>
    <w:p w:rsidR="00954CD5" w:rsidRDefault="00954CD5" w:rsidP="00BE2A5E">
      <w:pPr>
        <w:spacing w:line="276" w:lineRule="auto"/>
        <w:rPr>
          <w:rtl/>
        </w:rPr>
      </w:pPr>
      <w:r w:rsidRPr="00E86850">
        <w:rPr>
          <w:rFonts w:ascii="Calibri" w:hAnsi="Calibri" w:hint="cs"/>
          <w:rtl/>
        </w:rPr>
        <w:t xml:space="preserve">הנרות הם חשובים, אך עוצמתו </w:t>
      </w:r>
      <w:r w:rsidR="008D67F3">
        <w:rPr>
          <w:rFonts w:ascii="Calibri" w:hAnsi="Calibri" w:hint="cs"/>
          <w:rtl/>
        </w:rPr>
        <w:t>ו</w:t>
      </w:r>
      <w:r w:rsidRPr="00E86850">
        <w:rPr>
          <w:rFonts w:ascii="Calibri" w:hAnsi="Calibri" w:hint="cs"/>
          <w:rtl/>
        </w:rPr>
        <w:t xml:space="preserve">היקפו של האור גדולים יותר לאין ערוך. דווקא מתוך הידוק הקשר לאור עצמו – לתורה המפיצה אור עיוני וקיומי – בשנות הלימוד בישיבה, נצליח לחזק את זיקתנו לעולם המצוות, ונישאר קשורים לתורה וללימודה גם מחוץ </w:t>
      </w:r>
      <w:proofErr w:type="spellStart"/>
      <w:r w:rsidRPr="00E86850">
        <w:rPr>
          <w:rFonts w:ascii="Calibri" w:hAnsi="Calibri" w:hint="cs"/>
          <w:rtl/>
        </w:rPr>
        <w:t>לכתלי</w:t>
      </w:r>
      <w:proofErr w:type="spellEnd"/>
      <w:r w:rsidRPr="00E86850">
        <w:rPr>
          <w:rFonts w:ascii="Calibri" w:hAnsi="Calibri" w:hint="cs"/>
          <w:rtl/>
        </w:rPr>
        <w:t xml:space="preserve"> בית המדרש.</w:t>
      </w:r>
    </w:p>
    <w:p w:rsidR="008D67F3" w:rsidRDefault="008D67F3" w:rsidP="00BE2A5E">
      <w:pPr>
        <w:spacing w:line="276" w:lineRule="auto"/>
        <w:rPr>
          <w:rtl/>
        </w:rPr>
      </w:pPr>
    </w:p>
    <w:tbl>
      <w:tblPr>
        <w:tblpPr w:leftFromText="180" w:rightFromText="180" w:vertAnchor="text" w:horzAnchor="margin" w:tblpXSpec="right" w:tblpY="116"/>
        <w:bidiVisual/>
        <w:tblW w:w="4678" w:type="dxa"/>
        <w:tblLayout w:type="fixed"/>
        <w:tblLook w:val="0000" w:firstRow="0" w:lastRow="0" w:firstColumn="0" w:lastColumn="0" w:noHBand="0" w:noVBand="0"/>
      </w:tblPr>
      <w:tblGrid>
        <w:gridCol w:w="283"/>
        <w:gridCol w:w="4111"/>
        <w:gridCol w:w="284"/>
      </w:tblGrid>
      <w:tr w:rsidR="008D67F3" w:rsidTr="008D67F3">
        <w:tc>
          <w:tcPr>
            <w:tcW w:w="283" w:type="dxa"/>
            <w:tcBorders>
              <w:top w:val="nil"/>
              <w:left w:val="nil"/>
              <w:bottom w:val="nil"/>
              <w:right w:val="nil"/>
            </w:tcBorders>
          </w:tcPr>
          <w:p w:rsidR="008D67F3" w:rsidRDefault="008D67F3" w:rsidP="008D67F3">
            <w:pPr>
              <w:pStyle w:val="ab"/>
              <w:rPr>
                <w:noProof w:val="0"/>
              </w:rPr>
            </w:pPr>
            <w:r>
              <w:rPr>
                <w:noProof w:val="0"/>
                <w:rtl/>
              </w:rPr>
              <w:t>*</w:t>
            </w:r>
          </w:p>
        </w:tc>
        <w:tc>
          <w:tcPr>
            <w:tcW w:w="4111" w:type="dxa"/>
            <w:tcBorders>
              <w:top w:val="nil"/>
              <w:left w:val="nil"/>
              <w:bottom w:val="nil"/>
              <w:right w:val="nil"/>
            </w:tcBorders>
          </w:tcPr>
          <w:p w:rsidR="008D67F3" w:rsidRDefault="008D67F3" w:rsidP="008D67F3">
            <w:pPr>
              <w:pStyle w:val="ab"/>
              <w:ind w:left="-170" w:right="-170"/>
              <w:rPr>
                <w:noProof w:val="0"/>
              </w:rPr>
            </w:pPr>
            <w:r>
              <w:rPr>
                <w:noProof w:val="0"/>
                <w:rtl/>
              </w:rPr>
              <w:t>***************************************************************</w:t>
            </w:r>
          </w:p>
        </w:tc>
        <w:tc>
          <w:tcPr>
            <w:tcW w:w="284" w:type="dxa"/>
            <w:tcBorders>
              <w:top w:val="nil"/>
              <w:left w:val="nil"/>
              <w:bottom w:val="nil"/>
              <w:right w:val="nil"/>
            </w:tcBorders>
          </w:tcPr>
          <w:p w:rsidR="008D67F3" w:rsidRDefault="008D67F3" w:rsidP="008D67F3">
            <w:pPr>
              <w:pStyle w:val="ab"/>
              <w:rPr>
                <w:noProof w:val="0"/>
              </w:rPr>
            </w:pPr>
            <w:r>
              <w:rPr>
                <w:noProof w:val="0"/>
                <w:rtl/>
              </w:rPr>
              <w:t>*</w:t>
            </w:r>
          </w:p>
        </w:tc>
      </w:tr>
      <w:tr w:rsidR="008D67F3" w:rsidTr="008D67F3">
        <w:tc>
          <w:tcPr>
            <w:tcW w:w="283" w:type="dxa"/>
            <w:tcBorders>
              <w:top w:val="nil"/>
              <w:left w:val="nil"/>
              <w:bottom w:val="nil"/>
              <w:right w:val="nil"/>
            </w:tcBorders>
          </w:tcPr>
          <w:p w:rsidR="008D67F3" w:rsidRDefault="008D67F3" w:rsidP="008D67F3">
            <w:pPr>
              <w:pStyle w:val="ab"/>
              <w:rPr>
                <w:noProof w:val="0"/>
              </w:rPr>
            </w:pPr>
            <w:r>
              <w:rPr>
                <w:noProof w:val="0"/>
                <w:rtl/>
              </w:rPr>
              <w:t>* * * * * * * * * *</w:t>
            </w:r>
          </w:p>
        </w:tc>
        <w:tc>
          <w:tcPr>
            <w:tcW w:w="4111" w:type="dxa"/>
            <w:tcBorders>
              <w:top w:val="nil"/>
              <w:left w:val="nil"/>
              <w:bottom w:val="nil"/>
              <w:right w:val="nil"/>
            </w:tcBorders>
          </w:tcPr>
          <w:p w:rsidR="008D67F3" w:rsidRDefault="008D67F3" w:rsidP="008D67F3">
            <w:pPr>
              <w:pStyle w:val="ab"/>
              <w:rPr>
                <w:noProof w:val="0"/>
                <w:rtl/>
              </w:rPr>
            </w:pPr>
            <w:r>
              <w:rPr>
                <w:noProof w:val="0"/>
                <w:rtl/>
              </w:rPr>
              <w:t>כל הזכויות שמורות לישיבת הר עציון</w:t>
            </w:r>
            <w:r>
              <w:rPr>
                <w:rFonts w:hint="cs"/>
                <w:noProof w:val="0"/>
                <w:rtl/>
              </w:rPr>
              <w:t xml:space="preserve"> ולרב אהרן</w:t>
            </w:r>
            <w:r>
              <w:rPr>
                <w:rFonts w:hint="cs"/>
                <w:noProof w:val="0"/>
                <w:rtl/>
              </w:rPr>
              <w:t xml:space="preserve"> ליכטנשטיין </w:t>
            </w:r>
            <w:r>
              <w:rPr>
                <w:rFonts w:hint="cs"/>
                <w:noProof w:val="0"/>
                <w:rtl/>
              </w:rPr>
              <w:t>זצ"ל</w:t>
            </w:r>
          </w:p>
          <w:p w:rsidR="008D67F3" w:rsidRPr="00C5614D" w:rsidRDefault="008D67F3" w:rsidP="008D67F3">
            <w:pPr>
              <w:pStyle w:val="ab"/>
              <w:rPr>
                <w:rFonts w:ascii="Times New Roman" w:hAnsi="Times New Roman" w:cs="Times New Roman"/>
                <w:noProof w:val="0"/>
                <w:rtl/>
              </w:rPr>
            </w:pPr>
            <w:r>
              <w:rPr>
                <w:rFonts w:hint="cs"/>
                <w:noProof w:val="0"/>
                <w:rtl/>
              </w:rPr>
              <w:t>עורך: אלישע אורון</w:t>
            </w:r>
          </w:p>
          <w:p w:rsidR="008D67F3" w:rsidRDefault="008D67F3" w:rsidP="008D67F3">
            <w:pPr>
              <w:pStyle w:val="ab"/>
              <w:rPr>
                <w:noProof w:val="0"/>
                <w:rtl/>
              </w:rPr>
            </w:pPr>
            <w:r>
              <w:rPr>
                <w:noProof w:val="0"/>
                <w:rtl/>
              </w:rPr>
              <w:t>*******************************************************</w:t>
            </w:r>
          </w:p>
          <w:p w:rsidR="008D67F3" w:rsidRDefault="008D67F3" w:rsidP="008D67F3">
            <w:pPr>
              <w:pStyle w:val="ab"/>
              <w:rPr>
                <w:noProof w:val="0"/>
                <w:rtl/>
              </w:rPr>
            </w:pPr>
          </w:p>
          <w:p w:rsidR="008D67F3" w:rsidRDefault="008D67F3" w:rsidP="008D67F3">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8D67F3" w:rsidRDefault="008D67F3" w:rsidP="008D67F3">
            <w:pPr>
              <w:pStyle w:val="ab"/>
              <w:rPr>
                <w:noProof w:val="0"/>
                <w:rtl/>
              </w:rPr>
            </w:pPr>
            <w:r>
              <w:rPr>
                <w:noProof w:val="0"/>
                <w:rtl/>
              </w:rPr>
              <w:t>האתר בעברית:</w:t>
            </w:r>
            <w:r>
              <w:rPr>
                <w:noProof w:val="0"/>
                <w:rtl/>
              </w:rPr>
              <w:tab/>
            </w:r>
            <w:hyperlink r:id="rId8" w:history="1">
              <w:r>
                <w:rPr>
                  <w:rStyle w:val="Hyperlink"/>
                </w:rPr>
                <w:t>http://www.etzion.org.il/vbm</w:t>
              </w:r>
            </w:hyperlink>
          </w:p>
          <w:p w:rsidR="008D67F3" w:rsidRDefault="008D67F3" w:rsidP="008D67F3">
            <w:pPr>
              <w:pStyle w:val="ab"/>
              <w:rPr>
                <w:noProof w:val="0"/>
                <w:rtl/>
              </w:rPr>
            </w:pPr>
            <w:r>
              <w:rPr>
                <w:noProof w:val="0"/>
                <w:rtl/>
              </w:rPr>
              <w:t>האתר באנגלית:</w:t>
            </w:r>
            <w:r>
              <w:rPr>
                <w:noProof w:val="0"/>
                <w:rtl/>
              </w:rPr>
              <w:tab/>
            </w:r>
            <w:hyperlink r:id="rId9" w:history="1">
              <w:r>
                <w:rPr>
                  <w:rStyle w:val="Hyperlink"/>
                </w:rPr>
                <w:t>http://www.vbm-torah.org</w:t>
              </w:r>
            </w:hyperlink>
          </w:p>
          <w:p w:rsidR="008D67F3" w:rsidRDefault="008D67F3" w:rsidP="008D67F3">
            <w:pPr>
              <w:pStyle w:val="ab"/>
              <w:rPr>
                <w:noProof w:val="0"/>
                <w:rtl/>
              </w:rPr>
            </w:pPr>
          </w:p>
          <w:p w:rsidR="008D67F3" w:rsidRDefault="008D67F3" w:rsidP="008D67F3">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D67F3" w:rsidRDefault="008D67F3" w:rsidP="008D67F3">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8D67F3" w:rsidRDefault="008D67F3" w:rsidP="008D67F3">
            <w:pPr>
              <w:pStyle w:val="ab"/>
              <w:rPr>
                <w:noProof w:val="0"/>
              </w:rPr>
            </w:pPr>
            <w:r>
              <w:rPr>
                <w:noProof w:val="0"/>
                <w:rtl/>
              </w:rPr>
              <w:t xml:space="preserve">* * * * * * * * * * </w:t>
            </w:r>
          </w:p>
        </w:tc>
      </w:tr>
      <w:tr w:rsidR="008D67F3" w:rsidTr="008D67F3">
        <w:tc>
          <w:tcPr>
            <w:tcW w:w="283" w:type="dxa"/>
            <w:tcBorders>
              <w:top w:val="nil"/>
              <w:left w:val="nil"/>
              <w:bottom w:val="nil"/>
              <w:right w:val="nil"/>
            </w:tcBorders>
          </w:tcPr>
          <w:p w:rsidR="008D67F3" w:rsidRDefault="008D67F3" w:rsidP="008D67F3">
            <w:pPr>
              <w:pStyle w:val="ab"/>
              <w:rPr>
                <w:noProof w:val="0"/>
              </w:rPr>
            </w:pPr>
            <w:r>
              <w:rPr>
                <w:noProof w:val="0"/>
                <w:rtl/>
              </w:rPr>
              <w:t>*</w:t>
            </w:r>
          </w:p>
        </w:tc>
        <w:tc>
          <w:tcPr>
            <w:tcW w:w="4111" w:type="dxa"/>
            <w:tcBorders>
              <w:top w:val="nil"/>
              <w:left w:val="nil"/>
              <w:bottom w:val="nil"/>
              <w:right w:val="nil"/>
            </w:tcBorders>
          </w:tcPr>
          <w:p w:rsidR="008D67F3" w:rsidRDefault="008D67F3" w:rsidP="008D67F3">
            <w:pPr>
              <w:pStyle w:val="ab"/>
              <w:ind w:left="-227" w:right="-227"/>
              <w:rPr>
                <w:noProof w:val="0"/>
              </w:rPr>
            </w:pPr>
            <w:r>
              <w:rPr>
                <w:noProof w:val="0"/>
                <w:rtl/>
              </w:rPr>
              <w:t>***************************************************************</w:t>
            </w:r>
          </w:p>
        </w:tc>
        <w:tc>
          <w:tcPr>
            <w:tcW w:w="284" w:type="dxa"/>
            <w:tcBorders>
              <w:top w:val="nil"/>
              <w:left w:val="nil"/>
              <w:bottom w:val="nil"/>
              <w:right w:val="nil"/>
            </w:tcBorders>
          </w:tcPr>
          <w:p w:rsidR="008D67F3" w:rsidRDefault="008D67F3" w:rsidP="008D67F3">
            <w:pPr>
              <w:pStyle w:val="ab"/>
              <w:rPr>
                <w:noProof w:val="0"/>
              </w:rPr>
            </w:pPr>
            <w:r>
              <w:rPr>
                <w:noProof w:val="0"/>
                <w:rtl/>
              </w:rPr>
              <w:t>*</w:t>
            </w:r>
          </w:p>
        </w:tc>
      </w:tr>
    </w:tbl>
    <w:p w:rsidR="008D67F3" w:rsidRDefault="008D67F3" w:rsidP="00BE2A5E">
      <w:pPr>
        <w:spacing w:line="276" w:lineRule="auto"/>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954CD5" w:rsidTr="009019ED">
        <w:tblPrEx>
          <w:tblCellMar>
            <w:top w:w="0" w:type="dxa"/>
            <w:bottom w:w="0" w:type="dxa"/>
          </w:tblCellMar>
        </w:tblPrEx>
        <w:tc>
          <w:tcPr>
            <w:tcW w:w="283" w:type="dxa"/>
            <w:tcBorders>
              <w:top w:val="nil"/>
              <w:left w:val="nil"/>
              <w:bottom w:val="nil"/>
              <w:right w:val="nil"/>
            </w:tcBorders>
          </w:tcPr>
          <w:p w:rsidR="00954CD5" w:rsidRDefault="00954CD5" w:rsidP="00BE2A5E">
            <w:pPr>
              <w:pStyle w:val="ab"/>
              <w:spacing w:line="276" w:lineRule="auto"/>
              <w:rPr>
                <w:rtl/>
              </w:rPr>
            </w:pPr>
          </w:p>
          <w:p w:rsidR="008D67F3" w:rsidRDefault="008D67F3" w:rsidP="00BE2A5E">
            <w:pPr>
              <w:pStyle w:val="ab"/>
              <w:spacing w:line="276" w:lineRule="auto"/>
              <w:rPr>
                <w:rtl/>
              </w:rPr>
            </w:pPr>
          </w:p>
          <w:p w:rsidR="008D67F3" w:rsidRDefault="008D67F3" w:rsidP="00BE2A5E">
            <w:pPr>
              <w:pStyle w:val="ab"/>
              <w:spacing w:line="276" w:lineRule="auto"/>
            </w:pPr>
          </w:p>
        </w:tc>
        <w:tc>
          <w:tcPr>
            <w:tcW w:w="4111" w:type="dxa"/>
            <w:tcBorders>
              <w:top w:val="nil"/>
              <w:left w:val="nil"/>
              <w:bottom w:val="nil"/>
              <w:right w:val="nil"/>
            </w:tcBorders>
          </w:tcPr>
          <w:p w:rsidR="00954CD5" w:rsidRDefault="00954CD5" w:rsidP="00BE2A5E">
            <w:pPr>
              <w:pStyle w:val="ab"/>
              <w:spacing w:line="276" w:lineRule="auto"/>
            </w:pPr>
          </w:p>
        </w:tc>
        <w:tc>
          <w:tcPr>
            <w:tcW w:w="284" w:type="dxa"/>
            <w:tcBorders>
              <w:top w:val="nil"/>
              <w:left w:val="nil"/>
              <w:bottom w:val="nil"/>
              <w:right w:val="nil"/>
            </w:tcBorders>
          </w:tcPr>
          <w:p w:rsidR="00954CD5" w:rsidRDefault="00954CD5" w:rsidP="00BE2A5E">
            <w:pPr>
              <w:pStyle w:val="ab"/>
              <w:spacing w:line="276" w:lineRule="auto"/>
              <w:rPr>
                <w:noProof w:val="0"/>
              </w:rPr>
            </w:pPr>
          </w:p>
        </w:tc>
      </w:tr>
      <w:tr w:rsidR="00954CD5" w:rsidTr="009019ED">
        <w:tblPrEx>
          <w:tblCellMar>
            <w:top w:w="0" w:type="dxa"/>
            <w:bottom w:w="0" w:type="dxa"/>
          </w:tblCellMar>
        </w:tblPrEx>
        <w:tc>
          <w:tcPr>
            <w:tcW w:w="283" w:type="dxa"/>
            <w:tcBorders>
              <w:top w:val="nil"/>
              <w:left w:val="nil"/>
              <w:bottom w:val="nil"/>
              <w:right w:val="nil"/>
            </w:tcBorders>
          </w:tcPr>
          <w:p w:rsidR="00954CD5" w:rsidRDefault="00954CD5" w:rsidP="00BE2A5E">
            <w:pPr>
              <w:pStyle w:val="ab"/>
              <w:spacing w:line="276" w:lineRule="auto"/>
            </w:pPr>
          </w:p>
        </w:tc>
        <w:tc>
          <w:tcPr>
            <w:tcW w:w="4111" w:type="dxa"/>
            <w:tcBorders>
              <w:top w:val="nil"/>
              <w:left w:val="nil"/>
              <w:bottom w:val="nil"/>
              <w:right w:val="nil"/>
            </w:tcBorders>
          </w:tcPr>
          <w:p w:rsidR="00954CD5" w:rsidRDefault="00954CD5" w:rsidP="00BE2A5E">
            <w:pPr>
              <w:pStyle w:val="ab"/>
              <w:spacing w:line="276" w:lineRule="auto"/>
              <w:rPr>
                <w:noProof w:val="0"/>
              </w:rPr>
            </w:pPr>
          </w:p>
        </w:tc>
        <w:tc>
          <w:tcPr>
            <w:tcW w:w="284" w:type="dxa"/>
            <w:tcBorders>
              <w:top w:val="nil"/>
              <w:left w:val="nil"/>
              <w:bottom w:val="nil"/>
              <w:right w:val="nil"/>
            </w:tcBorders>
          </w:tcPr>
          <w:p w:rsidR="00954CD5" w:rsidRDefault="00954CD5" w:rsidP="00BE2A5E">
            <w:pPr>
              <w:pStyle w:val="ab"/>
              <w:spacing w:line="276" w:lineRule="auto"/>
            </w:pPr>
          </w:p>
        </w:tc>
      </w:tr>
      <w:tr w:rsidR="00954CD5" w:rsidTr="009019ED">
        <w:tblPrEx>
          <w:tblCellMar>
            <w:top w:w="0" w:type="dxa"/>
            <w:bottom w:w="0" w:type="dxa"/>
          </w:tblCellMar>
        </w:tblPrEx>
        <w:tc>
          <w:tcPr>
            <w:tcW w:w="283" w:type="dxa"/>
            <w:tcBorders>
              <w:top w:val="nil"/>
              <w:left w:val="nil"/>
              <w:bottom w:val="nil"/>
              <w:right w:val="nil"/>
            </w:tcBorders>
          </w:tcPr>
          <w:p w:rsidR="00954CD5" w:rsidRDefault="00954CD5" w:rsidP="00BE2A5E">
            <w:pPr>
              <w:pStyle w:val="ab"/>
              <w:spacing w:line="276" w:lineRule="auto"/>
            </w:pPr>
          </w:p>
        </w:tc>
        <w:tc>
          <w:tcPr>
            <w:tcW w:w="4111" w:type="dxa"/>
            <w:tcBorders>
              <w:top w:val="nil"/>
              <w:left w:val="nil"/>
              <w:bottom w:val="nil"/>
              <w:right w:val="nil"/>
            </w:tcBorders>
          </w:tcPr>
          <w:p w:rsidR="00954CD5" w:rsidRDefault="00954CD5" w:rsidP="00BE2A5E">
            <w:pPr>
              <w:pStyle w:val="ab"/>
              <w:spacing w:line="276" w:lineRule="auto"/>
            </w:pPr>
          </w:p>
        </w:tc>
        <w:tc>
          <w:tcPr>
            <w:tcW w:w="284" w:type="dxa"/>
            <w:tcBorders>
              <w:top w:val="nil"/>
              <w:left w:val="nil"/>
              <w:bottom w:val="nil"/>
              <w:right w:val="nil"/>
            </w:tcBorders>
          </w:tcPr>
          <w:p w:rsidR="00954CD5" w:rsidRDefault="00954CD5" w:rsidP="00BE2A5E">
            <w:pPr>
              <w:pStyle w:val="ab"/>
              <w:spacing w:line="276" w:lineRule="auto"/>
              <w:rPr>
                <w:noProof w:val="0"/>
              </w:rPr>
            </w:pPr>
          </w:p>
        </w:tc>
      </w:tr>
    </w:tbl>
    <w:p w:rsidR="00954CD5" w:rsidRDefault="00954CD5" w:rsidP="00BE2A5E">
      <w:pPr>
        <w:spacing w:line="276" w:lineRule="auto"/>
      </w:pPr>
    </w:p>
    <w:p w:rsidR="004A1BD2" w:rsidRPr="00954CD5" w:rsidRDefault="004A1BD2" w:rsidP="00BE2A5E">
      <w:pPr>
        <w:spacing w:line="276" w:lineRule="auto"/>
        <w:rPr>
          <w:szCs w:val="20"/>
          <w:rtl/>
        </w:rPr>
      </w:pPr>
    </w:p>
    <w:sectPr w:rsidR="004A1BD2" w:rsidRPr="00954CD5">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DC0" w:rsidRDefault="00CD5DC0">
      <w:r>
        <w:separator/>
      </w:r>
    </w:p>
  </w:endnote>
  <w:endnote w:type="continuationSeparator" w:id="0">
    <w:p w:rsidR="00CD5DC0" w:rsidRDefault="00CD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DC0" w:rsidRDefault="00CD5DC0">
      <w:r>
        <w:separator/>
      </w:r>
    </w:p>
  </w:footnote>
  <w:footnote w:type="continuationSeparator" w:id="0">
    <w:p w:rsidR="00CD5DC0" w:rsidRDefault="00CD5DC0">
      <w:r>
        <w:continuationSeparator/>
      </w:r>
    </w:p>
  </w:footnote>
  <w:footnote w:id="1">
    <w:p w:rsidR="00954CD5" w:rsidRPr="00D005AC" w:rsidRDefault="00954CD5" w:rsidP="00954CD5">
      <w:pPr>
        <w:pStyle w:val="a3"/>
      </w:pPr>
      <w:r w:rsidRPr="00D005AC">
        <w:rPr>
          <w:rStyle w:val="a5"/>
          <w:rtl/>
        </w:rPr>
        <w:t>*</w:t>
      </w:r>
      <w:r w:rsidRPr="00D005AC">
        <w:rPr>
          <w:rFonts w:hint="cs"/>
          <w:rtl/>
        </w:rPr>
        <w:t xml:space="preserve"> </w:t>
      </w:r>
      <w:r w:rsidR="0004748E">
        <w:rPr>
          <w:rFonts w:hint="cs"/>
          <w:rtl/>
        </w:rPr>
        <w:t xml:space="preserve">  </w:t>
      </w:r>
      <w:r>
        <w:rPr>
          <w:rFonts w:hint="cs"/>
          <w:color w:val="000000"/>
          <w:sz w:val="16"/>
          <w:szCs w:val="16"/>
          <w:rtl/>
        </w:rPr>
        <w:t>השיח</w:t>
      </w:r>
      <w:r w:rsidR="00BE2A5E">
        <w:rPr>
          <w:rFonts w:hint="cs"/>
          <w:color w:val="000000"/>
          <w:sz w:val="16"/>
          <w:szCs w:val="16"/>
          <w:rtl/>
        </w:rPr>
        <w:t xml:space="preserve">ה הועברה במסיבת חנוכה ה'תשס"א, </w:t>
      </w:r>
      <w:r>
        <w:rPr>
          <w:rFonts w:hint="cs"/>
          <w:color w:val="000000"/>
          <w:sz w:val="16"/>
          <w:szCs w:val="16"/>
          <w:rtl/>
        </w:rPr>
        <w:t>סוכמה על ידי הרב יצחק ברט</w:t>
      </w:r>
      <w:r w:rsidR="00BE2A5E">
        <w:rPr>
          <w:rFonts w:hint="cs"/>
          <w:color w:val="000000"/>
          <w:sz w:val="16"/>
          <w:szCs w:val="16"/>
          <w:rtl/>
        </w:rPr>
        <w:t xml:space="preserve">, </w:t>
      </w:r>
      <w:bookmarkStart w:id="0" w:name="_GoBack"/>
      <w:bookmarkEnd w:id="0"/>
      <w:r w:rsidR="00BE2A5E">
        <w:rPr>
          <w:rFonts w:hint="cs"/>
          <w:color w:val="000000"/>
          <w:sz w:val="16"/>
          <w:szCs w:val="16"/>
          <w:rtl/>
        </w:rPr>
        <w:t>ונערכה ע"י אלישע אורון</w:t>
      </w:r>
      <w:r>
        <w:rPr>
          <w:rFonts w:hint="cs"/>
          <w:color w:val="000000"/>
          <w:sz w:val="16"/>
          <w:szCs w:val="16"/>
          <w:rtl/>
        </w:rPr>
        <w:t>. סיכום השיחה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4748E">
      <w:rPr>
        <w:b/>
        <w:bCs/>
        <w:noProof/>
        <w:sz w:val="21"/>
        <w:rtl/>
      </w:rPr>
      <w:t>3</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8AA34F6"/>
    <w:multiLevelType w:val="hybridMultilevel"/>
    <w:tmpl w:val="EA8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32675"/>
    <w:rsid w:val="0004748E"/>
    <w:rsid w:val="00062C83"/>
    <w:rsid w:val="0006305C"/>
    <w:rsid w:val="00066F65"/>
    <w:rsid w:val="00070291"/>
    <w:rsid w:val="000773F4"/>
    <w:rsid w:val="00081497"/>
    <w:rsid w:val="00082272"/>
    <w:rsid w:val="000A5D16"/>
    <w:rsid w:val="000E2AE7"/>
    <w:rsid w:val="000E3409"/>
    <w:rsid w:val="001051EE"/>
    <w:rsid w:val="00130F07"/>
    <w:rsid w:val="001446F7"/>
    <w:rsid w:val="00144BE6"/>
    <w:rsid w:val="001615CD"/>
    <w:rsid w:val="00167E92"/>
    <w:rsid w:val="001703EB"/>
    <w:rsid w:val="00181660"/>
    <w:rsid w:val="00186714"/>
    <w:rsid w:val="001870F5"/>
    <w:rsid w:val="001952A0"/>
    <w:rsid w:val="0019552D"/>
    <w:rsid w:val="001B7AE8"/>
    <w:rsid w:val="001C1CAA"/>
    <w:rsid w:val="001C4E63"/>
    <w:rsid w:val="001C56C4"/>
    <w:rsid w:val="001E3883"/>
    <w:rsid w:val="00212B56"/>
    <w:rsid w:val="00267532"/>
    <w:rsid w:val="0028575C"/>
    <w:rsid w:val="00293BED"/>
    <w:rsid w:val="002D19E9"/>
    <w:rsid w:val="002D22C4"/>
    <w:rsid w:val="002D5EDF"/>
    <w:rsid w:val="002E0D3F"/>
    <w:rsid w:val="00307245"/>
    <w:rsid w:val="003128B3"/>
    <w:rsid w:val="003403F3"/>
    <w:rsid w:val="00351974"/>
    <w:rsid w:val="00370C5A"/>
    <w:rsid w:val="0037776B"/>
    <w:rsid w:val="00383BEA"/>
    <w:rsid w:val="003B10E1"/>
    <w:rsid w:val="003C07F9"/>
    <w:rsid w:val="003E3654"/>
    <w:rsid w:val="004148C3"/>
    <w:rsid w:val="00431FA5"/>
    <w:rsid w:val="004321FE"/>
    <w:rsid w:val="00443506"/>
    <w:rsid w:val="00461E1B"/>
    <w:rsid w:val="00470E70"/>
    <w:rsid w:val="00475741"/>
    <w:rsid w:val="00491805"/>
    <w:rsid w:val="004965AE"/>
    <w:rsid w:val="0049788A"/>
    <w:rsid w:val="004A1BD2"/>
    <w:rsid w:val="004A7438"/>
    <w:rsid w:val="004E0CE9"/>
    <w:rsid w:val="004F00B6"/>
    <w:rsid w:val="004F49E4"/>
    <w:rsid w:val="004F7707"/>
    <w:rsid w:val="00510A7A"/>
    <w:rsid w:val="0051793D"/>
    <w:rsid w:val="00521AA6"/>
    <w:rsid w:val="00534417"/>
    <w:rsid w:val="00563CAD"/>
    <w:rsid w:val="0059033A"/>
    <w:rsid w:val="005E1C1A"/>
    <w:rsid w:val="00603B7F"/>
    <w:rsid w:val="00607614"/>
    <w:rsid w:val="00616AAD"/>
    <w:rsid w:val="00622528"/>
    <w:rsid w:val="0062477E"/>
    <w:rsid w:val="00627712"/>
    <w:rsid w:val="00642EE3"/>
    <w:rsid w:val="00645481"/>
    <w:rsid w:val="00647729"/>
    <w:rsid w:val="00651A31"/>
    <w:rsid w:val="00680CBB"/>
    <w:rsid w:val="00683558"/>
    <w:rsid w:val="00684F63"/>
    <w:rsid w:val="00697520"/>
    <w:rsid w:val="006D3AC2"/>
    <w:rsid w:val="006D6384"/>
    <w:rsid w:val="00731FFA"/>
    <w:rsid w:val="007518CA"/>
    <w:rsid w:val="007738DC"/>
    <w:rsid w:val="00785007"/>
    <w:rsid w:val="007915D4"/>
    <w:rsid w:val="007A3EDF"/>
    <w:rsid w:val="007C0DC9"/>
    <w:rsid w:val="007C2346"/>
    <w:rsid w:val="007E07C7"/>
    <w:rsid w:val="00804038"/>
    <w:rsid w:val="00822019"/>
    <w:rsid w:val="008377E6"/>
    <w:rsid w:val="008562B9"/>
    <w:rsid w:val="008858B2"/>
    <w:rsid w:val="00885C3D"/>
    <w:rsid w:val="00890769"/>
    <w:rsid w:val="00894B71"/>
    <w:rsid w:val="008A0C18"/>
    <w:rsid w:val="008B1E50"/>
    <w:rsid w:val="008B2511"/>
    <w:rsid w:val="008C1332"/>
    <w:rsid w:val="008C5609"/>
    <w:rsid w:val="008D67F3"/>
    <w:rsid w:val="008F30A1"/>
    <w:rsid w:val="0090788D"/>
    <w:rsid w:val="0091659D"/>
    <w:rsid w:val="009175E2"/>
    <w:rsid w:val="0094617E"/>
    <w:rsid w:val="00954CD5"/>
    <w:rsid w:val="009565EF"/>
    <w:rsid w:val="00967015"/>
    <w:rsid w:val="009737F2"/>
    <w:rsid w:val="00977011"/>
    <w:rsid w:val="00977F0B"/>
    <w:rsid w:val="0098229B"/>
    <w:rsid w:val="00995615"/>
    <w:rsid w:val="009A0FB2"/>
    <w:rsid w:val="009C1793"/>
    <w:rsid w:val="009C2C8D"/>
    <w:rsid w:val="009D0E7C"/>
    <w:rsid w:val="00A47B1D"/>
    <w:rsid w:val="00A65344"/>
    <w:rsid w:val="00A70ABB"/>
    <w:rsid w:val="00A8284F"/>
    <w:rsid w:val="00A84424"/>
    <w:rsid w:val="00AA1402"/>
    <w:rsid w:val="00AA4FCC"/>
    <w:rsid w:val="00AB6820"/>
    <w:rsid w:val="00AD3555"/>
    <w:rsid w:val="00AD543C"/>
    <w:rsid w:val="00AE6D9C"/>
    <w:rsid w:val="00AF3B54"/>
    <w:rsid w:val="00B10C64"/>
    <w:rsid w:val="00B5692D"/>
    <w:rsid w:val="00B74501"/>
    <w:rsid w:val="00BB0832"/>
    <w:rsid w:val="00BB3B92"/>
    <w:rsid w:val="00BC134D"/>
    <w:rsid w:val="00BD2BBA"/>
    <w:rsid w:val="00BD5947"/>
    <w:rsid w:val="00BE04E7"/>
    <w:rsid w:val="00BE2A5E"/>
    <w:rsid w:val="00BF08BD"/>
    <w:rsid w:val="00C01926"/>
    <w:rsid w:val="00C13865"/>
    <w:rsid w:val="00C5501D"/>
    <w:rsid w:val="00C55677"/>
    <w:rsid w:val="00C5614D"/>
    <w:rsid w:val="00C72129"/>
    <w:rsid w:val="00C859AE"/>
    <w:rsid w:val="00CB2FAC"/>
    <w:rsid w:val="00CD20C7"/>
    <w:rsid w:val="00CD5DC0"/>
    <w:rsid w:val="00CD7181"/>
    <w:rsid w:val="00CE238C"/>
    <w:rsid w:val="00D0716C"/>
    <w:rsid w:val="00D1709C"/>
    <w:rsid w:val="00D23060"/>
    <w:rsid w:val="00D232AA"/>
    <w:rsid w:val="00D31394"/>
    <w:rsid w:val="00D469BB"/>
    <w:rsid w:val="00D702B2"/>
    <w:rsid w:val="00D774DD"/>
    <w:rsid w:val="00D83492"/>
    <w:rsid w:val="00DA0136"/>
    <w:rsid w:val="00DA0475"/>
    <w:rsid w:val="00DB2CA0"/>
    <w:rsid w:val="00DB6772"/>
    <w:rsid w:val="00DC0791"/>
    <w:rsid w:val="00DD4848"/>
    <w:rsid w:val="00DE0A58"/>
    <w:rsid w:val="00DE6FFB"/>
    <w:rsid w:val="00DF3FB8"/>
    <w:rsid w:val="00E022D2"/>
    <w:rsid w:val="00E339ED"/>
    <w:rsid w:val="00E4712A"/>
    <w:rsid w:val="00E744A3"/>
    <w:rsid w:val="00E81F4A"/>
    <w:rsid w:val="00E84C14"/>
    <w:rsid w:val="00ED7E69"/>
    <w:rsid w:val="00EE2098"/>
    <w:rsid w:val="00EF501E"/>
    <w:rsid w:val="00F3664E"/>
    <w:rsid w:val="00F57159"/>
    <w:rsid w:val="00F60492"/>
    <w:rsid w:val="00F62F3C"/>
    <w:rsid w:val="00F76F1B"/>
    <w:rsid w:val="00F81ED0"/>
    <w:rsid w:val="00FA1C47"/>
    <w:rsid w:val="00FC63C1"/>
    <w:rsid w:val="00FF2C65"/>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uiPriority w:val="99"/>
    <w:qFormat/>
    <w:pPr>
      <w:spacing w:line="220" w:lineRule="exact"/>
      <w:ind w:left="284" w:hanging="284"/>
    </w:pPr>
    <w:rPr>
      <w:position w:val="6"/>
      <w:szCs w:val="18"/>
    </w:rPr>
  </w:style>
  <w:style w:type="character" w:customStyle="1" w:styleId="a4">
    <w:name w:val="טקסט הערת שוליים תו"/>
    <w:aliases w:val="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470E70"/>
    <w:pPr>
      <w:tabs>
        <w:tab w:val="right" w:pos="4620"/>
      </w:tabs>
      <w:spacing w:before="240" w:line="360" w:lineRule="auto"/>
      <w:ind w:left="567"/>
    </w:pPr>
  </w:style>
  <w:style w:type="character" w:customStyle="1" w:styleId="aa">
    <w:name w:val="ציטוט תו"/>
    <w:link w:val="a9"/>
    <w:rsid w:val="00470E70"/>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uiPriority w:val="99"/>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 w:type="paragraph" w:styleId="af3">
    <w:name w:val="Balloon Text"/>
    <w:basedOn w:val="a"/>
    <w:link w:val="af4"/>
    <w:uiPriority w:val="99"/>
    <w:semiHidden/>
    <w:unhideWhenUsed/>
    <w:rsid w:val="0044350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443506"/>
    <w:rPr>
      <w:rFonts w:ascii="Tahoma" w:hAnsi="Tahoma" w:cs="Tahoma"/>
      <w:sz w:val="18"/>
      <w:szCs w:val="18"/>
    </w:rPr>
  </w:style>
  <w:style w:type="paragraph" w:customStyle="1" w:styleId="12">
    <w:name w:val="ציטוט1"/>
    <w:basedOn w:val="a"/>
    <w:next w:val="af2"/>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3"/>
    <w:next w:val="a"/>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5C5D-837E-4D80-B284-1F22214D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6758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8093</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3</cp:revision>
  <cp:lastPrinted>2001-10-24T10:13:00Z</cp:lastPrinted>
  <dcterms:created xsi:type="dcterms:W3CDTF">2016-12-28T10:32:00Z</dcterms:created>
  <dcterms:modified xsi:type="dcterms:W3CDTF">2016-12-28T10:33:00Z</dcterms:modified>
</cp:coreProperties>
</file>