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1AEF" w14:textId="672EF05D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bookmarkStart w:id="0" w:name="_Hlk38963848"/>
      <w:r w:rsidRPr="008E3DDF">
        <w:rPr>
          <w:rFonts w:asciiTheme="minorBidi" w:eastAsia="Calibri" w:hAnsiTheme="minorBidi"/>
          <w:b/>
          <w:bCs/>
          <w:sz w:val="24"/>
          <w:szCs w:val="24"/>
          <w:lang w:val="en-GB"/>
        </w:rPr>
        <w:t>YESHIVAT HAR ETZION</w:t>
      </w:r>
    </w:p>
    <w:p w14:paraId="6CE5E6B6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8E3DDF">
        <w:rPr>
          <w:rFonts w:asciiTheme="minorBidi" w:eastAsia="Calibr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4AD0D48B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8E3DDF">
        <w:rPr>
          <w:rFonts w:asciiTheme="minorBidi" w:eastAsia="Calibr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4876BF39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</w:p>
    <w:p w14:paraId="0E92C8AC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8E3DDF">
        <w:rPr>
          <w:rFonts w:asciiTheme="minorBidi" w:eastAsia="Calibri" w:hAnsiTheme="minorBidi"/>
          <w:b/>
          <w:bCs/>
          <w:sz w:val="24"/>
          <w:szCs w:val="24"/>
        </w:rPr>
        <w:t>Halakha and Jewish History</w:t>
      </w:r>
    </w:p>
    <w:p w14:paraId="30293598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8E3DDF">
        <w:rPr>
          <w:rFonts w:asciiTheme="minorBidi" w:eastAsia="Calibri" w:hAnsiTheme="minorBidi"/>
          <w:b/>
          <w:bCs/>
          <w:sz w:val="24"/>
          <w:szCs w:val="24"/>
        </w:rPr>
        <w:t>Rav Aviad Tabory</w:t>
      </w:r>
    </w:p>
    <w:p w14:paraId="0568FE19" w14:textId="77777777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14:paraId="77CBB6A9" w14:textId="77777777" w:rsidR="00B2746E" w:rsidRPr="008E3DDF" w:rsidRDefault="00B2746E" w:rsidP="00920FE7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14:paraId="233FB72E" w14:textId="148AA0FA" w:rsidR="009E5014" w:rsidRPr="008E3DDF" w:rsidRDefault="009E5014" w:rsidP="00920FE7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920FE7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8E3DDF">
        <w:rPr>
          <w:rFonts w:asciiTheme="minorBidi" w:eastAsia="Calibri" w:hAnsiTheme="minorBidi"/>
          <w:b/>
          <w:sz w:val="24"/>
          <w:szCs w:val="24"/>
          <w:lang w:val="en-GB"/>
        </w:rPr>
        <w:t xml:space="preserve"> #10</w:t>
      </w:r>
      <w:r w:rsidRPr="008E3DDF">
        <w:rPr>
          <w:rFonts w:asciiTheme="minorBidi" w:eastAsia="Calibri" w:hAnsiTheme="minorBidi"/>
          <w:b/>
          <w:sz w:val="24"/>
          <w:szCs w:val="24"/>
        </w:rPr>
        <w:t>:</w:t>
      </w:r>
    </w:p>
    <w:p w14:paraId="5E631AD4" w14:textId="4C61A751" w:rsidR="009E5014" w:rsidRPr="008E3DDF" w:rsidRDefault="00312D87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</w:rPr>
        <w:t xml:space="preserve">Rav </w:t>
      </w:r>
      <w:r w:rsidR="009E5014" w:rsidRPr="008E3DDF">
        <w:rPr>
          <w:rFonts w:asciiTheme="minorBidi" w:eastAsia="Calibri" w:hAnsiTheme="minorBidi"/>
          <w:b/>
          <w:bCs/>
          <w:sz w:val="24"/>
          <w:szCs w:val="24"/>
        </w:rPr>
        <w:t>Yi</w:t>
      </w:r>
      <w:r w:rsidR="00CD7546" w:rsidRPr="008E3DDF">
        <w:rPr>
          <w:rFonts w:asciiTheme="minorBidi" w:eastAsia="Calibri" w:hAnsiTheme="minorBidi"/>
          <w:b/>
          <w:bCs/>
          <w:sz w:val="24"/>
          <w:szCs w:val="24"/>
        </w:rPr>
        <w:t>t</w:t>
      </w:r>
      <w:r w:rsidR="009E5014" w:rsidRPr="008E3DDF">
        <w:rPr>
          <w:rFonts w:asciiTheme="minorBidi" w:eastAsia="Calibri" w:hAnsiTheme="minorBidi"/>
          <w:b/>
          <w:bCs/>
          <w:sz w:val="24"/>
          <w:szCs w:val="24"/>
        </w:rPr>
        <w:t>zchak Abarbanel</w:t>
      </w:r>
      <w:r w:rsidR="009F3034">
        <w:rPr>
          <w:rFonts w:asciiTheme="minorBidi" w:eastAsia="Calibri" w:hAnsiTheme="minorBidi"/>
          <w:b/>
          <w:bCs/>
          <w:sz w:val="24"/>
          <w:szCs w:val="24"/>
        </w:rPr>
        <w:t xml:space="preserve"> (</w:t>
      </w:r>
      <w:r w:rsidR="009F3034" w:rsidRPr="008E3DDF">
        <w:rPr>
          <w:rFonts w:asciiTheme="minorBidi" w:eastAsia="Calibri" w:hAnsiTheme="minorBidi"/>
          <w:b/>
          <w:bCs/>
          <w:sz w:val="24"/>
          <w:szCs w:val="24"/>
        </w:rPr>
        <w:t>1437-1508</w:t>
      </w:r>
      <w:r w:rsidR="009F3034">
        <w:rPr>
          <w:rFonts w:asciiTheme="minorBidi" w:eastAsia="Calibri" w:hAnsiTheme="minorBidi"/>
          <w:b/>
          <w:bCs/>
          <w:sz w:val="24"/>
          <w:szCs w:val="24"/>
        </w:rPr>
        <w:t>)</w:t>
      </w:r>
    </w:p>
    <w:p w14:paraId="3D06CBFF" w14:textId="595CB693" w:rsidR="00CD7546" w:rsidRPr="008E3DDF" w:rsidRDefault="00CD7546" w:rsidP="00920FE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8E3DDF">
        <w:rPr>
          <w:rFonts w:asciiTheme="minorBidi" w:eastAsia="Calibri" w:hAnsiTheme="minorBidi"/>
          <w:b/>
          <w:bCs/>
          <w:sz w:val="24"/>
          <w:szCs w:val="24"/>
        </w:rPr>
        <w:t xml:space="preserve">Jewish </w:t>
      </w:r>
      <w:r w:rsidR="00FB3690" w:rsidRPr="008E3DDF">
        <w:rPr>
          <w:rFonts w:asciiTheme="minorBidi" w:eastAsia="Calibri" w:hAnsiTheme="minorBidi"/>
          <w:b/>
          <w:bCs/>
          <w:sz w:val="24"/>
          <w:szCs w:val="24"/>
        </w:rPr>
        <w:t>A</w:t>
      </w:r>
      <w:r w:rsidRPr="008E3DDF">
        <w:rPr>
          <w:rFonts w:asciiTheme="minorBidi" w:eastAsia="Calibri" w:hAnsiTheme="minorBidi"/>
          <w:b/>
          <w:bCs/>
          <w:sz w:val="24"/>
          <w:szCs w:val="24"/>
        </w:rPr>
        <w:t xml:space="preserve">dviser to </w:t>
      </w:r>
      <w:r w:rsidR="00FB3690" w:rsidRPr="008E3DDF">
        <w:rPr>
          <w:rFonts w:asciiTheme="minorBidi" w:eastAsia="Calibri" w:hAnsiTheme="minorBidi"/>
          <w:b/>
          <w:bCs/>
          <w:sz w:val="24"/>
          <w:szCs w:val="24"/>
        </w:rPr>
        <w:t>K</w:t>
      </w:r>
      <w:r w:rsidRPr="008E3DDF">
        <w:rPr>
          <w:rFonts w:asciiTheme="minorBidi" w:eastAsia="Calibri" w:hAnsiTheme="minorBidi"/>
          <w:b/>
          <w:bCs/>
          <w:sz w:val="24"/>
          <w:szCs w:val="24"/>
        </w:rPr>
        <w:t>ings</w:t>
      </w:r>
    </w:p>
    <w:p w14:paraId="0FBE0054" w14:textId="071F55D5" w:rsidR="00CD7546" w:rsidRPr="008E3DDF" w:rsidRDefault="00CD7546" w:rsidP="00920FE7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</w:rPr>
      </w:pPr>
    </w:p>
    <w:bookmarkEnd w:id="0"/>
    <w:p w14:paraId="59154700" w14:textId="77777777" w:rsidR="00B2746E" w:rsidRPr="008E3DDF" w:rsidRDefault="00B2746E" w:rsidP="00920FE7">
      <w:pPr>
        <w:spacing w:after="0" w:line="240" w:lineRule="auto"/>
        <w:rPr>
          <w:rFonts w:asciiTheme="minorBidi" w:eastAsia="Calibri" w:hAnsiTheme="minorBidi"/>
          <w:sz w:val="24"/>
          <w:szCs w:val="24"/>
        </w:rPr>
      </w:pPr>
    </w:p>
    <w:p w14:paraId="582C9283" w14:textId="2D585841" w:rsidR="00CD7546" w:rsidRPr="008E3DDF" w:rsidRDefault="00CD7546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We mentioned last week the infamous pogroms of 1391 which took place in Spain. The</w:t>
      </w:r>
      <w:r w:rsidR="0007095A" w:rsidRPr="008E3DDF">
        <w:rPr>
          <w:rFonts w:asciiTheme="minorBidi" w:eastAsia="Calibri" w:hAnsiTheme="minorBidi"/>
          <w:sz w:val="24"/>
          <w:szCs w:val="24"/>
        </w:rPr>
        <w:t>se</w:t>
      </w:r>
      <w:r w:rsidRPr="008E3DDF">
        <w:rPr>
          <w:rFonts w:asciiTheme="minorBidi" w:eastAsia="Calibri" w:hAnsiTheme="minorBidi"/>
          <w:sz w:val="24"/>
          <w:szCs w:val="24"/>
        </w:rPr>
        <w:t xml:space="preserve"> terrible events forced Jewish families to flee the country. Amongst those who relocated </w:t>
      </w:r>
      <w:r w:rsidR="00084283">
        <w:rPr>
          <w:rFonts w:asciiTheme="minorBidi" w:eastAsia="Calibri" w:hAnsiTheme="minorBidi"/>
          <w:sz w:val="24"/>
          <w:szCs w:val="24"/>
        </w:rPr>
        <w:t>to</w:t>
      </w:r>
      <w:r w:rsidRPr="008E3DDF">
        <w:rPr>
          <w:rFonts w:asciiTheme="minorBidi" w:eastAsia="Calibri" w:hAnsiTheme="minorBidi"/>
          <w:sz w:val="24"/>
          <w:szCs w:val="24"/>
        </w:rPr>
        <w:t xml:space="preserve"> the neighboring </w:t>
      </w:r>
      <w:r w:rsidR="001115DD" w:rsidRPr="008E3DDF">
        <w:rPr>
          <w:rFonts w:asciiTheme="minorBidi" w:eastAsia="Calibri" w:hAnsiTheme="minorBidi"/>
          <w:sz w:val="24"/>
          <w:szCs w:val="24"/>
        </w:rPr>
        <w:t>country,</w:t>
      </w:r>
      <w:r w:rsidRPr="008E3DDF">
        <w:rPr>
          <w:rFonts w:asciiTheme="minorBidi" w:eastAsia="Calibri" w:hAnsiTheme="minorBidi"/>
          <w:sz w:val="24"/>
          <w:szCs w:val="24"/>
        </w:rPr>
        <w:t xml:space="preserve"> Portugal, was the esteemed Abarbanel family. This family produced successful Jewish leaders who served as financial advisers to monarc</w:t>
      </w:r>
      <w:r w:rsidR="009F3034">
        <w:rPr>
          <w:rFonts w:asciiTheme="minorBidi" w:eastAsia="Calibri" w:hAnsiTheme="minorBidi"/>
          <w:sz w:val="24"/>
          <w:szCs w:val="24"/>
        </w:rPr>
        <w:t>hs</w:t>
      </w:r>
      <w:r w:rsidRPr="008E3DDF">
        <w:rPr>
          <w:rFonts w:asciiTheme="minorBidi" w:eastAsia="Calibri" w:hAnsiTheme="minorBidi"/>
          <w:sz w:val="24"/>
          <w:szCs w:val="24"/>
        </w:rPr>
        <w:t xml:space="preserve"> in Spain as well as representing the </w:t>
      </w:r>
      <w:r w:rsidR="001115DD" w:rsidRPr="008E3DDF">
        <w:rPr>
          <w:rFonts w:asciiTheme="minorBidi" w:eastAsia="Calibri" w:hAnsiTheme="minorBidi"/>
          <w:sz w:val="24"/>
          <w:szCs w:val="24"/>
        </w:rPr>
        <w:t>Jewish</w:t>
      </w:r>
      <w:r w:rsidRPr="008E3DDF">
        <w:rPr>
          <w:rFonts w:asciiTheme="minorBidi" w:eastAsia="Calibri" w:hAnsiTheme="minorBidi"/>
          <w:sz w:val="24"/>
          <w:szCs w:val="24"/>
        </w:rPr>
        <w:t xml:space="preserve"> communities </w:t>
      </w:r>
      <w:r w:rsidR="00624182" w:rsidRPr="008E3DDF">
        <w:rPr>
          <w:rFonts w:asciiTheme="minorBidi" w:eastAsia="Calibri" w:hAnsiTheme="minorBidi"/>
          <w:sz w:val="24"/>
          <w:szCs w:val="24"/>
        </w:rPr>
        <w:t>before the authorities.</w:t>
      </w:r>
      <w:r w:rsidR="00971AD4" w:rsidRPr="008E3DDF">
        <w:rPr>
          <w:rStyle w:val="a5"/>
          <w:rFonts w:asciiTheme="minorBidi" w:eastAsia="Calibri" w:hAnsiTheme="minorBidi"/>
          <w:sz w:val="24"/>
          <w:szCs w:val="24"/>
        </w:rPr>
        <w:footnoteReference w:id="1"/>
      </w:r>
    </w:p>
    <w:p w14:paraId="1F8FC522" w14:textId="77777777" w:rsidR="00AB586E" w:rsidRPr="008E3DDF" w:rsidRDefault="00AB586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7F110110" w14:textId="04D6DE0B" w:rsidR="009205D0" w:rsidRPr="008E3DDF" w:rsidRDefault="006D7790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Growing up in Portugal, </w:t>
      </w:r>
      <w:r w:rsidR="00AB586E" w:rsidRPr="008E3DDF">
        <w:rPr>
          <w:rFonts w:asciiTheme="minorBidi" w:eastAsia="Calibri" w:hAnsiTheme="minorBidi"/>
          <w:sz w:val="24"/>
          <w:szCs w:val="24"/>
        </w:rPr>
        <w:t>Abarbanel</w:t>
      </w:r>
      <w:r w:rsidR="00624182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received an</w:t>
      </w:r>
      <w:r w:rsidR="00624182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intense Torah education as well as a broad exposure to philosophy and classical literature. Following the family tradition, he became the treasure</w:t>
      </w:r>
      <w:r w:rsidR="009F3034">
        <w:rPr>
          <w:rFonts w:asciiTheme="minorBidi" w:eastAsia="Calibri" w:hAnsiTheme="minorBidi"/>
          <w:sz w:val="24"/>
          <w:szCs w:val="24"/>
        </w:rPr>
        <w:t>r</w:t>
      </w:r>
      <w:r w:rsidRPr="008E3DDF">
        <w:rPr>
          <w:rFonts w:asciiTheme="minorBidi" w:eastAsia="Calibri" w:hAnsiTheme="minorBidi"/>
          <w:sz w:val="24"/>
          <w:szCs w:val="24"/>
        </w:rPr>
        <w:t xml:space="preserve"> of King Alfonso</w:t>
      </w:r>
      <w:r w:rsidR="006258AC">
        <w:rPr>
          <w:rFonts w:asciiTheme="minorBidi" w:eastAsia="Calibri" w:hAnsiTheme="minorBidi"/>
          <w:sz w:val="24"/>
          <w:szCs w:val="24"/>
        </w:rPr>
        <w:t xml:space="preserve"> V</w:t>
      </w:r>
      <w:r w:rsidRPr="008E3DDF">
        <w:rPr>
          <w:rFonts w:asciiTheme="minorBidi" w:eastAsia="Calibri" w:hAnsiTheme="minorBidi"/>
          <w:sz w:val="24"/>
          <w:szCs w:val="24"/>
        </w:rPr>
        <w:t xml:space="preserve"> of Portugal. Abarbanel was also a successful businessman and became very wealthy.</w:t>
      </w:r>
      <w:r w:rsidR="00E666DE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9205D0" w:rsidRPr="008E3DDF">
        <w:rPr>
          <w:rFonts w:asciiTheme="minorBidi" w:eastAsia="Calibri" w:hAnsiTheme="minorBidi"/>
          <w:sz w:val="24"/>
          <w:szCs w:val="24"/>
        </w:rPr>
        <w:t xml:space="preserve">During this period, </w:t>
      </w:r>
      <w:r w:rsidR="0007095A" w:rsidRPr="008E3DDF">
        <w:rPr>
          <w:rFonts w:asciiTheme="minorBidi" w:eastAsia="Calibri" w:hAnsiTheme="minorBidi"/>
          <w:sz w:val="24"/>
          <w:szCs w:val="24"/>
        </w:rPr>
        <w:t>he was active</w:t>
      </w:r>
      <w:r w:rsidR="00626457">
        <w:rPr>
          <w:rFonts w:asciiTheme="minorBidi" w:eastAsia="Calibri" w:hAnsiTheme="minorBidi"/>
          <w:sz w:val="24"/>
          <w:szCs w:val="24"/>
        </w:rPr>
        <w:t>ly involved</w:t>
      </w:r>
      <w:r w:rsidR="0007095A" w:rsidRPr="008E3DDF">
        <w:rPr>
          <w:rFonts w:asciiTheme="minorBidi" w:eastAsia="Calibri" w:hAnsiTheme="minorBidi"/>
          <w:sz w:val="24"/>
          <w:szCs w:val="24"/>
        </w:rPr>
        <w:t xml:space="preserve"> in the </w:t>
      </w:r>
      <w:r w:rsidR="00626457">
        <w:rPr>
          <w:rFonts w:asciiTheme="minorBidi" w:eastAsia="Calibri" w:hAnsiTheme="minorBidi"/>
          <w:sz w:val="24"/>
          <w:szCs w:val="24"/>
        </w:rPr>
        <w:t xml:space="preserve">successful </w:t>
      </w:r>
      <w:r w:rsidR="0007095A" w:rsidRPr="008E3DDF">
        <w:rPr>
          <w:rFonts w:asciiTheme="minorBidi" w:eastAsia="Calibri" w:hAnsiTheme="minorBidi"/>
          <w:sz w:val="24"/>
          <w:szCs w:val="24"/>
        </w:rPr>
        <w:t>rede</w:t>
      </w:r>
      <w:r w:rsidR="00626457">
        <w:rPr>
          <w:rFonts w:asciiTheme="minorBidi" w:eastAsia="Calibri" w:hAnsiTheme="minorBidi"/>
          <w:sz w:val="24"/>
          <w:szCs w:val="24"/>
        </w:rPr>
        <w:t>mption</w:t>
      </w:r>
      <w:r w:rsidR="0007095A" w:rsidRPr="008E3DDF">
        <w:rPr>
          <w:rFonts w:asciiTheme="minorBidi" w:eastAsia="Calibri" w:hAnsiTheme="minorBidi"/>
          <w:sz w:val="24"/>
          <w:szCs w:val="24"/>
        </w:rPr>
        <w:t xml:space="preserve"> of </w:t>
      </w:r>
      <w:r w:rsidR="009205D0" w:rsidRPr="008E3DDF">
        <w:rPr>
          <w:rFonts w:asciiTheme="minorBidi" w:eastAsia="Calibri" w:hAnsiTheme="minorBidi"/>
          <w:sz w:val="24"/>
          <w:szCs w:val="24"/>
        </w:rPr>
        <w:t>a group of Jewish prisoners who arrived in Portugal.</w:t>
      </w:r>
    </w:p>
    <w:p w14:paraId="2B0F4025" w14:textId="77777777" w:rsidR="009205D0" w:rsidRPr="008E3DDF" w:rsidRDefault="009205D0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70EDB733" w14:textId="3C36B080" w:rsidR="00AB586E" w:rsidRPr="008E3DDF" w:rsidRDefault="00E666D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The death of </w:t>
      </w:r>
      <w:r w:rsidR="0007095A" w:rsidRPr="008E3DDF">
        <w:rPr>
          <w:rFonts w:asciiTheme="minorBidi" w:eastAsia="Calibri" w:hAnsiTheme="minorBidi"/>
          <w:sz w:val="24"/>
          <w:szCs w:val="24"/>
        </w:rPr>
        <w:t xml:space="preserve">his protector, King </w:t>
      </w:r>
      <w:r w:rsidRPr="008E3DDF">
        <w:rPr>
          <w:rFonts w:asciiTheme="minorBidi" w:eastAsia="Calibri" w:hAnsiTheme="minorBidi"/>
          <w:sz w:val="24"/>
          <w:szCs w:val="24"/>
        </w:rPr>
        <w:t>Alfonso in 1481</w:t>
      </w:r>
      <w:r w:rsidR="00626457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brought an end to this successful period</w:t>
      </w:r>
      <w:r w:rsidR="005971CE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 xml:space="preserve">and two years later he was forced to flee the country. Settling in Spain, Abarbanel decided to dedicate his time to writing his commentaries on </w:t>
      </w:r>
      <w:r w:rsidR="008E3DDF" w:rsidRPr="001846EA">
        <w:rPr>
          <w:rFonts w:asciiTheme="minorBidi" w:eastAsia="Calibri" w:hAnsiTheme="minorBidi"/>
          <w:i/>
          <w:iCs/>
          <w:sz w:val="24"/>
          <w:szCs w:val="24"/>
        </w:rPr>
        <w:t>Tanakh</w:t>
      </w:r>
      <w:r w:rsidRPr="008E3DDF">
        <w:rPr>
          <w:rFonts w:asciiTheme="minorBidi" w:eastAsia="Calibri" w:hAnsiTheme="minorBidi"/>
          <w:sz w:val="24"/>
          <w:szCs w:val="24"/>
        </w:rPr>
        <w:t xml:space="preserve">. </w:t>
      </w:r>
    </w:p>
    <w:p w14:paraId="1C986665" w14:textId="77777777" w:rsidR="00400A47" w:rsidRPr="008E3DDF" w:rsidRDefault="00400A47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16D567A2" w14:textId="333ED53F" w:rsidR="005D3DC3" w:rsidRPr="008E3DDF" w:rsidRDefault="00E666D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However, </w:t>
      </w:r>
      <w:r w:rsidR="009F3034">
        <w:rPr>
          <w:rFonts w:asciiTheme="minorBidi" w:hAnsiTheme="minorBidi"/>
          <w:sz w:val="24"/>
          <w:szCs w:val="24"/>
        </w:rPr>
        <w:t>King Ferdinand II</w:t>
      </w:r>
      <w:r w:rsidR="009F3034" w:rsidRPr="0014499C">
        <w:rPr>
          <w:rFonts w:asciiTheme="minorBidi" w:hAnsiTheme="minorBidi"/>
          <w:sz w:val="24"/>
          <w:szCs w:val="24"/>
        </w:rPr>
        <w:t xml:space="preserve"> and Queen Isabela </w:t>
      </w:r>
      <w:r w:rsidR="009F3034">
        <w:rPr>
          <w:rFonts w:asciiTheme="minorBidi" w:hAnsiTheme="minorBidi"/>
          <w:sz w:val="24"/>
          <w:szCs w:val="24"/>
        </w:rPr>
        <w:t xml:space="preserve">I </w:t>
      </w:r>
      <w:r w:rsidR="009F3034" w:rsidRPr="0014499C">
        <w:rPr>
          <w:rFonts w:asciiTheme="minorBidi" w:hAnsiTheme="minorBidi"/>
          <w:sz w:val="24"/>
          <w:szCs w:val="24"/>
        </w:rPr>
        <w:t xml:space="preserve">of Spain </w:t>
      </w:r>
      <w:r w:rsidR="00626457">
        <w:rPr>
          <w:rFonts w:asciiTheme="minorBidi" w:hAnsiTheme="minorBidi"/>
          <w:sz w:val="24"/>
          <w:szCs w:val="24"/>
        </w:rPr>
        <w:t>persuaded him to work for them</w:t>
      </w:r>
      <w:r w:rsidRPr="008E3DDF">
        <w:rPr>
          <w:rFonts w:asciiTheme="minorBidi" w:eastAsia="Calibri" w:hAnsiTheme="minorBidi"/>
          <w:sz w:val="24"/>
          <w:szCs w:val="24"/>
        </w:rPr>
        <w:t xml:space="preserve">. Under their rule, Abarbanel was </w:t>
      </w:r>
      <w:r w:rsidR="0097689B" w:rsidRPr="008E3DDF">
        <w:rPr>
          <w:rFonts w:asciiTheme="minorBidi" w:eastAsia="Calibri" w:hAnsiTheme="minorBidi"/>
          <w:sz w:val="24"/>
          <w:szCs w:val="24"/>
        </w:rPr>
        <w:t xml:space="preserve">given responsibilities in the kingdom’s finance and </w:t>
      </w:r>
      <w:r w:rsidR="000B7BBE" w:rsidRPr="008E3DDF">
        <w:rPr>
          <w:rFonts w:asciiTheme="minorBidi" w:eastAsia="Calibri" w:hAnsiTheme="minorBidi"/>
          <w:sz w:val="24"/>
          <w:szCs w:val="24"/>
        </w:rPr>
        <w:t>tax</w:t>
      </w:r>
      <w:r w:rsidR="000B7BBE">
        <w:rPr>
          <w:rFonts w:asciiTheme="minorBidi" w:eastAsia="Calibri" w:hAnsiTheme="minorBidi"/>
          <w:sz w:val="24"/>
          <w:szCs w:val="24"/>
        </w:rPr>
        <w:t>ation</w:t>
      </w:r>
      <w:r w:rsidR="0097689B" w:rsidRPr="008E3DDF">
        <w:rPr>
          <w:rFonts w:asciiTheme="minorBidi" w:eastAsia="Calibri" w:hAnsiTheme="minorBidi"/>
          <w:sz w:val="24"/>
          <w:szCs w:val="24"/>
        </w:rPr>
        <w:t xml:space="preserve"> departments</w:t>
      </w:r>
      <w:r w:rsidR="009F3034">
        <w:rPr>
          <w:rFonts w:asciiTheme="minorBidi" w:eastAsia="Calibri" w:hAnsiTheme="minorBidi"/>
          <w:sz w:val="24"/>
          <w:szCs w:val="24"/>
        </w:rPr>
        <w:t>. He e</w:t>
      </w:r>
      <w:r w:rsidR="0097689B" w:rsidRPr="008E3DDF">
        <w:rPr>
          <w:rFonts w:asciiTheme="minorBidi" w:eastAsia="Calibri" w:hAnsiTheme="minorBidi"/>
          <w:sz w:val="24"/>
          <w:szCs w:val="24"/>
        </w:rPr>
        <w:t>ven ended up lending</w:t>
      </w:r>
      <w:r w:rsidR="00932AFD" w:rsidRPr="008E3DDF">
        <w:rPr>
          <w:rFonts w:asciiTheme="minorBidi" w:eastAsia="Calibri" w:hAnsiTheme="minorBidi"/>
          <w:sz w:val="24"/>
          <w:szCs w:val="24"/>
        </w:rPr>
        <w:t xml:space="preserve"> money to the </w:t>
      </w:r>
      <w:r w:rsidR="0097689B" w:rsidRPr="008E3DDF">
        <w:rPr>
          <w:rFonts w:asciiTheme="minorBidi" w:eastAsia="Calibri" w:hAnsiTheme="minorBidi"/>
          <w:sz w:val="24"/>
          <w:szCs w:val="24"/>
        </w:rPr>
        <w:t xml:space="preserve">Spanish </w:t>
      </w:r>
      <w:r w:rsidR="00932AFD" w:rsidRPr="008E3DDF">
        <w:rPr>
          <w:rFonts w:asciiTheme="minorBidi" w:eastAsia="Calibri" w:hAnsiTheme="minorBidi"/>
          <w:sz w:val="24"/>
          <w:szCs w:val="24"/>
        </w:rPr>
        <w:t>monarch</w:t>
      </w:r>
      <w:r w:rsidR="00BC32F8">
        <w:rPr>
          <w:rFonts w:asciiTheme="minorBidi" w:eastAsia="Calibri" w:hAnsiTheme="minorBidi"/>
          <w:sz w:val="24"/>
          <w:szCs w:val="24"/>
        </w:rPr>
        <w:t>s</w:t>
      </w:r>
      <w:r w:rsidR="00932AFD" w:rsidRPr="008E3DDF">
        <w:rPr>
          <w:rFonts w:asciiTheme="minorBidi" w:eastAsia="Calibri" w:hAnsiTheme="minorBidi"/>
          <w:sz w:val="24"/>
          <w:szCs w:val="24"/>
        </w:rPr>
        <w:t xml:space="preserve"> to help finance the</w:t>
      </w:r>
      <w:r w:rsidR="0097689B" w:rsidRPr="008E3DDF">
        <w:rPr>
          <w:rFonts w:asciiTheme="minorBidi" w:eastAsia="Calibri" w:hAnsiTheme="minorBidi"/>
          <w:sz w:val="24"/>
          <w:szCs w:val="24"/>
        </w:rPr>
        <w:t>ir</w:t>
      </w:r>
      <w:r w:rsidR="00932AFD" w:rsidRPr="008E3DDF">
        <w:rPr>
          <w:rFonts w:asciiTheme="minorBidi" w:eastAsia="Calibri" w:hAnsiTheme="minorBidi"/>
          <w:sz w:val="24"/>
          <w:szCs w:val="24"/>
        </w:rPr>
        <w:t xml:space="preserve"> war with </w:t>
      </w:r>
      <w:r w:rsidR="00084283">
        <w:rPr>
          <w:rFonts w:asciiTheme="minorBidi" w:eastAsia="Calibri" w:hAnsiTheme="minorBidi"/>
          <w:sz w:val="24"/>
          <w:szCs w:val="24"/>
        </w:rPr>
        <w:t xml:space="preserve">the Emirate of </w:t>
      </w:r>
      <w:r w:rsidR="00932AFD" w:rsidRPr="008E3DDF">
        <w:rPr>
          <w:rFonts w:asciiTheme="minorBidi" w:eastAsia="Calibri" w:hAnsiTheme="minorBidi"/>
          <w:sz w:val="24"/>
          <w:szCs w:val="24"/>
        </w:rPr>
        <w:t xml:space="preserve">Granada. </w:t>
      </w:r>
    </w:p>
    <w:p w14:paraId="4A5C60BF" w14:textId="77777777" w:rsidR="005D3DC3" w:rsidRPr="008E3DDF" w:rsidRDefault="005D3DC3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146932B5" w14:textId="7344E687" w:rsidR="00624182" w:rsidRPr="008E3DDF" w:rsidRDefault="00932AF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In 1492</w:t>
      </w:r>
      <w:r w:rsidR="00BC32F8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the Spanish </w:t>
      </w:r>
      <w:r w:rsidR="005D3DC3" w:rsidRPr="008E3DDF">
        <w:rPr>
          <w:rFonts w:asciiTheme="minorBidi" w:eastAsia="Calibri" w:hAnsiTheme="minorBidi"/>
          <w:sz w:val="24"/>
          <w:szCs w:val="24"/>
        </w:rPr>
        <w:t>monarch</w:t>
      </w:r>
      <w:r w:rsidR="006258AC">
        <w:rPr>
          <w:rFonts w:asciiTheme="minorBidi" w:eastAsia="Calibri" w:hAnsiTheme="minorBidi"/>
          <w:sz w:val="24"/>
          <w:szCs w:val="24"/>
        </w:rPr>
        <w:t>s</w:t>
      </w:r>
      <w:r w:rsidR="005D3DC3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 xml:space="preserve">succeeded in their attempts to </w:t>
      </w:r>
      <w:r w:rsidR="006258AC">
        <w:rPr>
          <w:rFonts w:asciiTheme="minorBidi" w:eastAsia="Calibri" w:hAnsiTheme="minorBidi"/>
          <w:sz w:val="24"/>
          <w:szCs w:val="24"/>
        </w:rPr>
        <w:t>make</w:t>
      </w:r>
      <w:r w:rsidRPr="008E3DDF">
        <w:rPr>
          <w:rFonts w:asciiTheme="minorBidi" w:eastAsia="Calibri" w:hAnsiTheme="minorBidi"/>
          <w:sz w:val="24"/>
          <w:szCs w:val="24"/>
        </w:rPr>
        <w:t xml:space="preserve"> Spain </w:t>
      </w:r>
      <w:r w:rsidR="006258AC">
        <w:rPr>
          <w:rFonts w:asciiTheme="minorBidi" w:eastAsia="Calibri" w:hAnsiTheme="minorBidi"/>
          <w:sz w:val="24"/>
          <w:szCs w:val="24"/>
        </w:rPr>
        <w:t>an entirely</w:t>
      </w:r>
      <w:r w:rsidRPr="008E3DDF">
        <w:rPr>
          <w:rFonts w:asciiTheme="minorBidi" w:eastAsia="Calibri" w:hAnsiTheme="minorBidi"/>
          <w:sz w:val="24"/>
          <w:szCs w:val="24"/>
        </w:rPr>
        <w:t xml:space="preserve"> Christian country. With the victory over the </w:t>
      </w:r>
      <w:r w:rsidR="005D3DC3" w:rsidRPr="008E3DDF">
        <w:rPr>
          <w:rFonts w:asciiTheme="minorBidi" w:eastAsia="Calibri" w:hAnsiTheme="minorBidi"/>
          <w:sz w:val="24"/>
          <w:szCs w:val="24"/>
        </w:rPr>
        <w:t xml:space="preserve">last Muslim stronghold </w:t>
      </w:r>
      <w:r w:rsidR="00084283">
        <w:rPr>
          <w:rFonts w:asciiTheme="minorBidi" w:eastAsia="Calibri" w:hAnsiTheme="minorBidi"/>
          <w:sz w:val="24"/>
          <w:szCs w:val="24"/>
        </w:rPr>
        <w:t>on the Iberian Peninsula</w:t>
      </w:r>
      <w:r w:rsidRPr="008E3DDF">
        <w:rPr>
          <w:rFonts w:asciiTheme="minorBidi" w:eastAsia="Calibri" w:hAnsiTheme="minorBidi"/>
          <w:sz w:val="24"/>
          <w:szCs w:val="24"/>
        </w:rPr>
        <w:t xml:space="preserve">, </w:t>
      </w:r>
      <w:r w:rsidR="0097689B" w:rsidRPr="008E3DDF">
        <w:rPr>
          <w:rFonts w:asciiTheme="minorBidi" w:eastAsia="Calibri" w:hAnsiTheme="minorBidi"/>
          <w:sz w:val="24"/>
          <w:szCs w:val="24"/>
        </w:rPr>
        <w:t>Granada, the</w:t>
      </w:r>
      <w:r w:rsidRPr="008E3DDF">
        <w:rPr>
          <w:rFonts w:asciiTheme="minorBidi" w:eastAsia="Calibri" w:hAnsiTheme="minorBidi"/>
          <w:sz w:val="24"/>
          <w:szCs w:val="24"/>
        </w:rPr>
        <w:t xml:space="preserve"> king and queen </w:t>
      </w:r>
      <w:r w:rsidR="005D3DC3" w:rsidRPr="008E3DDF">
        <w:rPr>
          <w:rFonts w:asciiTheme="minorBidi" w:eastAsia="Calibri" w:hAnsiTheme="minorBidi"/>
          <w:sz w:val="24"/>
          <w:szCs w:val="24"/>
        </w:rPr>
        <w:t>“</w:t>
      </w:r>
      <w:r w:rsidR="00666353" w:rsidRPr="008E3DDF">
        <w:rPr>
          <w:rFonts w:asciiTheme="minorBidi" w:eastAsia="Calibri" w:hAnsiTheme="minorBidi"/>
          <w:sz w:val="24"/>
          <w:szCs w:val="24"/>
        </w:rPr>
        <w:t>celebrated</w:t>
      </w:r>
      <w:r w:rsidR="005D3DC3" w:rsidRPr="008E3DDF">
        <w:rPr>
          <w:rFonts w:asciiTheme="minorBidi" w:eastAsia="Calibri" w:hAnsiTheme="minorBidi"/>
          <w:sz w:val="24"/>
          <w:szCs w:val="24"/>
        </w:rPr>
        <w:t>”</w:t>
      </w:r>
      <w:r w:rsidRPr="008E3DDF">
        <w:rPr>
          <w:rFonts w:asciiTheme="minorBidi" w:eastAsia="Calibri" w:hAnsiTheme="minorBidi"/>
          <w:sz w:val="24"/>
          <w:szCs w:val="24"/>
        </w:rPr>
        <w:t xml:space="preserve"> their</w:t>
      </w:r>
      <w:r w:rsidR="00666353" w:rsidRPr="008E3DDF">
        <w:rPr>
          <w:rFonts w:asciiTheme="minorBidi" w:eastAsia="Calibri" w:hAnsiTheme="minorBidi"/>
          <w:sz w:val="24"/>
          <w:szCs w:val="24"/>
        </w:rPr>
        <w:t xml:space="preserve"> achievement </w:t>
      </w:r>
      <w:r w:rsidRPr="008E3DDF">
        <w:rPr>
          <w:rFonts w:asciiTheme="minorBidi" w:eastAsia="Calibri" w:hAnsiTheme="minorBidi"/>
          <w:sz w:val="24"/>
          <w:szCs w:val="24"/>
        </w:rPr>
        <w:t xml:space="preserve">by </w:t>
      </w:r>
      <w:r w:rsidR="00666353" w:rsidRPr="008E3DDF">
        <w:rPr>
          <w:rFonts w:asciiTheme="minorBidi" w:eastAsia="Calibri" w:hAnsiTheme="minorBidi"/>
          <w:sz w:val="24"/>
          <w:szCs w:val="24"/>
        </w:rPr>
        <w:t>ruling</w:t>
      </w:r>
      <w:r w:rsidRPr="008E3DDF">
        <w:rPr>
          <w:rFonts w:asciiTheme="minorBidi" w:eastAsia="Calibri" w:hAnsiTheme="minorBidi"/>
          <w:sz w:val="24"/>
          <w:szCs w:val="24"/>
        </w:rPr>
        <w:t xml:space="preserve"> that all Jew</w:t>
      </w:r>
      <w:r w:rsidR="00084283">
        <w:rPr>
          <w:rFonts w:asciiTheme="minorBidi" w:eastAsia="Calibri" w:hAnsiTheme="minorBidi"/>
          <w:sz w:val="24"/>
          <w:szCs w:val="24"/>
        </w:rPr>
        <w:t>s</w:t>
      </w:r>
      <w:r w:rsidRPr="008E3DDF">
        <w:rPr>
          <w:rFonts w:asciiTheme="minorBidi" w:eastAsia="Calibri" w:hAnsiTheme="minorBidi"/>
          <w:sz w:val="24"/>
          <w:szCs w:val="24"/>
        </w:rPr>
        <w:t xml:space="preserve"> must </w:t>
      </w:r>
      <w:r w:rsidR="00084283">
        <w:rPr>
          <w:rFonts w:asciiTheme="minorBidi" w:eastAsia="Calibri" w:hAnsiTheme="minorBidi"/>
          <w:sz w:val="24"/>
          <w:szCs w:val="24"/>
        </w:rPr>
        <w:t xml:space="preserve">convert or </w:t>
      </w:r>
      <w:r w:rsidRPr="008E3DDF">
        <w:rPr>
          <w:rFonts w:asciiTheme="minorBidi" w:eastAsia="Calibri" w:hAnsiTheme="minorBidi"/>
          <w:sz w:val="24"/>
          <w:szCs w:val="24"/>
        </w:rPr>
        <w:t xml:space="preserve">leave the country. Although Abarbanel was one of the few who was </w:t>
      </w:r>
      <w:r w:rsidR="00666353" w:rsidRPr="008E3DDF">
        <w:rPr>
          <w:rFonts w:asciiTheme="minorBidi" w:eastAsia="Calibri" w:hAnsiTheme="minorBidi"/>
          <w:sz w:val="24"/>
          <w:szCs w:val="24"/>
        </w:rPr>
        <w:t>given permission</w:t>
      </w:r>
      <w:r w:rsidRPr="008E3DDF">
        <w:rPr>
          <w:rFonts w:asciiTheme="minorBidi" w:eastAsia="Calibri" w:hAnsiTheme="minorBidi"/>
          <w:sz w:val="24"/>
          <w:szCs w:val="24"/>
        </w:rPr>
        <w:t xml:space="preserve"> to remain, he chose to leave the country. After his fail</w:t>
      </w:r>
      <w:r w:rsidR="006258AC">
        <w:rPr>
          <w:rFonts w:asciiTheme="minorBidi" w:eastAsia="Calibri" w:hAnsiTheme="minorBidi"/>
          <w:sz w:val="24"/>
          <w:szCs w:val="24"/>
        </w:rPr>
        <w:t>ed</w:t>
      </w:r>
      <w:r w:rsidRPr="008E3DDF">
        <w:rPr>
          <w:rFonts w:asciiTheme="minorBidi" w:eastAsia="Calibri" w:hAnsiTheme="minorBidi"/>
          <w:sz w:val="24"/>
          <w:szCs w:val="24"/>
        </w:rPr>
        <w:t xml:space="preserve"> attempts </w:t>
      </w:r>
      <w:r w:rsidR="00666353" w:rsidRPr="008E3DDF">
        <w:rPr>
          <w:rFonts w:asciiTheme="minorBidi" w:eastAsia="Calibri" w:hAnsiTheme="minorBidi"/>
          <w:sz w:val="24"/>
          <w:szCs w:val="24"/>
        </w:rPr>
        <w:t>to</w:t>
      </w:r>
      <w:r w:rsidR="009205D0" w:rsidRPr="008E3DDF">
        <w:rPr>
          <w:rFonts w:asciiTheme="minorBidi" w:eastAsia="Calibri" w:hAnsiTheme="minorBidi"/>
          <w:sz w:val="24"/>
          <w:szCs w:val="24"/>
        </w:rPr>
        <w:t xml:space="preserve"> convince the king and queen to annul the decree, </w:t>
      </w:r>
      <w:r w:rsidRPr="008E3DDF">
        <w:rPr>
          <w:rFonts w:asciiTheme="minorBidi" w:eastAsia="Calibri" w:hAnsiTheme="minorBidi"/>
          <w:sz w:val="24"/>
          <w:szCs w:val="24"/>
        </w:rPr>
        <w:t>he joined</w:t>
      </w:r>
      <w:r w:rsidR="00666353" w:rsidRPr="008E3DDF">
        <w:rPr>
          <w:rFonts w:asciiTheme="minorBidi" w:eastAsia="Calibri" w:hAnsiTheme="minorBidi"/>
          <w:sz w:val="24"/>
          <w:szCs w:val="24"/>
        </w:rPr>
        <w:t xml:space="preserve"> his people </w:t>
      </w:r>
      <w:r w:rsidRPr="008E3DDF">
        <w:rPr>
          <w:rFonts w:asciiTheme="minorBidi" w:eastAsia="Calibri" w:hAnsiTheme="minorBidi"/>
          <w:sz w:val="24"/>
          <w:szCs w:val="24"/>
        </w:rPr>
        <w:t xml:space="preserve">in the infamous expulsion. </w:t>
      </w:r>
    </w:p>
    <w:p w14:paraId="68C03ADF" w14:textId="77777777" w:rsidR="005D3DC3" w:rsidRPr="008E3DDF" w:rsidRDefault="005D3DC3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D1B5975" w14:textId="744A1D1E" w:rsidR="00265618" w:rsidRPr="008E3DDF" w:rsidRDefault="0026561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lastRenderedPageBreak/>
        <w:t xml:space="preserve">Arriving in Naples, Abarbanel was appointed by King </w:t>
      </w:r>
      <w:r w:rsidR="006258AC">
        <w:rPr>
          <w:rFonts w:asciiTheme="minorBidi" w:eastAsia="Calibri" w:hAnsiTheme="minorBidi"/>
          <w:sz w:val="24"/>
          <w:szCs w:val="24"/>
        </w:rPr>
        <w:t xml:space="preserve">Ferdinand </w:t>
      </w:r>
      <w:r w:rsidRPr="008E3DDF">
        <w:rPr>
          <w:rFonts w:asciiTheme="minorBidi" w:eastAsia="Calibri" w:hAnsiTheme="minorBidi"/>
          <w:sz w:val="24"/>
          <w:szCs w:val="24"/>
        </w:rPr>
        <w:t xml:space="preserve">of Naples to a high-ranking position. </w:t>
      </w:r>
      <w:r w:rsidR="00626457">
        <w:rPr>
          <w:rFonts w:asciiTheme="minorBidi" w:eastAsia="Calibri" w:hAnsiTheme="minorBidi"/>
          <w:sz w:val="24"/>
          <w:szCs w:val="24"/>
        </w:rPr>
        <w:t xml:space="preserve">In 1503 </w:t>
      </w:r>
      <w:r w:rsidRPr="008E3DDF">
        <w:rPr>
          <w:rFonts w:asciiTheme="minorBidi" w:eastAsia="Calibri" w:hAnsiTheme="minorBidi"/>
          <w:sz w:val="24"/>
          <w:szCs w:val="24"/>
        </w:rPr>
        <w:t>he was forced to flee again</w:t>
      </w:r>
      <w:r w:rsidR="006258AC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settling</w:t>
      </w:r>
      <w:r w:rsidR="00626457">
        <w:rPr>
          <w:rFonts w:asciiTheme="minorBidi" w:eastAsia="Calibri" w:hAnsiTheme="minorBidi"/>
          <w:sz w:val="24"/>
          <w:szCs w:val="24"/>
        </w:rPr>
        <w:t xml:space="preserve"> eventually </w:t>
      </w:r>
      <w:r w:rsidR="00AB586E" w:rsidRPr="008E3DDF">
        <w:rPr>
          <w:rFonts w:asciiTheme="minorBidi" w:eastAsia="Calibri" w:hAnsiTheme="minorBidi"/>
          <w:sz w:val="24"/>
          <w:szCs w:val="24"/>
        </w:rPr>
        <w:t xml:space="preserve">in </w:t>
      </w:r>
      <w:r w:rsidR="00626457">
        <w:rPr>
          <w:rFonts w:asciiTheme="minorBidi" w:eastAsia="Calibri" w:hAnsiTheme="minorBidi"/>
          <w:sz w:val="24"/>
          <w:szCs w:val="24"/>
        </w:rPr>
        <w:t>Venice.</w:t>
      </w:r>
    </w:p>
    <w:p w14:paraId="3072F304" w14:textId="77777777" w:rsidR="00AB586E" w:rsidRPr="008E3DDF" w:rsidRDefault="00AB586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4BDCAC5B" w14:textId="225505FD" w:rsidR="00AB586E" w:rsidRPr="008E3DDF" w:rsidRDefault="00AB586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Throughout these difficult times</w:t>
      </w:r>
      <w:r w:rsidR="006258AC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Abarbanel worked relentlessly </w:t>
      </w:r>
      <w:r w:rsidR="00626457">
        <w:rPr>
          <w:rFonts w:asciiTheme="minorBidi" w:eastAsia="Calibri" w:hAnsiTheme="minorBidi"/>
          <w:sz w:val="24"/>
          <w:szCs w:val="24"/>
        </w:rPr>
        <w:t xml:space="preserve">both </w:t>
      </w:r>
      <w:r w:rsidRPr="008E3DDF">
        <w:rPr>
          <w:rFonts w:asciiTheme="minorBidi" w:eastAsia="Calibri" w:hAnsiTheme="minorBidi"/>
          <w:sz w:val="24"/>
          <w:szCs w:val="24"/>
        </w:rPr>
        <w:t xml:space="preserve">on his classic commentary on the entire </w:t>
      </w:r>
      <w:r w:rsidR="008E3DDF" w:rsidRPr="001846EA">
        <w:rPr>
          <w:rFonts w:asciiTheme="minorBidi" w:eastAsia="Calibri" w:hAnsiTheme="minorBidi"/>
          <w:i/>
          <w:iCs/>
          <w:sz w:val="24"/>
          <w:szCs w:val="24"/>
        </w:rPr>
        <w:t>Tanakh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626457">
        <w:rPr>
          <w:rFonts w:asciiTheme="minorBidi" w:eastAsia="Calibri" w:hAnsiTheme="minorBidi"/>
          <w:sz w:val="24"/>
          <w:szCs w:val="24"/>
        </w:rPr>
        <w:t>and on his</w:t>
      </w:r>
      <w:r w:rsidR="00FB3690" w:rsidRPr="008E3DDF">
        <w:rPr>
          <w:rFonts w:asciiTheme="minorBidi" w:eastAsia="Calibri" w:hAnsiTheme="minorBidi"/>
          <w:sz w:val="24"/>
          <w:szCs w:val="24"/>
        </w:rPr>
        <w:t xml:space="preserve"> works </w:t>
      </w:r>
      <w:r w:rsidR="005D3DC3" w:rsidRPr="008E3DDF">
        <w:rPr>
          <w:rFonts w:asciiTheme="minorBidi" w:eastAsia="Calibri" w:hAnsiTheme="minorBidi"/>
          <w:sz w:val="24"/>
          <w:szCs w:val="24"/>
        </w:rPr>
        <w:t>o</w:t>
      </w:r>
      <w:r w:rsidR="009205D0" w:rsidRPr="008E3DDF">
        <w:rPr>
          <w:rFonts w:asciiTheme="minorBidi" w:eastAsia="Calibri" w:hAnsiTheme="minorBidi"/>
          <w:sz w:val="24"/>
          <w:szCs w:val="24"/>
        </w:rPr>
        <w:t>f philosophy and theology.</w:t>
      </w:r>
      <w:r w:rsidR="005D3DC3" w:rsidRPr="008E3DDF">
        <w:rPr>
          <w:rFonts w:asciiTheme="minorBidi" w:eastAsia="Calibri" w:hAnsiTheme="minorBidi"/>
          <w:sz w:val="24"/>
          <w:szCs w:val="24"/>
        </w:rPr>
        <w:t xml:space="preserve"> </w:t>
      </w:r>
    </w:p>
    <w:p w14:paraId="5EA3591B" w14:textId="28A7F676" w:rsidR="009E5014" w:rsidRPr="008E3DDF" w:rsidRDefault="009E5014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9D4E7AC" w14:textId="1A3D5C6A" w:rsidR="00822F6C" w:rsidRPr="008E3DDF" w:rsidRDefault="00312D87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Rav </w:t>
      </w:r>
      <w:r w:rsidR="00822F6C" w:rsidRPr="008E3DDF">
        <w:rPr>
          <w:rFonts w:asciiTheme="minorBidi" w:eastAsia="Calibri" w:hAnsiTheme="minorBidi"/>
          <w:sz w:val="24"/>
          <w:szCs w:val="24"/>
        </w:rPr>
        <w:t xml:space="preserve">Yitzchak Abarbanel is considered one of the greatest </w:t>
      </w:r>
      <w:r>
        <w:rPr>
          <w:rFonts w:asciiTheme="minorBidi" w:eastAsia="Calibri" w:hAnsiTheme="minorBidi"/>
          <w:sz w:val="24"/>
          <w:szCs w:val="24"/>
        </w:rPr>
        <w:t xml:space="preserve">royal </w:t>
      </w:r>
      <w:r w:rsidR="00822F6C" w:rsidRPr="008E3DDF">
        <w:rPr>
          <w:rFonts w:asciiTheme="minorBidi" w:eastAsia="Calibri" w:hAnsiTheme="minorBidi"/>
          <w:sz w:val="24"/>
          <w:szCs w:val="24"/>
        </w:rPr>
        <w:t>advisers in Jewish history</w:t>
      </w:r>
      <w:r w:rsidR="00084283">
        <w:rPr>
          <w:rFonts w:asciiTheme="minorBidi" w:eastAsia="Calibri" w:hAnsiTheme="minorBidi"/>
          <w:sz w:val="24"/>
          <w:szCs w:val="24"/>
        </w:rPr>
        <w:t xml:space="preserve">, </w:t>
      </w:r>
      <w:r w:rsidR="00822F6C" w:rsidRPr="008E3DDF">
        <w:rPr>
          <w:rFonts w:asciiTheme="minorBidi" w:eastAsia="Calibri" w:hAnsiTheme="minorBidi"/>
          <w:sz w:val="24"/>
          <w:szCs w:val="24"/>
        </w:rPr>
        <w:t>reach</w:t>
      </w:r>
      <w:r w:rsidR="00084283">
        <w:rPr>
          <w:rFonts w:asciiTheme="minorBidi" w:eastAsia="Calibri" w:hAnsiTheme="minorBidi"/>
          <w:sz w:val="24"/>
          <w:szCs w:val="24"/>
        </w:rPr>
        <w:t>ing</w:t>
      </w:r>
      <w:r w:rsidR="00822F6C" w:rsidRPr="008E3DDF">
        <w:rPr>
          <w:rFonts w:asciiTheme="minorBidi" w:eastAsia="Calibri" w:hAnsiTheme="minorBidi"/>
          <w:sz w:val="24"/>
          <w:szCs w:val="24"/>
        </w:rPr>
        <w:t xml:space="preserve"> a very high-ranking position. </w:t>
      </w:r>
      <w:r>
        <w:rPr>
          <w:rFonts w:asciiTheme="minorBidi" w:eastAsia="Calibri" w:hAnsiTheme="minorBidi"/>
          <w:sz w:val="24"/>
          <w:szCs w:val="24"/>
        </w:rPr>
        <w:t>H</w:t>
      </w:r>
      <w:r w:rsidR="00822F6C" w:rsidRPr="008E3DDF">
        <w:rPr>
          <w:rFonts w:asciiTheme="minorBidi" w:eastAsia="Calibri" w:hAnsiTheme="minorBidi"/>
          <w:sz w:val="24"/>
          <w:szCs w:val="24"/>
        </w:rPr>
        <w:t xml:space="preserve">is uniqueness </w:t>
      </w:r>
      <w:r>
        <w:rPr>
          <w:rFonts w:asciiTheme="minorBidi" w:eastAsia="Calibri" w:hAnsiTheme="minorBidi"/>
          <w:sz w:val="24"/>
          <w:szCs w:val="24"/>
        </w:rPr>
        <w:t>lies in the fact</w:t>
      </w:r>
      <w:r w:rsidR="00822F6C" w:rsidRPr="008E3DDF">
        <w:rPr>
          <w:rFonts w:asciiTheme="minorBidi" w:eastAsia="Calibri" w:hAnsiTheme="minorBidi"/>
          <w:sz w:val="24"/>
          <w:szCs w:val="24"/>
        </w:rPr>
        <w:t xml:space="preserve"> that </w:t>
      </w:r>
      <w:r w:rsidR="00626457" w:rsidRPr="00626457">
        <w:rPr>
          <w:rFonts w:asciiTheme="minorBidi" w:eastAsia="Calibri" w:hAnsiTheme="minorBidi"/>
          <w:sz w:val="24"/>
          <w:szCs w:val="24"/>
        </w:rPr>
        <w:t xml:space="preserve">he used his personal relations with the ruling authorities to aid and benefit </w:t>
      </w:r>
      <w:r w:rsidR="00626457">
        <w:rPr>
          <w:rFonts w:asciiTheme="minorBidi" w:eastAsia="Calibri" w:hAnsiTheme="minorBidi"/>
          <w:sz w:val="24"/>
          <w:szCs w:val="24"/>
        </w:rPr>
        <w:t xml:space="preserve">the </w:t>
      </w:r>
      <w:r w:rsidR="00822F6C" w:rsidRPr="008E3DDF">
        <w:rPr>
          <w:rFonts w:asciiTheme="minorBidi" w:eastAsia="Calibri" w:hAnsiTheme="minorBidi"/>
          <w:sz w:val="24"/>
          <w:szCs w:val="24"/>
        </w:rPr>
        <w:t>Jewish community.</w:t>
      </w:r>
    </w:p>
    <w:p w14:paraId="242B1289" w14:textId="77777777" w:rsidR="00D25BED" w:rsidRPr="008E3DDF" w:rsidRDefault="00D25BE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35C5A542" w14:textId="4BB5D25D" w:rsidR="00A6668D" w:rsidRPr="008E3DDF" w:rsidRDefault="00D8511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Such leadership positions of influence</w:t>
      </w:r>
      <w:r w:rsidR="0038599E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like </w:t>
      </w:r>
      <w:r w:rsidR="00312D87">
        <w:rPr>
          <w:rFonts w:asciiTheme="minorBidi" w:eastAsia="Calibri" w:hAnsiTheme="minorBidi"/>
          <w:sz w:val="24"/>
          <w:szCs w:val="24"/>
        </w:rPr>
        <w:t xml:space="preserve">that of Rav </w:t>
      </w:r>
      <w:r w:rsidRPr="008E3DDF">
        <w:rPr>
          <w:rFonts w:asciiTheme="minorBidi" w:eastAsia="Calibri" w:hAnsiTheme="minorBidi"/>
          <w:sz w:val="24"/>
          <w:szCs w:val="24"/>
        </w:rPr>
        <w:t xml:space="preserve">Yitzchak 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Abarbanel </w:t>
      </w:r>
      <w:r w:rsidR="00312D87">
        <w:rPr>
          <w:rFonts w:asciiTheme="minorBidi" w:eastAsia="Calibri" w:hAnsiTheme="minorBidi"/>
          <w:sz w:val="24"/>
          <w:szCs w:val="24"/>
        </w:rPr>
        <w:t xml:space="preserve">have </w:t>
      </w:r>
      <w:r w:rsidR="00D25BED" w:rsidRPr="008E3DDF">
        <w:rPr>
          <w:rFonts w:asciiTheme="minorBidi" w:eastAsia="Calibri" w:hAnsiTheme="minorBidi"/>
          <w:sz w:val="24"/>
          <w:szCs w:val="24"/>
        </w:rPr>
        <w:t>existed throughout Jewish history</w:t>
      </w:r>
      <w:r w:rsidRPr="008E3DDF">
        <w:rPr>
          <w:rFonts w:asciiTheme="minorBidi" w:eastAsia="Calibri" w:hAnsiTheme="minorBidi"/>
          <w:sz w:val="24"/>
          <w:szCs w:val="24"/>
        </w:rPr>
        <w:t>.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626457">
        <w:rPr>
          <w:rFonts w:asciiTheme="minorBidi" w:eastAsia="Calibri" w:hAnsiTheme="minorBidi"/>
          <w:sz w:val="24"/>
          <w:szCs w:val="24"/>
        </w:rPr>
        <w:t>Starting with</w:t>
      </w:r>
      <w:r w:rsidR="00312D87">
        <w:rPr>
          <w:rFonts w:asciiTheme="minorBidi" w:eastAsia="Calibri" w:hAnsiTheme="minorBidi"/>
          <w:sz w:val="24"/>
          <w:szCs w:val="24"/>
        </w:rPr>
        <w:t xml:space="preserve"> </w:t>
      </w:r>
      <w:r w:rsidR="00084283">
        <w:rPr>
          <w:rFonts w:asciiTheme="minorBidi" w:eastAsia="Calibri" w:hAnsiTheme="minorBidi"/>
          <w:sz w:val="24"/>
          <w:szCs w:val="24"/>
        </w:rPr>
        <w:t xml:space="preserve">Daniel, </w:t>
      </w:r>
      <w:r w:rsidR="00D25BED" w:rsidRPr="008E3DDF">
        <w:rPr>
          <w:rFonts w:asciiTheme="minorBidi" w:eastAsia="Calibri" w:hAnsiTheme="minorBidi"/>
          <w:sz w:val="24"/>
          <w:szCs w:val="24"/>
        </w:rPr>
        <w:t>Morde</w:t>
      </w:r>
      <w:r w:rsidR="00312D87">
        <w:rPr>
          <w:rFonts w:asciiTheme="minorBidi" w:eastAsia="Calibri" w:hAnsiTheme="minorBidi"/>
          <w:sz w:val="24"/>
          <w:szCs w:val="24"/>
        </w:rPr>
        <w:t>k</w:t>
      </w:r>
      <w:r w:rsidR="00D25BED" w:rsidRPr="008E3DDF">
        <w:rPr>
          <w:rFonts w:asciiTheme="minorBidi" w:eastAsia="Calibri" w:hAnsiTheme="minorBidi"/>
          <w:sz w:val="24"/>
          <w:szCs w:val="24"/>
        </w:rPr>
        <w:t>ha</w:t>
      </w:r>
      <w:r w:rsidR="00C5273A" w:rsidRPr="008E3DDF">
        <w:rPr>
          <w:rFonts w:asciiTheme="minorBidi" w:eastAsia="Calibri" w:hAnsiTheme="minorBidi"/>
          <w:sz w:val="24"/>
          <w:szCs w:val="24"/>
        </w:rPr>
        <w:t>i</w:t>
      </w:r>
      <w:r w:rsidR="00084283">
        <w:rPr>
          <w:rFonts w:asciiTheme="minorBidi" w:eastAsia="Calibri" w:hAnsiTheme="minorBidi"/>
          <w:sz w:val="24"/>
          <w:szCs w:val="24"/>
        </w:rPr>
        <w:t xml:space="preserve"> and</w:t>
      </w:r>
      <w:r w:rsidRPr="008E3DDF">
        <w:rPr>
          <w:rFonts w:asciiTheme="minorBidi" w:eastAsia="Calibri" w:hAnsiTheme="minorBidi"/>
          <w:sz w:val="24"/>
          <w:szCs w:val="24"/>
        </w:rPr>
        <w:t xml:space="preserve"> Nechemya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in biblical times</w:t>
      </w:r>
      <w:r w:rsidR="00626457">
        <w:rPr>
          <w:rFonts w:asciiTheme="minorBidi" w:eastAsia="Calibri" w:hAnsiTheme="minorBidi"/>
          <w:sz w:val="24"/>
          <w:szCs w:val="24"/>
        </w:rPr>
        <w:t xml:space="preserve"> and</w:t>
      </w:r>
      <w:r w:rsidRPr="008E3DDF">
        <w:rPr>
          <w:rFonts w:asciiTheme="minorBidi" w:eastAsia="Calibri" w:hAnsiTheme="minorBidi"/>
          <w:sz w:val="24"/>
          <w:szCs w:val="24"/>
        </w:rPr>
        <w:t xml:space="preserve"> continuing</w:t>
      </w:r>
      <w:r w:rsidR="00084283">
        <w:rPr>
          <w:rFonts w:asciiTheme="minorBidi" w:eastAsia="Calibri" w:hAnsiTheme="minorBidi"/>
          <w:sz w:val="24"/>
          <w:szCs w:val="24"/>
        </w:rPr>
        <w:t xml:space="preserve"> 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until </w:t>
      </w:r>
      <w:r w:rsidR="00C5273A" w:rsidRPr="008E3DDF">
        <w:rPr>
          <w:rFonts w:asciiTheme="minorBidi" w:eastAsia="Calibri" w:hAnsiTheme="minorBidi"/>
          <w:sz w:val="24"/>
          <w:szCs w:val="24"/>
        </w:rPr>
        <w:t>the 19</w:t>
      </w:r>
      <w:r w:rsidR="00C5273A" w:rsidRPr="008E3DDF">
        <w:rPr>
          <w:rFonts w:asciiTheme="minorBidi" w:eastAsia="Calibri" w:hAnsiTheme="minorBidi"/>
          <w:sz w:val="24"/>
          <w:szCs w:val="24"/>
          <w:vertAlign w:val="superscript"/>
        </w:rPr>
        <w:t>th</w:t>
      </w:r>
      <w:r w:rsidR="00C5273A" w:rsidRPr="008E3DDF">
        <w:rPr>
          <w:rFonts w:asciiTheme="minorBidi" w:eastAsia="Calibri" w:hAnsiTheme="minorBidi"/>
          <w:sz w:val="24"/>
          <w:szCs w:val="24"/>
        </w:rPr>
        <w:t xml:space="preserve"> century </w:t>
      </w:r>
      <w:r w:rsidR="00DA5022">
        <w:rPr>
          <w:rFonts w:asciiTheme="minorBidi" w:eastAsia="Calibri" w:hAnsiTheme="minorBidi"/>
          <w:sz w:val="24"/>
          <w:szCs w:val="24"/>
        </w:rPr>
        <w:t xml:space="preserve">culminating </w:t>
      </w:r>
      <w:r w:rsidR="0038599E" w:rsidRPr="008E3DDF">
        <w:rPr>
          <w:rFonts w:asciiTheme="minorBidi" w:eastAsia="Calibri" w:hAnsiTheme="minorBidi"/>
          <w:sz w:val="24"/>
          <w:szCs w:val="24"/>
        </w:rPr>
        <w:t xml:space="preserve">with </w:t>
      </w:r>
      <w:r w:rsidRPr="008E3DDF">
        <w:rPr>
          <w:rFonts w:asciiTheme="minorBidi" w:eastAsia="Calibri" w:hAnsiTheme="minorBidi"/>
          <w:sz w:val="24"/>
          <w:szCs w:val="24"/>
        </w:rPr>
        <w:t xml:space="preserve">the great </w:t>
      </w:r>
      <w:r w:rsidR="00084283">
        <w:rPr>
          <w:rFonts w:asciiTheme="minorBidi" w:eastAsia="Calibri" w:hAnsiTheme="minorBidi"/>
          <w:sz w:val="24"/>
          <w:szCs w:val="24"/>
        </w:rPr>
        <w:t xml:space="preserve">British </w:t>
      </w:r>
      <w:r w:rsidRPr="008E3DDF">
        <w:rPr>
          <w:rFonts w:asciiTheme="minorBidi" w:eastAsia="Calibri" w:hAnsiTheme="minorBidi"/>
          <w:sz w:val="24"/>
          <w:szCs w:val="24"/>
        </w:rPr>
        <w:t>philanthropist, Moshe</w:t>
      </w:r>
      <w:r w:rsidR="00D25BED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C5273A" w:rsidRPr="008E3DDF">
        <w:rPr>
          <w:rFonts w:asciiTheme="minorBidi" w:eastAsia="Calibri" w:hAnsiTheme="minorBidi"/>
          <w:sz w:val="24"/>
          <w:szCs w:val="24"/>
        </w:rPr>
        <w:t xml:space="preserve">Montefiore. </w:t>
      </w:r>
      <w:r w:rsidR="0038599E" w:rsidRPr="008E3DDF">
        <w:rPr>
          <w:rFonts w:asciiTheme="minorBidi" w:eastAsia="Calibri" w:hAnsiTheme="minorBidi"/>
          <w:sz w:val="24"/>
          <w:szCs w:val="24"/>
        </w:rPr>
        <w:t xml:space="preserve">Their </w:t>
      </w:r>
      <w:r w:rsidR="008F2033" w:rsidRPr="008E3DDF">
        <w:rPr>
          <w:rFonts w:asciiTheme="minorBidi" w:eastAsia="Calibri" w:hAnsiTheme="minorBidi"/>
          <w:sz w:val="24"/>
          <w:szCs w:val="24"/>
        </w:rPr>
        <w:t>position</w:t>
      </w:r>
      <w:r w:rsidRPr="008E3DDF">
        <w:rPr>
          <w:rFonts w:asciiTheme="minorBidi" w:eastAsia="Calibri" w:hAnsiTheme="minorBidi"/>
          <w:sz w:val="24"/>
          <w:szCs w:val="24"/>
        </w:rPr>
        <w:t>s</w:t>
      </w:r>
      <w:r w:rsidR="0038599E" w:rsidRPr="008E3DDF">
        <w:rPr>
          <w:rFonts w:asciiTheme="minorBidi" w:eastAsia="Calibri" w:hAnsiTheme="minorBidi"/>
          <w:sz w:val="24"/>
          <w:szCs w:val="24"/>
        </w:rPr>
        <w:t xml:space="preserve"> in international courts </w:t>
      </w:r>
      <w:r w:rsidR="00084283">
        <w:rPr>
          <w:rFonts w:asciiTheme="minorBidi" w:eastAsia="Calibri" w:hAnsiTheme="minorBidi"/>
          <w:sz w:val="24"/>
          <w:szCs w:val="24"/>
        </w:rPr>
        <w:t>en</w:t>
      </w:r>
      <w:r w:rsidR="008F2033" w:rsidRPr="008E3DDF">
        <w:rPr>
          <w:rFonts w:asciiTheme="minorBidi" w:eastAsia="Calibri" w:hAnsiTheme="minorBidi"/>
          <w:sz w:val="24"/>
          <w:szCs w:val="24"/>
        </w:rPr>
        <w:t xml:space="preserve">abled them to use their influence to aid and guide their Jewish brethren. </w:t>
      </w:r>
      <w:r w:rsidRPr="008E3DDF">
        <w:rPr>
          <w:rFonts w:asciiTheme="minorBidi" w:eastAsia="Calibri" w:hAnsiTheme="minorBidi"/>
          <w:sz w:val="24"/>
          <w:szCs w:val="24"/>
        </w:rPr>
        <w:t xml:space="preserve">Some of them were called court Jews or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shtad</w:t>
      </w:r>
      <w:r w:rsidR="00875346" w:rsidRPr="008E3DDF">
        <w:rPr>
          <w:rFonts w:asciiTheme="minorBidi" w:eastAsia="Calibri" w:hAnsiTheme="minorBidi"/>
          <w:i/>
          <w:iCs/>
          <w:sz w:val="24"/>
          <w:szCs w:val="24"/>
        </w:rPr>
        <w:t>la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nim</w:t>
      </w:r>
      <w:r w:rsidRPr="008E3DDF">
        <w:rPr>
          <w:rFonts w:asciiTheme="minorBidi" w:eastAsia="Calibri" w:hAnsiTheme="minorBidi"/>
          <w:sz w:val="24"/>
          <w:szCs w:val="24"/>
        </w:rPr>
        <w:t xml:space="preserve">. </w:t>
      </w:r>
    </w:p>
    <w:p w14:paraId="0CC2048A" w14:textId="77777777" w:rsidR="00A6668D" w:rsidRPr="008E3DDF" w:rsidRDefault="00A6668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246390C" w14:textId="5E1BEDDE" w:rsidR="00A6668D" w:rsidRPr="001846EA" w:rsidRDefault="00A6668D" w:rsidP="00920FE7">
      <w:pPr>
        <w:spacing w:after="0" w:line="240" w:lineRule="auto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</w:rPr>
      </w:pPr>
      <w:r w:rsidRPr="001846EA">
        <w:rPr>
          <w:rFonts w:asciiTheme="minorBidi" w:eastAsia="Calibri" w:hAnsiTheme="minorBidi"/>
          <w:b/>
          <w:bCs/>
          <w:i/>
          <w:iCs/>
          <w:sz w:val="24"/>
          <w:szCs w:val="24"/>
        </w:rPr>
        <w:t>Karov L</w:t>
      </w:r>
      <w:r w:rsidR="00875346" w:rsidRPr="001846EA">
        <w:rPr>
          <w:rFonts w:asciiTheme="minorBidi" w:eastAsia="Calibri" w:hAnsiTheme="minorBidi"/>
          <w:b/>
          <w:bCs/>
          <w:i/>
          <w:iCs/>
          <w:sz w:val="24"/>
          <w:szCs w:val="24"/>
        </w:rPr>
        <w:t>a</w:t>
      </w:r>
      <w:r w:rsidRPr="001846EA">
        <w:rPr>
          <w:rFonts w:asciiTheme="minorBidi" w:eastAsia="Calibri" w:hAnsiTheme="minorBidi"/>
          <w:b/>
          <w:bCs/>
          <w:i/>
          <w:iCs/>
          <w:sz w:val="24"/>
          <w:szCs w:val="24"/>
        </w:rPr>
        <w:t>-Mal</w:t>
      </w:r>
      <w:r w:rsidR="00B2746E" w:rsidRPr="001846EA">
        <w:rPr>
          <w:rFonts w:asciiTheme="minorBidi" w:eastAsia="Calibri" w:hAnsiTheme="minorBidi"/>
          <w:b/>
          <w:bCs/>
          <w:i/>
          <w:iCs/>
          <w:sz w:val="24"/>
          <w:szCs w:val="24"/>
        </w:rPr>
        <w:t>k</w:t>
      </w:r>
      <w:r w:rsidRPr="001846EA">
        <w:rPr>
          <w:rFonts w:asciiTheme="minorBidi" w:eastAsia="Calibri" w:hAnsiTheme="minorBidi"/>
          <w:b/>
          <w:bCs/>
          <w:i/>
          <w:iCs/>
          <w:sz w:val="24"/>
          <w:szCs w:val="24"/>
        </w:rPr>
        <w:t>hut</w:t>
      </w:r>
    </w:p>
    <w:p w14:paraId="28173F29" w14:textId="77777777" w:rsidR="00BA1FE6" w:rsidRPr="008E3DDF" w:rsidRDefault="00BA1FE6" w:rsidP="00920FE7">
      <w:pPr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</w:rPr>
      </w:pPr>
    </w:p>
    <w:p w14:paraId="724DDA8C" w14:textId="1A3A650B" w:rsidR="00A2492C" w:rsidRPr="008E3DDF" w:rsidRDefault="00D8511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The Gemara </w:t>
      </w:r>
      <w:r w:rsidR="00084283">
        <w:rPr>
          <w:rFonts w:asciiTheme="minorBidi" w:eastAsia="Calibri" w:hAnsiTheme="minorBidi"/>
          <w:sz w:val="24"/>
          <w:szCs w:val="24"/>
        </w:rPr>
        <w:t xml:space="preserve">(e.g. BT </w:t>
      </w:r>
      <w:r w:rsidR="00084283">
        <w:rPr>
          <w:rFonts w:asciiTheme="minorBidi" w:eastAsia="Calibri" w:hAnsiTheme="minorBidi"/>
          <w:i/>
          <w:iCs/>
          <w:sz w:val="24"/>
          <w:szCs w:val="24"/>
        </w:rPr>
        <w:t xml:space="preserve">Bava Kama </w:t>
      </w:r>
      <w:r w:rsidR="00084283">
        <w:rPr>
          <w:rFonts w:asciiTheme="minorBidi" w:eastAsia="Calibri" w:hAnsiTheme="minorBidi"/>
          <w:sz w:val="24"/>
          <w:szCs w:val="24"/>
        </w:rPr>
        <w:t xml:space="preserve">83a) </w:t>
      </w:r>
      <w:r w:rsidRPr="008E3DDF">
        <w:rPr>
          <w:rFonts w:asciiTheme="minorBidi" w:eastAsia="Calibri" w:hAnsiTheme="minorBidi"/>
          <w:sz w:val="24"/>
          <w:szCs w:val="24"/>
        </w:rPr>
        <w:t>refer</w:t>
      </w:r>
      <w:r w:rsidR="00312D87">
        <w:rPr>
          <w:rFonts w:asciiTheme="minorBidi" w:eastAsia="Calibri" w:hAnsiTheme="minorBidi"/>
          <w:sz w:val="24"/>
          <w:szCs w:val="24"/>
        </w:rPr>
        <w:t xml:space="preserve">s to such a person as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karov l</w:t>
      </w:r>
      <w:r w:rsidR="00875346" w:rsidRPr="008E3DDF">
        <w:rPr>
          <w:rFonts w:asciiTheme="minorBidi" w:eastAsia="Calibri" w:hAnsiTheme="minorBidi"/>
          <w:i/>
          <w:iCs/>
          <w:sz w:val="24"/>
          <w:szCs w:val="24"/>
        </w:rPr>
        <w:t>a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-mal</w:t>
      </w:r>
      <w:r w:rsidR="00B2746E" w:rsidRPr="008E3DDF">
        <w:rPr>
          <w:rFonts w:asciiTheme="minorBidi" w:eastAsia="Calibri" w:hAnsiTheme="minorBidi"/>
          <w:i/>
          <w:iCs/>
          <w:sz w:val="24"/>
          <w:szCs w:val="24"/>
        </w:rPr>
        <w:t>k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hut</w:t>
      </w:r>
      <w:r w:rsidR="00A2492C" w:rsidRPr="008E3DDF">
        <w:rPr>
          <w:rFonts w:asciiTheme="minorBidi" w:eastAsia="Calibri" w:hAnsiTheme="minorBidi"/>
          <w:sz w:val="24"/>
          <w:szCs w:val="24"/>
        </w:rPr>
        <w:t xml:space="preserve"> (</w:t>
      </w:r>
      <w:r w:rsidR="00312D87">
        <w:rPr>
          <w:rFonts w:asciiTheme="minorBidi" w:eastAsia="Calibri" w:hAnsiTheme="minorBidi"/>
          <w:sz w:val="24"/>
          <w:szCs w:val="24"/>
        </w:rPr>
        <w:t xml:space="preserve">literally, </w:t>
      </w:r>
      <w:r w:rsidR="00A2492C" w:rsidRPr="008E3DDF">
        <w:rPr>
          <w:rFonts w:asciiTheme="minorBidi" w:eastAsia="Calibri" w:hAnsiTheme="minorBidi"/>
          <w:sz w:val="24"/>
          <w:szCs w:val="24"/>
        </w:rPr>
        <w:t xml:space="preserve">close to </w:t>
      </w:r>
      <w:r w:rsidR="00312D87">
        <w:rPr>
          <w:rFonts w:asciiTheme="minorBidi" w:eastAsia="Calibri" w:hAnsiTheme="minorBidi"/>
          <w:sz w:val="24"/>
          <w:szCs w:val="24"/>
        </w:rPr>
        <w:t xml:space="preserve">the </w:t>
      </w:r>
      <w:r w:rsidR="00A2492C" w:rsidRPr="008E3DDF">
        <w:rPr>
          <w:rFonts w:asciiTheme="minorBidi" w:eastAsia="Calibri" w:hAnsiTheme="minorBidi"/>
          <w:sz w:val="24"/>
          <w:szCs w:val="24"/>
        </w:rPr>
        <w:t>government).</w:t>
      </w:r>
      <w:r w:rsidR="001147AF" w:rsidRPr="008E3DDF">
        <w:rPr>
          <w:rFonts w:asciiTheme="minorBidi" w:eastAsia="Calibri" w:hAnsiTheme="minorBidi"/>
          <w:sz w:val="24"/>
          <w:szCs w:val="24"/>
        </w:rPr>
        <w:t xml:space="preserve"> This phrase carries </w:t>
      </w:r>
      <w:r w:rsidR="00A6668D" w:rsidRPr="008E3DDF">
        <w:rPr>
          <w:rFonts w:asciiTheme="minorBidi" w:eastAsia="Calibri" w:hAnsiTheme="minorBidi"/>
          <w:sz w:val="24"/>
          <w:szCs w:val="24"/>
        </w:rPr>
        <w:t>halakhic</w:t>
      </w:r>
      <w:r w:rsidR="001147AF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A6668D" w:rsidRPr="008E3DDF">
        <w:rPr>
          <w:rFonts w:asciiTheme="minorBidi" w:eastAsia="Calibri" w:hAnsiTheme="minorBidi"/>
          <w:sz w:val="24"/>
          <w:szCs w:val="24"/>
        </w:rPr>
        <w:t>ramifications. Due to their unique position</w:t>
      </w:r>
      <w:r w:rsidR="00084283">
        <w:rPr>
          <w:rFonts w:asciiTheme="minorBidi" w:eastAsia="Calibri" w:hAnsiTheme="minorBidi"/>
          <w:sz w:val="24"/>
          <w:szCs w:val="24"/>
        </w:rPr>
        <w:t>,</w:t>
      </w:r>
      <w:r w:rsidR="00A6668D" w:rsidRPr="008E3DDF">
        <w:rPr>
          <w:rFonts w:asciiTheme="minorBidi" w:eastAsia="Calibri" w:hAnsiTheme="minorBidi"/>
          <w:sz w:val="24"/>
          <w:szCs w:val="24"/>
        </w:rPr>
        <w:t xml:space="preserve"> these leaders</w:t>
      </w:r>
      <w:r w:rsidR="00A83AEC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084283">
        <w:rPr>
          <w:rFonts w:asciiTheme="minorBidi" w:eastAsia="Calibri" w:hAnsiTheme="minorBidi"/>
          <w:sz w:val="24"/>
          <w:szCs w:val="24"/>
        </w:rPr>
        <w:t>a</w:t>
      </w:r>
      <w:r w:rsidR="00A83AEC" w:rsidRPr="008E3DDF">
        <w:rPr>
          <w:rFonts w:asciiTheme="minorBidi" w:eastAsia="Calibri" w:hAnsiTheme="minorBidi"/>
          <w:sz w:val="24"/>
          <w:szCs w:val="24"/>
        </w:rPr>
        <w:t>re regular</w:t>
      </w:r>
      <w:r w:rsidR="00084283">
        <w:rPr>
          <w:rFonts w:asciiTheme="minorBidi" w:eastAsia="Calibri" w:hAnsiTheme="minorBidi"/>
          <w:sz w:val="24"/>
          <w:szCs w:val="24"/>
        </w:rPr>
        <w:t>ly present</w:t>
      </w:r>
      <w:r w:rsidR="00A83AEC" w:rsidRPr="008E3DDF">
        <w:rPr>
          <w:rFonts w:asciiTheme="minorBidi" w:eastAsia="Calibri" w:hAnsiTheme="minorBidi"/>
          <w:sz w:val="24"/>
          <w:szCs w:val="24"/>
        </w:rPr>
        <w:t xml:space="preserve"> in the courts of kings and emperors.</w:t>
      </w:r>
      <w:r w:rsidR="00084283">
        <w:rPr>
          <w:rFonts w:asciiTheme="minorBidi" w:eastAsia="Calibri" w:hAnsiTheme="minorBidi"/>
          <w:sz w:val="24"/>
          <w:szCs w:val="24"/>
        </w:rPr>
        <w:t xml:space="preserve"> </w:t>
      </w:r>
      <w:r w:rsidR="00A83AEC" w:rsidRPr="008E3DDF">
        <w:rPr>
          <w:rFonts w:asciiTheme="minorBidi" w:eastAsia="Calibri" w:hAnsiTheme="minorBidi"/>
          <w:sz w:val="24"/>
          <w:szCs w:val="24"/>
        </w:rPr>
        <w:t xml:space="preserve">In situations </w:t>
      </w:r>
      <w:r w:rsidR="00312D87">
        <w:rPr>
          <w:rFonts w:asciiTheme="minorBidi" w:eastAsia="Calibri" w:hAnsiTheme="minorBidi"/>
          <w:sz w:val="24"/>
          <w:szCs w:val="24"/>
        </w:rPr>
        <w:t>in which</w:t>
      </w:r>
      <w:r w:rsidR="00A83AEC" w:rsidRPr="008E3DDF">
        <w:rPr>
          <w:rFonts w:asciiTheme="minorBidi" w:eastAsia="Calibri" w:hAnsiTheme="minorBidi"/>
          <w:sz w:val="24"/>
          <w:szCs w:val="24"/>
        </w:rPr>
        <w:t xml:space="preserve"> dress codes and even </w:t>
      </w:r>
      <w:r w:rsidR="00A2492C" w:rsidRPr="008E3DDF">
        <w:rPr>
          <w:rFonts w:asciiTheme="minorBidi" w:eastAsia="Calibri" w:hAnsiTheme="minorBidi"/>
          <w:sz w:val="24"/>
          <w:szCs w:val="24"/>
        </w:rPr>
        <w:t>dietary</w:t>
      </w:r>
      <w:r w:rsidR="00A83AEC" w:rsidRPr="008E3DDF">
        <w:rPr>
          <w:rFonts w:asciiTheme="minorBidi" w:eastAsia="Calibri" w:hAnsiTheme="minorBidi"/>
          <w:sz w:val="24"/>
          <w:szCs w:val="24"/>
        </w:rPr>
        <w:t xml:space="preserve"> habits </w:t>
      </w:r>
      <w:r w:rsidR="00A6668D" w:rsidRPr="008E3DDF">
        <w:rPr>
          <w:rFonts w:asciiTheme="minorBidi" w:eastAsia="Calibri" w:hAnsiTheme="minorBidi"/>
          <w:sz w:val="24"/>
          <w:szCs w:val="24"/>
        </w:rPr>
        <w:t xml:space="preserve">require </w:t>
      </w:r>
      <w:r w:rsidR="00F2098D" w:rsidRPr="008E3DDF">
        <w:rPr>
          <w:rFonts w:asciiTheme="minorBidi" w:eastAsia="Calibri" w:hAnsiTheme="minorBidi"/>
          <w:sz w:val="24"/>
          <w:szCs w:val="24"/>
        </w:rPr>
        <w:t xml:space="preserve">these people to </w:t>
      </w:r>
      <w:r w:rsidR="00312D87">
        <w:rPr>
          <w:rFonts w:asciiTheme="minorBidi" w:eastAsia="Calibri" w:hAnsiTheme="minorBidi"/>
          <w:sz w:val="24"/>
          <w:szCs w:val="24"/>
        </w:rPr>
        <w:t>violate H</w:t>
      </w:r>
      <w:r w:rsidR="00F2098D" w:rsidRPr="008E3DDF">
        <w:rPr>
          <w:rFonts w:asciiTheme="minorBidi" w:eastAsia="Calibri" w:hAnsiTheme="minorBidi"/>
          <w:sz w:val="24"/>
          <w:szCs w:val="24"/>
        </w:rPr>
        <w:t xml:space="preserve">alakha, </w:t>
      </w:r>
      <w:r w:rsidR="00A2492C" w:rsidRPr="008E3DDF">
        <w:rPr>
          <w:rFonts w:asciiTheme="minorBidi" w:eastAsia="Calibri" w:hAnsiTheme="minorBidi"/>
          <w:sz w:val="24"/>
          <w:szCs w:val="24"/>
        </w:rPr>
        <w:t xml:space="preserve">the Rabbis </w:t>
      </w:r>
      <w:r w:rsidR="000B7BBE" w:rsidRPr="008E3DDF">
        <w:rPr>
          <w:rFonts w:asciiTheme="minorBidi" w:eastAsia="Calibri" w:hAnsiTheme="minorBidi"/>
          <w:sz w:val="24"/>
          <w:szCs w:val="24"/>
        </w:rPr>
        <w:t>permit</w:t>
      </w:r>
      <w:r w:rsidR="00A2492C" w:rsidRPr="008E3DDF">
        <w:rPr>
          <w:rFonts w:asciiTheme="minorBidi" w:eastAsia="Calibri" w:hAnsiTheme="minorBidi"/>
          <w:sz w:val="24"/>
          <w:szCs w:val="24"/>
        </w:rPr>
        <w:t xml:space="preserve"> certain leniencies.</w:t>
      </w:r>
      <w:r w:rsidR="0076614F" w:rsidRPr="008E3DDF">
        <w:rPr>
          <w:rStyle w:val="a5"/>
          <w:rFonts w:asciiTheme="minorBidi" w:eastAsia="Calibri" w:hAnsiTheme="minorBidi"/>
          <w:sz w:val="24"/>
          <w:szCs w:val="24"/>
        </w:rPr>
        <w:footnoteReference w:id="2"/>
      </w:r>
    </w:p>
    <w:p w14:paraId="083F6E08" w14:textId="77777777" w:rsidR="00A2492C" w:rsidRPr="008E3DDF" w:rsidRDefault="00A2492C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6B3CAD43" w14:textId="5136A805" w:rsidR="00BA1FE6" w:rsidRPr="008E3DDF" w:rsidRDefault="00A2492C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The</w:t>
      </w:r>
      <w:r w:rsidR="00312D87">
        <w:rPr>
          <w:rFonts w:asciiTheme="minorBidi" w:eastAsia="Calibri" w:hAnsiTheme="minorBidi"/>
          <w:sz w:val="24"/>
          <w:szCs w:val="24"/>
        </w:rPr>
        <w:t xml:space="preserve"> law that most often</w:t>
      </w:r>
      <w:r w:rsidR="00084283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create</w:t>
      </w:r>
      <w:r w:rsidR="00084283">
        <w:rPr>
          <w:rFonts w:asciiTheme="minorBidi" w:eastAsia="Calibri" w:hAnsiTheme="minorBidi"/>
          <w:sz w:val="24"/>
          <w:szCs w:val="24"/>
        </w:rPr>
        <w:t>s</w:t>
      </w:r>
      <w:r w:rsidRPr="008E3DDF">
        <w:rPr>
          <w:rFonts w:asciiTheme="minorBidi" w:eastAsia="Calibri" w:hAnsiTheme="minorBidi"/>
          <w:sz w:val="24"/>
          <w:szCs w:val="24"/>
        </w:rPr>
        <w:t xml:space="preserve"> difficulties for those who </w:t>
      </w:r>
      <w:r w:rsidR="00084283">
        <w:rPr>
          <w:rFonts w:asciiTheme="minorBidi" w:eastAsia="Calibri" w:hAnsiTheme="minorBidi"/>
          <w:sz w:val="24"/>
          <w:szCs w:val="24"/>
        </w:rPr>
        <w:t>a</w:t>
      </w:r>
      <w:r w:rsidRPr="008E3DDF">
        <w:rPr>
          <w:rFonts w:asciiTheme="minorBidi" w:eastAsia="Calibri" w:hAnsiTheme="minorBidi"/>
          <w:sz w:val="24"/>
          <w:szCs w:val="24"/>
        </w:rPr>
        <w:t xml:space="preserve">re </w:t>
      </w:r>
      <w:r w:rsidR="00312D87">
        <w:rPr>
          <w:rFonts w:asciiTheme="minorBidi" w:eastAsia="Calibri" w:hAnsiTheme="minorBidi"/>
          <w:sz w:val="24"/>
          <w:szCs w:val="24"/>
        </w:rPr>
        <w:t>“</w:t>
      </w:r>
      <w:r w:rsidRPr="008E3DDF">
        <w:rPr>
          <w:rFonts w:asciiTheme="minorBidi" w:eastAsia="Calibri" w:hAnsiTheme="minorBidi"/>
          <w:sz w:val="24"/>
          <w:szCs w:val="24"/>
        </w:rPr>
        <w:t>close to the government</w:t>
      </w:r>
      <w:r w:rsidR="00312D87">
        <w:rPr>
          <w:rFonts w:asciiTheme="minorBidi" w:eastAsia="Calibri" w:hAnsiTheme="minorBidi"/>
          <w:sz w:val="24"/>
          <w:szCs w:val="24"/>
        </w:rPr>
        <w:t>” i</w:t>
      </w:r>
      <w:r w:rsidR="00E85237" w:rsidRPr="008E3DDF">
        <w:rPr>
          <w:rFonts w:asciiTheme="minorBidi" w:eastAsia="Calibri" w:hAnsiTheme="minorBidi"/>
          <w:sz w:val="24"/>
          <w:szCs w:val="24"/>
        </w:rPr>
        <w:t xml:space="preserve">s the prohibition mentioned in the Torah: </w:t>
      </w:r>
      <w:r w:rsidR="00312D87">
        <w:rPr>
          <w:rFonts w:asciiTheme="minorBidi" w:eastAsia="Calibri" w:hAnsiTheme="minorBidi"/>
          <w:sz w:val="24"/>
          <w:szCs w:val="24"/>
        </w:rPr>
        <w:t>“</w:t>
      </w:r>
      <w:r w:rsidR="00312D87">
        <w:rPr>
          <w:rFonts w:asciiTheme="minorBidi" w:eastAsia="Calibri" w:hAnsiTheme="minorBidi"/>
          <w:i/>
          <w:iCs/>
          <w:sz w:val="24"/>
          <w:szCs w:val="24"/>
        </w:rPr>
        <w:t>U</w:t>
      </w:r>
      <w:r w:rsidR="008E3DDF" w:rsidRPr="008E3DDF">
        <w:rPr>
          <w:rFonts w:asciiTheme="minorBidi" w:eastAsia="Calibri" w:hAnsiTheme="minorBidi"/>
          <w:i/>
          <w:iCs/>
          <w:sz w:val="24"/>
          <w:szCs w:val="24"/>
        </w:rPr>
        <w:t>-</w:t>
      </w:r>
      <w:r w:rsidR="00E85237" w:rsidRPr="008E3DDF">
        <w:rPr>
          <w:rFonts w:asciiTheme="minorBidi" w:eastAsia="Calibri" w:hAnsiTheme="minorBidi"/>
          <w:i/>
          <w:iCs/>
          <w:sz w:val="24"/>
          <w:szCs w:val="24"/>
        </w:rPr>
        <w:t>v</w:t>
      </w:r>
      <w:r w:rsidR="008E3DDF" w:rsidRPr="008E3DDF">
        <w:rPr>
          <w:rFonts w:asciiTheme="minorBidi" w:eastAsia="Calibri" w:hAnsiTheme="minorBidi"/>
          <w:i/>
          <w:iCs/>
          <w:sz w:val="24"/>
          <w:szCs w:val="24"/>
        </w:rPr>
        <w:t>c</w:t>
      </w:r>
      <w:r w:rsidR="00D473D5">
        <w:rPr>
          <w:rFonts w:asciiTheme="minorBidi" w:eastAsia="Calibri" w:hAnsiTheme="minorBidi"/>
          <w:i/>
          <w:iCs/>
          <w:sz w:val="24"/>
          <w:szCs w:val="24"/>
        </w:rPr>
        <w:t>h</w:t>
      </w:r>
      <w:r w:rsidR="00E85237" w:rsidRPr="008E3DDF">
        <w:rPr>
          <w:rFonts w:asciiTheme="minorBidi" w:eastAsia="Calibri" w:hAnsiTheme="minorBidi"/>
          <w:i/>
          <w:iCs/>
          <w:sz w:val="24"/>
          <w:szCs w:val="24"/>
        </w:rPr>
        <w:t>ukoteihem lo te</w:t>
      </w:r>
      <w:r w:rsidR="008E3DDF" w:rsidRPr="008E3DDF">
        <w:rPr>
          <w:rFonts w:asciiTheme="minorBidi" w:eastAsia="Calibri" w:hAnsiTheme="minorBidi"/>
          <w:i/>
          <w:iCs/>
          <w:sz w:val="24"/>
          <w:szCs w:val="24"/>
        </w:rPr>
        <w:t>ileikhu</w:t>
      </w:r>
      <w:r w:rsidR="00E85237" w:rsidRPr="008E3DDF">
        <w:rPr>
          <w:rFonts w:asciiTheme="minorBidi" w:eastAsia="Calibri" w:hAnsiTheme="minorBidi"/>
          <w:sz w:val="24"/>
          <w:szCs w:val="24"/>
        </w:rPr>
        <w:t>,</w:t>
      </w:r>
      <w:r w:rsidR="00312D87">
        <w:rPr>
          <w:rFonts w:asciiTheme="minorBidi" w:eastAsia="Calibri" w:hAnsiTheme="minorBidi"/>
          <w:sz w:val="24"/>
          <w:szCs w:val="24"/>
        </w:rPr>
        <w:t>”</w:t>
      </w:r>
      <w:r w:rsidR="00E85237" w:rsidRPr="008E3DDF">
        <w:rPr>
          <w:rFonts w:asciiTheme="minorBidi" w:eastAsia="Calibri" w:hAnsiTheme="minorBidi"/>
          <w:sz w:val="24"/>
          <w:szCs w:val="24"/>
        </w:rPr>
        <w:t xml:space="preserve"> “</w:t>
      </w:r>
      <w:r w:rsidR="00312D87">
        <w:rPr>
          <w:rFonts w:asciiTheme="minorBidi" w:eastAsia="Calibri" w:hAnsiTheme="minorBidi"/>
          <w:sz w:val="24"/>
          <w:szCs w:val="24"/>
        </w:rPr>
        <w:t>Y</w:t>
      </w:r>
      <w:r w:rsidR="00E85237" w:rsidRPr="008E3DDF">
        <w:rPr>
          <w:rFonts w:asciiTheme="minorBidi" w:eastAsia="Calibri" w:hAnsiTheme="minorBidi"/>
          <w:sz w:val="24"/>
          <w:szCs w:val="24"/>
        </w:rPr>
        <w:t xml:space="preserve">ou shall not follow their </w:t>
      </w:r>
      <w:r w:rsidR="00D473D5">
        <w:rPr>
          <w:rFonts w:asciiTheme="minorBidi" w:eastAsia="Calibri" w:hAnsiTheme="minorBidi"/>
          <w:sz w:val="24"/>
          <w:szCs w:val="24"/>
        </w:rPr>
        <w:t>practices</w:t>
      </w:r>
      <w:r w:rsidR="00312D87">
        <w:rPr>
          <w:rFonts w:asciiTheme="minorBidi" w:eastAsia="Calibri" w:hAnsiTheme="minorBidi"/>
          <w:sz w:val="24"/>
          <w:szCs w:val="24"/>
        </w:rPr>
        <w:t xml:space="preserve">” </w:t>
      </w:r>
      <w:r w:rsidR="00E85237" w:rsidRPr="008E3DDF">
        <w:rPr>
          <w:rFonts w:asciiTheme="minorBidi" w:eastAsia="Calibri" w:hAnsiTheme="minorBidi"/>
          <w:sz w:val="24"/>
          <w:szCs w:val="24"/>
        </w:rPr>
        <w:t>(</w:t>
      </w:r>
      <w:r w:rsidR="00E85237" w:rsidRPr="008E3DDF">
        <w:rPr>
          <w:rFonts w:asciiTheme="minorBidi" w:eastAsia="Calibri" w:hAnsiTheme="minorBidi"/>
          <w:i/>
          <w:iCs/>
          <w:sz w:val="24"/>
          <w:szCs w:val="24"/>
        </w:rPr>
        <w:t>Vayikra</w:t>
      </w:r>
      <w:r w:rsidR="008E3DDF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E85237" w:rsidRPr="001846EA">
        <w:rPr>
          <w:rFonts w:asciiTheme="minorBidi" w:eastAsia="Calibri" w:hAnsiTheme="minorBidi"/>
          <w:sz w:val="24"/>
          <w:szCs w:val="24"/>
        </w:rPr>
        <w:t>18</w:t>
      </w:r>
      <w:r w:rsidR="00E85237" w:rsidRPr="000B7BBE">
        <w:rPr>
          <w:rFonts w:asciiTheme="minorBidi" w:eastAsia="Calibri" w:hAnsiTheme="minorBidi"/>
          <w:sz w:val="24"/>
          <w:szCs w:val="24"/>
        </w:rPr>
        <w:t>:3).</w:t>
      </w:r>
      <w:r w:rsidR="00E85237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BA1FE6" w:rsidRPr="008E3DDF">
        <w:rPr>
          <w:rFonts w:asciiTheme="minorBidi" w:eastAsia="Calibri" w:hAnsiTheme="minorBidi"/>
          <w:sz w:val="24"/>
          <w:szCs w:val="24"/>
        </w:rPr>
        <w:t xml:space="preserve">This rule </w:t>
      </w:r>
      <w:r w:rsidR="00C22BC5" w:rsidRPr="008E3DDF">
        <w:rPr>
          <w:rFonts w:asciiTheme="minorBidi" w:eastAsia="Calibri" w:hAnsiTheme="minorBidi"/>
          <w:sz w:val="24"/>
          <w:szCs w:val="24"/>
        </w:rPr>
        <w:t xml:space="preserve">forbids one </w:t>
      </w:r>
      <w:r w:rsidR="00F601A0" w:rsidRPr="008E3DDF">
        <w:rPr>
          <w:rFonts w:asciiTheme="minorBidi" w:eastAsia="Calibri" w:hAnsiTheme="minorBidi"/>
          <w:sz w:val="24"/>
          <w:szCs w:val="24"/>
        </w:rPr>
        <w:t>t</w:t>
      </w:r>
      <w:r w:rsidR="00BA1FE6" w:rsidRPr="008E3DDF">
        <w:rPr>
          <w:rFonts w:asciiTheme="minorBidi" w:eastAsia="Calibri" w:hAnsiTheme="minorBidi"/>
          <w:sz w:val="24"/>
          <w:szCs w:val="24"/>
        </w:rPr>
        <w:t xml:space="preserve">o </w:t>
      </w:r>
      <w:r w:rsidR="000B7BBE">
        <w:rPr>
          <w:rFonts w:asciiTheme="minorBidi" w:eastAsia="Calibri" w:hAnsiTheme="minorBidi"/>
          <w:sz w:val="24"/>
          <w:szCs w:val="24"/>
        </w:rPr>
        <w:t>adopt characteristically non-Jewish hairstyles or fashions, labeled “</w:t>
      </w:r>
      <w:r w:rsidR="000B7BBE">
        <w:rPr>
          <w:rFonts w:asciiTheme="minorBidi" w:eastAsia="Calibri" w:hAnsiTheme="minorBidi"/>
          <w:i/>
          <w:iCs/>
          <w:sz w:val="24"/>
          <w:szCs w:val="24"/>
        </w:rPr>
        <w:t>chukot ha-goyim</w:t>
      </w:r>
      <w:r w:rsidR="00D473D5">
        <w:rPr>
          <w:rFonts w:asciiTheme="minorBidi" w:eastAsia="Calibri" w:hAnsiTheme="minorBidi"/>
          <w:i/>
          <w:iCs/>
          <w:sz w:val="24"/>
          <w:szCs w:val="24"/>
        </w:rPr>
        <w:t>,</w:t>
      </w:r>
      <w:r w:rsidR="000B7BBE">
        <w:rPr>
          <w:rFonts w:asciiTheme="minorBidi" w:eastAsia="Calibri" w:hAnsiTheme="minorBidi"/>
          <w:i/>
          <w:iCs/>
          <w:sz w:val="24"/>
          <w:szCs w:val="24"/>
        </w:rPr>
        <w:t>”</w:t>
      </w:r>
      <w:r w:rsidR="00D473D5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D473D5">
        <w:rPr>
          <w:rFonts w:asciiTheme="minorBidi" w:eastAsia="Calibri" w:hAnsiTheme="minorBidi"/>
          <w:sz w:val="24"/>
          <w:szCs w:val="24"/>
        </w:rPr>
        <w:t>“the practices of the nations.”</w:t>
      </w:r>
    </w:p>
    <w:p w14:paraId="2AF685EB" w14:textId="77777777" w:rsidR="00F601A0" w:rsidRPr="008E3DDF" w:rsidRDefault="00F601A0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p w14:paraId="040F3EDD" w14:textId="6C13A26C" w:rsidR="00A2492C" w:rsidRPr="008E3DDF" w:rsidRDefault="00F601A0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T</w:t>
      </w:r>
      <w:r w:rsidR="00E85237" w:rsidRPr="008E3DDF">
        <w:rPr>
          <w:rFonts w:asciiTheme="minorBidi" w:eastAsia="Calibri" w:hAnsiTheme="minorBidi"/>
          <w:sz w:val="24"/>
          <w:szCs w:val="24"/>
        </w:rPr>
        <w:t>he Ramb</w:t>
      </w:r>
      <w:r w:rsidR="00971AD4" w:rsidRPr="008E3DDF">
        <w:rPr>
          <w:rFonts w:asciiTheme="minorBidi" w:eastAsia="Calibri" w:hAnsiTheme="minorBidi"/>
          <w:sz w:val="24"/>
          <w:szCs w:val="24"/>
        </w:rPr>
        <w:t>a</w:t>
      </w:r>
      <w:r w:rsidR="00E85237" w:rsidRPr="008E3DDF">
        <w:rPr>
          <w:rFonts w:asciiTheme="minorBidi" w:eastAsia="Calibri" w:hAnsiTheme="minorBidi"/>
          <w:sz w:val="24"/>
          <w:szCs w:val="24"/>
        </w:rPr>
        <w:t>m</w:t>
      </w:r>
      <w:r w:rsidR="00D473D5">
        <w:rPr>
          <w:rFonts w:asciiTheme="minorBidi" w:eastAsia="Calibri" w:hAnsiTheme="minorBidi"/>
          <w:sz w:val="24"/>
          <w:szCs w:val="24"/>
        </w:rPr>
        <w:t xml:space="preserve"> </w:t>
      </w:r>
      <w:r w:rsidR="00E85237" w:rsidRPr="008E3DDF">
        <w:rPr>
          <w:rFonts w:asciiTheme="minorBidi" w:eastAsia="Calibri" w:hAnsiTheme="minorBidi"/>
          <w:sz w:val="24"/>
          <w:szCs w:val="24"/>
        </w:rPr>
        <w:t>explain</w:t>
      </w:r>
      <w:r w:rsidR="00D473D5">
        <w:rPr>
          <w:rFonts w:asciiTheme="minorBidi" w:eastAsia="Calibri" w:hAnsiTheme="minorBidi"/>
          <w:sz w:val="24"/>
          <w:szCs w:val="24"/>
        </w:rPr>
        <w:t>s</w:t>
      </w:r>
      <w:r w:rsidR="00C22BC5" w:rsidRPr="008E3DDF">
        <w:rPr>
          <w:rFonts w:asciiTheme="minorBidi" w:eastAsia="Calibri" w:hAnsiTheme="minorBidi"/>
          <w:sz w:val="24"/>
          <w:szCs w:val="24"/>
        </w:rPr>
        <w:t xml:space="preserve"> the rationale </w:t>
      </w:r>
      <w:r w:rsidR="00DA5022">
        <w:rPr>
          <w:rFonts w:asciiTheme="minorBidi" w:eastAsia="Calibri" w:hAnsiTheme="minorBidi"/>
          <w:sz w:val="24"/>
          <w:szCs w:val="24"/>
        </w:rPr>
        <w:t>behind the</w:t>
      </w:r>
      <w:r w:rsidR="00C22BC5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8E3DDF">
        <w:rPr>
          <w:rFonts w:asciiTheme="minorBidi" w:eastAsia="Calibri" w:hAnsiTheme="minorBidi"/>
          <w:sz w:val="24"/>
          <w:szCs w:val="24"/>
        </w:rPr>
        <w:t>prohibition</w:t>
      </w:r>
      <w:r w:rsidR="00E85237" w:rsidRPr="008E3DDF">
        <w:rPr>
          <w:rFonts w:asciiTheme="minorBidi" w:eastAsia="Calibri" w:hAnsiTheme="minorBidi"/>
          <w:sz w:val="24"/>
          <w:szCs w:val="24"/>
        </w:rPr>
        <w:t>:</w:t>
      </w:r>
      <w:r w:rsidR="00971AD4" w:rsidRPr="008E3DDF">
        <w:rPr>
          <w:rStyle w:val="a5"/>
          <w:rFonts w:asciiTheme="minorBidi" w:eastAsia="Calibri" w:hAnsiTheme="minorBidi"/>
          <w:sz w:val="24"/>
          <w:szCs w:val="24"/>
        </w:rPr>
        <w:footnoteReference w:id="3"/>
      </w:r>
    </w:p>
    <w:p w14:paraId="57B0FD85" w14:textId="77777777" w:rsidR="00F601A0" w:rsidRPr="008E3DDF" w:rsidRDefault="00971AD4" w:rsidP="00920FE7">
      <w:pPr>
        <w:spacing w:after="0" w:line="240" w:lineRule="auto"/>
        <w:ind w:left="1418" w:firstLine="720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</w:p>
    <w:p w14:paraId="3A3258DE" w14:textId="2D3AB8CF" w:rsidR="00971AD4" w:rsidRPr="008E3DDF" w:rsidRDefault="00312D87" w:rsidP="00920FE7">
      <w:pPr>
        <w:spacing w:after="0" w:line="240" w:lineRule="auto"/>
        <w:ind w:left="1418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>[</w:t>
      </w:r>
      <w:r w:rsidR="00971AD4" w:rsidRPr="008E3DDF">
        <w:rPr>
          <w:rFonts w:asciiTheme="minorBidi" w:eastAsia="Calibri" w:hAnsiTheme="minorBidi"/>
          <w:sz w:val="24"/>
          <w:szCs w:val="24"/>
        </w:rPr>
        <w:t>T</w:t>
      </w:r>
      <w:r w:rsidR="000B7BBE">
        <w:rPr>
          <w:rFonts w:asciiTheme="minorBidi" w:eastAsia="Calibri" w:hAnsiTheme="minorBidi"/>
          <w:sz w:val="24"/>
          <w:szCs w:val="24"/>
        </w:rPr>
        <w:t>he T</w:t>
      </w:r>
      <w:r w:rsidR="00971AD4" w:rsidRPr="008E3DDF">
        <w:rPr>
          <w:rFonts w:asciiTheme="minorBidi" w:eastAsia="Calibri" w:hAnsiTheme="minorBidi"/>
          <w:sz w:val="24"/>
          <w:szCs w:val="24"/>
        </w:rPr>
        <w:t>orah warns</w:t>
      </w:r>
      <w:r>
        <w:rPr>
          <w:rFonts w:asciiTheme="minorBidi" w:eastAsia="Calibri" w:hAnsiTheme="minorBidi"/>
          <w:sz w:val="24"/>
          <w:szCs w:val="24"/>
        </w:rPr>
        <w:t>]</w:t>
      </w:r>
      <w:r w:rsidR="00971AD4" w:rsidRPr="008E3DDF">
        <w:rPr>
          <w:rFonts w:asciiTheme="minorBidi" w:eastAsia="Calibri" w:hAnsiTheme="minorBidi"/>
          <w:sz w:val="24"/>
          <w:szCs w:val="24"/>
        </w:rPr>
        <w:t xml:space="preserve"> us not to try to resemble [the </w:t>
      </w:r>
      <w:r w:rsidR="00BA1FE6" w:rsidRPr="008E3DDF">
        <w:rPr>
          <w:rFonts w:asciiTheme="minorBidi" w:eastAsia="Calibri" w:hAnsiTheme="minorBidi"/>
          <w:sz w:val="24"/>
          <w:szCs w:val="24"/>
        </w:rPr>
        <w:t>non-Jews</w:t>
      </w:r>
      <w:r w:rsidR="00971AD4" w:rsidRPr="008E3DDF">
        <w:rPr>
          <w:rFonts w:asciiTheme="minorBidi" w:eastAsia="Calibri" w:hAnsiTheme="minorBidi"/>
          <w:sz w:val="24"/>
          <w:szCs w:val="24"/>
        </w:rPr>
        <w:t xml:space="preserve">]. Instead, Jews should be </w:t>
      </w:r>
      <w:r w:rsidR="001160AA">
        <w:rPr>
          <w:rFonts w:asciiTheme="minorBidi" w:eastAsia="Calibri" w:hAnsiTheme="minorBidi"/>
          <w:sz w:val="24"/>
          <w:szCs w:val="24"/>
        </w:rPr>
        <w:t>unique</w:t>
      </w:r>
      <w:r w:rsidR="00971AD4" w:rsidRPr="008E3DDF">
        <w:rPr>
          <w:rFonts w:asciiTheme="minorBidi" w:eastAsia="Calibri" w:hAnsiTheme="minorBidi"/>
          <w:sz w:val="24"/>
          <w:szCs w:val="24"/>
        </w:rPr>
        <w:t xml:space="preserve"> and distinct in their dress and in their deeds, as they are in their ideals and character traits. </w:t>
      </w:r>
    </w:p>
    <w:p w14:paraId="39FF1D13" w14:textId="77777777" w:rsidR="00F93E08" w:rsidRPr="008E3DDF" w:rsidRDefault="00F93E08" w:rsidP="00920FE7">
      <w:pPr>
        <w:spacing w:after="0" w:line="240" w:lineRule="auto"/>
        <w:ind w:left="1418"/>
        <w:jc w:val="both"/>
        <w:rPr>
          <w:rFonts w:asciiTheme="minorBidi" w:eastAsia="Calibri" w:hAnsiTheme="minorBidi"/>
          <w:sz w:val="24"/>
          <w:szCs w:val="24"/>
        </w:rPr>
      </w:pPr>
    </w:p>
    <w:p w14:paraId="6B094B0C" w14:textId="7D596565" w:rsidR="00A2492C" w:rsidRDefault="00A2492C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Rav Yosef Karo, basing himself on the Gemara</w:t>
      </w:r>
      <w:r w:rsidR="00312D87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rules that</w:t>
      </w:r>
      <w:r w:rsidR="00F93E08" w:rsidRPr="008E3DDF">
        <w:rPr>
          <w:rFonts w:asciiTheme="minorBidi" w:eastAsia="Calibri" w:hAnsiTheme="minorBidi"/>
          <w:sz w:val="24"/>
          <w:szCs w:val="24"/>
        </w:rPr>
        <w:t xml:space="preserve"> those who are </w:t>
      </w:r>
      <w:r w:rsidR="00F93E08" w:rsidRPr="008E3DDF">
        <w:rPr>
          <w:rFonts w:asciiTheme="minorBidi" w:eastAsia="Calibri" w:hAnsiTheme="minorBidi"/>
          <w:i/>
          <w:iCs/>
          <w:sz w:val="24"/>
          <w:szCs w:val="24"/>
        </w:rPr>
        <w:t>kar</w:t>
      </w:r>
      <w:r w:rsidR="008E3DDF">
        <w:rPr>
          <w:rFonts w:asciiTheme="minorBidi" w:eastAsia="Calibri" w:hAnsiTheme="minorBidi"/>
          <w:i/>
          <w:iCs/>
          <w:sz w:val="24"/>
          <w:szCs w:val="24"/>
        </w:rPr>
        <w:t>o</w:t>
      </w:r>
      <w:r w:rsidR="00F93E08" w:rsidRPr="008E3DDF">
        <w:rPr>
          <w:rFonts w:asciiTheme="minorBidi" w:eastAsia="Calibri" w:hAnsiTheme="minorBidi"/>
          <w:i/>
          <w:iCs/>
          <w:sz w:val="24"/>
          <w:szCs w:val="24"/>
        </w:rPr>
        <w:t>v la</w:t>
      </w:r>
      <w:r w:rsidR="00875346" w:rsidRPr="008E3DDF">
        <w:rPr>
          <w:rFonts w:asciiTheme="minorBidi" w:eastAsia="Calibri" w:hAnsiTheme="minorBidi"/>
          <w:i/>
          <w:iCs/>
          <w:sz w:val="24"/>
          <w:szCs w:val="24"/>
        </w:rPr>
        <w:t>-</w:t>
      </w:r>
      <w:r w:rsidR="00F93E08" w:rsidRPr="008E3DDF">
        <w:rPr>
          <w:rFonts w:asciiTheme="minorBidi" w:eastAsia="Calibri" w:hAnsiTheme="minorBidi"/>
          <w:i/>
          <w:iCs/>
          <w:sz w:val="24"/>
          <w:szCs w:val="24"/>
        </w:rPr>
        <w:t>mal</w:t>
      </w:r>
      <w:r w:rsidR="00B2746E" w:rsidRPr="008E3DDF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F93E08" w:rsidRPr="008E3DDF">
        <w:rPr>
          <w:rFonts w:asciiTheme="minorBidi" w:eastAsia="Calibri" w:hAnsiTheme="minorBidi"/>
          <w:i/>
          <w:iCs/>
          <w:sz w:val="24"/>
          <w:szCs w:val="24"/>
        </w:rPr>
        <w:t>hut</w:t>
      </w:r>
      <w:r w:rsidR="00F93E08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F46DF" w:rsidRPr="008E3DDF">
        <w:rPr>
          <w:rFonts w:asciiTheme="minorBidi" w:eastAsia="Calibri" w:hAnsiTheme="minorBidi"/>
          <w:sz w:val="24"/>
          <w:szCs w:val="24"/>
        </w:rPr>
        <w:t xml:space="preserve">and </w:t>
      </w:r>
      <w:r w:rsidR="00312D87">
        <w:rPr>
          <w:rFonts w:asciiTheme="minorBidi" w:eastAsia="Calibri" w:hAnsiTheme="minorBidi"/>
          <w:sz w:val="24"/>
          <w:szCs w:val="24"/>
        </w:rPr>
        <w:t xml:space="preserve">thus are </w:t>
      </w:r>
      <w:r w:rsidR="00EF46DF" w:rsidRPr="008E3DDF">
        <w:rPr>
          <w:rFonts w:asciiTheme="minorBidi" w:eastAsia="Calibri" w:hAnsiTheme="minorBidi"/>
          <w:sz w:val="24"/>
          <w:szCs w:val="24"/>
        </w:rPr>
        <w:t>require</w:t>
      </w:r>
      <w:r w:rsidR="00312D87">
        <w:rPr>
          <w:rFonts w:asciiTheme="minorBidi" w:eastAsia="Calibri" w:hAnsiTheme="minorBidi"/>
          <w:sz w:val="24"/>
          <w:szCs w:val="24"/>
        </w:rPr>
        <w:t>d to</w:t>
      </w:r>
      <w:r w:rsidR="00EF46DF" w:rsidRPr="008E3DDF">
        <w:rPr>
          <w:rFonts w:asciiTheme="minorBidi" w:eastAsia="Calibri" w:hAnsiTheme="minorBidi"/>
          <w:sz w:val="24"/>
          <w:szCs w:val="24"/>
        </w:rPr>
        <w:t xml:space="preserve"> wear</w:t>
      </w:r>
      <w:r w:rsidR="00312D87">
        <w:rPr>
          <w:rFonts w:asciiTheme="minorBidi" w:eastAsia="Calibri" w:hAnsiTheme="minorBidi"/>
          <w:sz w:val="24"/>
          <w:szCs w:val="24"/>
        </w:rPr>
        <w:t xml:space="preserve"> non-</w:t>
      </w:r>
      <w:r w:rsidR="000B7BBE">
        <w:rPr>
          <w:rFonts w:asciiTheme="minorBidi" w:eastAsia="Calibri" w:hAnsiTheme="minorBidi"/>
          <w:sz w:val="24"/>
          <w:szCs w:val="24"/>
        </w:rPr>
        <w:t>Jewish</w:t>
      </w:r>
      <w:r w:rsidR="00312D87">
        <w:rPr>
          <w:rFonts w:asciiTheme="minorBidi" w:eastAsia="Calibri" w:hAnsiTheme="minorBidi"/>
          <w:sz w:val="24"/>
          <w:szCs w:val="24"/>
        </w:rPr>
        <w:t xml:space="preserve"> clothing</w:t>
      </w:r>
      <w:r w:rsidR="00EF46DF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F93E08" w:rsidRPr="008E3DDF">
        <w:rPr>
          <w:rFonts w:asciiTheme="minorBidi" w:eastAsia="Calibri" w:hAnsiTheme="minorBidi"/>
          <w:sz w:val="24"/>
          <w:szCs w:val="24"/>
        </w:rPr>
        <w:t>are permitted</w:t>
      </w:r>
      <w:r w:rsidR="00EF46DF" w:rsidRPr="008E3DDF">
        <w:rPr>
          <w:rFonts w:asciiTheme="minorBidi" w:eastAsia="Calibri" w:hAnsiTheme="minorBidi"/>
          <w:sz w:val="24"/>
          <w:szCs w:val="24"/>
        </w:rPr>
        <w:t xml:space="preserve"> to do so.</w:t>
      </w:r>
      <w:r w:rsidR="00EF46DF" w:rsidRPr="008E3DDF">
        <w:rPr>
          <w:rStyle w:val="a5"/>
          <w:rFonts w:asciiTheme="minorBidi" w:eastAsia="Calibri" w:hAnsiTheme="minorBidi"/>
          <w:sz w:val="24"/>
          <w:szCs w:val="24"/>
        </w:rPr>
        <w:footnoteReference w:id="4"/>
      </w:r>
    </w:p>
    <w:p w14:paraId="05E12B45" w14:textId="77777777" w:rsidR="00312D87" w:rsidRPr="008E3DDF" w:rsidRDefault="00312D87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33076FD7" w14:textId="2B35A907" w:rsidR="00D25BED" w:rsidRPr="008E3DDF" w:rsidRDefault="00A23F1C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However, he </w:t>
      </w:r>
      <w:r w:rsidR="00D473D5">
        <w:rPr>
          <w:rFonts w:asciiTheme="minorBidi" w:eastAsia="Calibri" w:hAnsiTheme="minorBidi"/>
          <w:sz w:val="24"/>
          <w:szCs w:val="24"/>
        </w:rPr>
        <w:t>is troubled by this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="00D473D5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D473D5">
        <w:rPr>
          <w:rFonts w:asciiTheme="minorBidi" w:eastAsia="Calibri" w:hAnsiTheme="minorBidi"/>
          <w:sz w:val="24"/>
          <w:szCs w:val="24"/>
        </w:rPr>
        <w:t>(allowance)</w:t>
      </w:r>
      <w:r w:rsidR="00DA5022">
        <w:rPr>
          <w:rFonts w:asciiTheme="minorBidi" w:eastAsia="Calibri" w:hAnsiTheme="minorBidi"/>
          <w:sz w:val="24"/>
          <w:szCs w:val="24"/>
        </w:rPr>
        <w:t>.</w:t>
      </w:r>
      <w:r w:rsidR="007A7D17">
        <w:rPr>
          <w:rFonts w:asciiTheme="minorBidi" w:eastAsia="Calibri" w:hAnsiTheme="minorBidi"/>
          <w:sz w:val="24"/>
          <w:szCs w:val="24"/>
        </w:rPr>
        <w:t xml:space="preserve"> </w:t>
      </w:r>
      <w:r w:rsidR="00DA5022">
        <w:rPr>
          <w:rFonts w:asciiTheme="minorBidi" w:eastAsia="Calibri" w:hAnsiTheme="minorBidi"/>
          <w:sz w:val="24"/>
          <w:szCs w:val="24"/>
        </w:rPr>
        <w:t>H</w:t>
      </w:r>
      <w:r w:rsidR="00D473D5">
        <w:rPr>
          <w:rFonts w:asciiTheme="minorBidi" w:eastAsia="Calibri" w:hAnsiTheme="minorBidi"/>
          <w:sz w:val="24"/>
          <w:szCs w:val="24"/>
        </w:rPr>
        <w:t>o</w:t>
      </w:r>
      <w:r w:rsidRPr="008E3DDF">
        <w:rPr>
          <w:rFonts w:asciiTheme="minorBidi" w:eastAsia="Calibri" w:hAnsiTheme="minorBidi"/>
          <w:sz w:val="24"/>
          <w:szCs w:val="24"/>
        </w:rPr>
        <w:t>w can the Rabbis permit people to violate a biblical prohibition?</w:t>
      </w:r>
    </w:p>
    <w:p w14:paraId="65C3AE8C" w14:textId="77777777" w:rsidR="00312D87" w:rsidRDefault="00312D87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6456E0F7" w14:textId="6BA9A249" w:rsidR="00D60F39" w:rsidRPr="008E3DDF" w:rsidRDefault="00D60F39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He gives two answers:</w:t>
      </w:r>
    </w:p>
    <w:p w14:paraId="1582B3A8" w14:textId="77777777" w:rsidR="00D60F39" w:rsidRPr="008E3DDF" w:rsidRDefault="00D60F39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72B91B75" w14:textId="42FFA55C" w:rsidR="00D60F39" w:rsidRDefault="00D60F39" w:rsidP="00920F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For the sake of saving the Jewish people, </w:t>
      </w:r>
      <w:r w:rsidR="00312D87">
        <w:rPr>
          <w:rFonts w:asciiTheme="minorBidi" w:eastAsia="Calibri" w:hAnsiTheme="minorBidi"/>
          <w:sz w:val="24"/>
          <w:szCs w:val="24"/>
        </w:rPr>
        <w:t xml:space="preserve">the </w:t>
      </w:r>
      <w:r w:rsidR="000B7BBE">
        <w:rPr>
          <w:rFonts w:asciiTheme="minorBidi" w:eastAsia="Calibri" w:hAnsiTheme="minorBidi"/>
          <w:sz w:val="24"/>
          <w:szCs w:val="24"/>
        </w:rPr>
        <w:t>prohibition</w:t>
      </w:r>
      <w:r w:rsidR="00312D87">
        <w:rPr>
          <w:rFonts w:asciiTheme="minorBidi" w:eastAsia="Calibri" w:hAnsiTheme="minorBidi"/>
          <w:sz w:val="24"/>
          <w:szCs w:val="24"/>
        </w:rPr>
        <w:t xml:space="preserve"> may be waived</w:t>
      </w:r>
      <w:r w:rsidR="00DA5022">
        <w:rPr>
          <w:rFonts w:asciiTheme="minorBidi" w:eastAsia="Calibri" w:hAnsiTheme="minorBidi"/>
          <w:sz w:val="24"/>
          <w:szCs w:val="24"/>
        </w:rPr>
        <w:t>.</w:t>
      </w:r>
      <w:r w:rsidR="00312D87">
        <w:rPr>
          <w:rFonts w:asciiTheme="minorBidi" w:eastAsia="Calibri" w:hAnsiTheme="minorBidi"/>
          <w:sz w:val="24"/>
          <w:szCs w:val="24"/>
        </w:rPr>
        <w:t xml:space="preserve"> </w:t>
      </w:r>
      <w:r w:rsidR="00DA5022">
        <w:rPr>
          <w:rFonts w:asciiTheme="minorBidi" w:eastAsia="Calibri" w:hAnsiTheme="minorBidi"/>
          <w:sz w:val="24"/>
          <w:szCs w:val="24"/>
        </w:rPr>
        <w:t>W</w:t>
      </w:r>
      <w:r w:rsidRPr="008E3DDF">
        <w:rPr>
          <w:rFonts w:asciiTheme="minorBidi" w:eastAsia="Calibri" w:hAnsiTheme="minorBidi"/>
          <w:sz w:val="24"/>
          <w:szCs w:val="24"/>
        </w:rPr>
        <w:t xml:space="preserve">hen there are Jews in government standing in the breach, </w:t>
      </w:r>
      <w:r w:rsidR="00DA5022">
        <w:rPr>
          <w:rFonts w:asciiTheme="minorBidi" w:eastAsia="Calibri" w:hAnsiTheme="minorBidi"/>
          <w:sz w:val="24"/>
          <w:szCs w:val="24"/>
        </w:rPr>
        <w:t xml:space="preserve">the may be able to annul </w:t>
      </w:r>
      <w:r w:rsidRPr="008E3DDF">
        <w:rPr>
          <w:rFonts w:asciiTheme="minorBidi" w:eastAsia="Calibri" w:hAnsiTheme="minorBidi"/>
          <w:sz w:val="24"/>
          <w:szCs w:val="24"/>
        </w:rPr>
        <w:t>evil decrees.</w:t>
      </w:r>
    </w:p>
    <w:p w14:paraId="576E574E" w14:textId="77777777" w:rsidR="00312D87" w:rsidRPr="008E3DDF" w:rsidRDefault="00312D87" w:rsidP="00920FE7">
      <w:pPr>
        <w:pStyle w:val="a6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460CB82" w14:textId="3FE7A5B1" w:rsidR="007156C8" w:rsidRPr="008E3DDF" w:rsidRDefault="007156C8" w:rsidP="00920F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The Torah </w:t>
      </w:r>
      <w:r w:rsidR="007433DE" w:rsidRPr="008E3DDF">
        <w:rPr>
          <w:rFonts w:asciiTheme="minorBidi" w:eastAsia="Calibri" w:hAnsiTheme="minorBidi"/>
          <w:sz w:val="24"/>
          <w:szCs w:val="24"/>
        </w:rPr>
        <w:t xml:space="preserve">is </w:t>
      </w:r>
      <w:r w:rsidRPr="008E3DDF">
        <w:rPr>
          <w:rFonts w:asciiTheme="minorBidi" w:eastAsia="Calibri" w:hAnsiTheme="minorBidi"/>
          <w:sz w:val="24"/>
          <w:szCs w:val="24"/>
        </w:rPr>
        <w:t>not very clear about what is included in the</w:t>
      </w:r>
      <w:r w:rsidR="008E3DDF">
        <w:rPr>
          <w:rFonts w:asciiTheme="minorBidi" w:eastAsia="Calibri" w:hAnsiTheme="minorBidi"/>
          <w:sz w:val="24"/>
          <w:szCs w:val="24"/>
        </w:rPr>
        <w:t xml:space="preserve"> prohibition </w:t>
      </w:r>
      <w:r w:rsidR="00312D87">
        <w:rPr>
          <w:rFonts w:asciiTheme="minorBidi" w:eastAsia="Calibri" w:hAnsiTheme="minorBidi"/>
          <w:sz w:val="24"/>
          <w:szCs w:val="24"/>
        </w:rPr>
        <w:t>“</w:t>
      </w:r>
      <w:r w:rsidR="00312D87">
        <w:rPr>
          <w:rFonts w:asciiTheme="minorBidi" w:eastAsia="Calibri" w:hAnsiTheme="minorBidi"/>
          <w:i/>
          <w:iCs/>
          <w:sz w:val="24"/>
          <w:szCs w:val="24"/>
        </w:rPr>
        <w:t>U</w:t>
      </w:r>
      <w:r w:rsidR="008E3DDF" w:rsidRPr="00916C51">
        <w:rPr>
          <w:rFonts w:asciiTheme="minorBidi" w:eastAsia="Calibri" w:hAnsiTheme="minorBidi"/>
          <w:i/>
          <w:iCs/>
          <w:sz w:val="24"/>
          <w:szCs w:val="24"/>
        </w:rPr>
        <w:t>-vc</w:t>
      </w:r>
      <w:r w:rsidR="00D473D5">
        <w:rPr>
          <w:rFonts w:asciiTheme="minorBidi" w:eastAsia="Calibri" w:hAnsiTheme="minorBidi"/>
          <w:i/>
          <w:iCs/>
          <w:sz w:val="24"/>
          <w:szCs w:val="24"/>
        </w:rPr>
        <w:t>h</w:t>
      </w:r>
      <w:r w:rsidR="008E3DDF" w:rsidRPr="00916C51">
        <w:rPr>
          <w:rFonts w:asciiTheme="minorBidi" w:eastAsia="Calibri" w:hAnsiTheme="minorBidi"/>
          <w:i/>
          <w:iCs/>
          <w:sz w:val="24"/>
          <w:szCs w:val="24"/>
        </w:rPr>
        <w:t>ukoteihem lo teileikhu</w:t>
      </w:r>
      <w:r w:rsidRPr="008E3DDF">
        <w:rPr>
          <w:rFonts w:asciiTheme="minorBidi" w:eastAsia="Calibri" w:hAnsiTheme="minorBidi"/>
          <w:sz w:val="24"/>
          <w:szCs w:val="24"/>
        </w:rPr>
        <w:t>.</w:t>
      </w:r>
      <w:r w:rsidR="00312D87">
        <w:rPr>
          <w:rFonts w:asciiTheme="minorBidi" w:eastAsia="Calibri" w:hAnsiTheme="minorBidi"/>
          <w:sz w:val="24"/>
          <w:szCs w:val="24"/>
        </w:rPr>
        <w:t>”</w:t>
      </w:r>
      <w:r w:rsidRPr="008E3DDF">
        <w:rPr>
          <w:rFonts w:asciiTheme="minorBidi" w:eastAsia="Calibri" w:hAnsiTheme="minorBidi"/>
          <w:sz w:val="24"/>
          <w:szCs w:val="24"/>
        </w:rPr>
        <w:t xml:space="preserve"> Therefore,</w:t>
      </w:r>
      <w:r w:rsidR="007433DE" w:rsidRPr="008E3DDF">
        <w:rPr>
          <w:rFonts w:asciiTheme="minorBidi" w:eastAsia="Calibri" w:hAnsiTheme="minorBidi"/>
          <w:sz w:val="24"/>
          <w:szCs w:val="24"/>
        </w:rPr>
        <w:t xml:space="preserve"> the matter is given over to the </w:t>
      </w:r>
      <w:r w:rsidR="00312D87">
        <w:rPr>
          <w:rFonts w:asciiTheme="minorBidi" w:eastAsia="Calibri" w:hAnsiTheme="minorBidi"/>
          <w:sz w:val="24"/>
          <w:szCs w:val="24"/>
        </w:rPr>
        <w:t>R</w:t>
      </w:r>
      <w:r w:rsidR="007433DE" w:rsidRPr="008E3DDF">
        <w:rPr>
          <w:rFonts w:asciiTheme="minorBidi" w:eastAsia="Calibri" w:hAnsiTheme="minorBidi"/>
          <w:sz w:val="24"/>
          <w:szCs w:val="24"/>
        </w:rPr>
        <w:t>abbis to decide when and where it applies</w:t>
      </w:r>
      <w:r w:rsidRPr="008E3DDF">
        <w:rPr>
          <w:rFonts w:asciiTheme="minorBidi" w:eastAsia="Calibri" w:hAnsiTheme="minorBidi"/>
          <w:sz w:val="24"/>
          <w:szCs w:val="24"/>
        </w:rPr>
        <w:t>.</w:t>
      </w:r>
    </w:p>
    <w:p w14:paraId="3F52AB6F" w14:textId="77777777" w:rsidR="00DF2AE4" w:rsidRPr="008E3DDF" w:rsidRDefault="00DF2AE4" w:rsidP="00920FE7">
      <w:pPr>
        <w:spacing w:after="0" w:line="240" w:lineRule="auto"/>
        <w:ind w:left="360"/>
        <w:jc w:val="both"/>
        <w:rPr>
          <w:rFonts w:asciiTheme="minorBidi" w:eastAsia="Calibri" w:hAnsiTheme="minorBidi"/>
          <w:sz w:val="24"/>
          <w:szCs w:val="24"/>
        </w:rPr>
      </w:pPr>
    </w:p>
    <w:p w14:paraId="515ADBA6" w14:textId="79D0C678" w:rsidR="007156C8" w:rsidRDefault="007156C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There m</w:t>
      </w:r>
      <w:r w:rsidR="00D473D5">
        <w:rPr>
          <w:rFonts w:asciiTheme="minorBidi" w:eastAsia="Calibri" w:hAnsiTheme="minorBidi"/>
          <w:sz w:val="24"/>
          <w:szCs w:val="24"/>
        </w:rPr>
        <w:t>ay</w:t>
      </w:r>
      <w:r w:rsidRPr="008E3DDF">
        <w:rPr>
          <w:rFonts w:asciiTheme="minorBidi" w:eastAsia="Calibri" w:hAnsiTheme="minorBidi"/>
          <w:sz w:val="24"/>
          <w:szCs w:val="24"/>
        </w:rPr>
        <w:t xml:space="preserve"> be a practical difference between </w:t>
      </w:r>
      <w:r w:rsidR="00D473D5">
        <w:rPr>
          <w:rFonts w:asciiTheme="minorBidi" w:eastAsia="Calibri" w:hAnsiTheme="minorBidi"/>
          <w:sz w:val="24"/>
          <w:szCs w:val="24"/>
        </w:rPr>
        <w:t>these</w:t>
      </w:r>
      <w:r w:rsidRPr="008E3DDF">
        <w:rPr>
          <w:rFonts w:asciiTheme="minorBidi" w:eastAsia="Calibri" w:hAnsiTheme="minorBidi"/>
          <w:sz w:val="24"/>
          <w:szCs w:val="24"/>
        </w:rPr>
        <w:t xml:space="preserve"> explanations regarding other </w:t>
      </w:r>
      <w:r w:rsidR="00D473D5">
        <w:rPr>
          <w:rFonts w:asciiTheme="minorBidi" w:eastAsia="Calibri" w:hAnsiTheme="minorBidi"/>
          <w:sz w:val="24"/>
          <w:szCs w:val="24"/>
        </w:rPr>
        <w:t xml:space="preserve">prohibitions which are </w:t>
      </w:r>
      <w:r w:rsidR="001160AA">
        <w:rPr>
          <w:rFonts w:asciiTheme="minorBidi" w:eastAsia="Calibri" w:hAnsiTheme="minorBidi"/>
          <w:sz w:val="24"/>
          <w:szCs w:val="24"/>
        </w:rPr>
        <w:t>waived</w:t>
      </w:r>
      <w:r w:rsidR="00D473D5">
        <w:rPr>
          <w:rFonts w:asciiTheme="minorBidi" w:eastAsia="Calibri" w:hAnsiTheme="minorBidi"/>
          <w:sz w:val="24"/>
          <w:szCs w:val="24"/>
        </w:rPr>
        <w:t xml:space="preserve"> for</w:t>
      </w:r>
      <w:r w:rsidRPr="008E3DDF">
        <w:rPr>
          <w:rFonts w:asciiTheme="minorBidi" w:eastAsia="Calibri" w:hAnsiTheme="minorBidi"/>
          <w:sz w:val="24"/>
          <w:szCs w:val="24"/>
        </w:rPr>
        <w:t xml:space="preserve"> those who are close </w:t>
      </w:r>
      <w:r w:rsidR="00DF2AE4" w:rsidRPr="008E3DDF">
        <w:rPr>
          <w:rFonts w:asciiTheme="minorBidi" w:eastAsia="Calibri" w:hAnsiTheme="minorBidi"/>
          <w:sz w:val="24"/>
          <w:szCs w:val="24"/>
        </w:rPr>
        <w:t>to the government</w:t>
      </w:r>
      <w:r w:rsidRPr="008E3DDF">
        <w:rPr>
          <w:rFonts w:asciiTheme="minorBidi" w:eastAsia="Calibri" w:hAnsiTheme="minorBidi"/>
          <w:sz w:val="24"/>
          <w:szCs w:val="24"/>
        </w:rPr>
        <w:t xml:space="preserve">. According to the first </w:t>
      </w:r>
      <w:r w:rsidR="00DF2AE4" w:rsidRPr="008E3DDF">
        <w:rPr>
          <w:rFonts w:asciiTheme="minorBidi" w:eastAsia="Calibri" w:hAnsiTheme="minorBidi"/>
          <w:sz w:val="24"/>
          <w:szCs w:val="24"/>
        </w:rPr>
        <w:t>reason</w:t>
      </w:r>
      <w:r w:rsidR="00D473D5">
        <w:rPr>
          <w:rFonts w:asciiTheme="minorBidi" w:eastAsia="Calibri" w:hAnsiTheme="minorBidi"/>
          <w:sz w:val="24"/>
          <w:szCs w:val="24"/>
        </w:rPr>
        <w:t>,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which is based mostly on</w:t>
      </w:r>
      <w:r w:rsidR="00D473D5">
        <w:rPr>
          <w:rFonts w:asciiTheme="minorBidi" w:eastAsia="Calibri" w:hAnsiTheme="minorBidi"/>
          <w:sz w:val="24"/>
          <w:szCs w:val="24"/>
        </w:rPr>
        <w:t xml:space="preserve"> the consideration of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DF2AE4" w:rsidRPr="008E3DDF">
        <w:rPr>
          <w:rFonts w:asciiTheme="minorBidi" w:eastAsia="Calibri" w:hAnsiTheme="minorBidi"/>
          <w:i/>
          <w:iCs/>
          <w:sz w:val="24"/>
          <w:szCs w:val="24"/>
        </w:rPr>
        <w:t>pikuach nefesh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, </w:t>
      </w:r>
      <w:r w:rsidR="00D473D5">
        <w:rPr>
          <w:rFonts w:asciiTheme="minorBidi" w:eastAsia="Calibri" w:hAnsiTheme="minorBidi"/>
          <w:sz w:val="24"/>
          <w:szCs w:val="24"/>
        </w:rPr>
        <w:t xml:space="preserve">preserving a life, 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it is possible to </w:t>
      </w:r>
      <w:r w:rsidR="00312D87">
        <w:rPr>
          <w:rFonts w:asciiTheme="minorBidi" w:eastAsia="Calibri" w:hAnsiTheme="minorBidi"/>
          <w:sz w:val="24"/>
          <w:szCs w:val="24"/>
        </w:rPr>
        <w:t>waive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other prohibitions. However, according to the second explanation</w:t>
      </w:r>
      <w:r w:rsidR="00D473D5">
        <w:rPr>
          <w:rFonts w:asciiTheme="minorBidi" w:eastAsia="Calibri" w:hAnsiTheme="minorBidi"/>
          <w:sz w:val="24"/>
          <w:szCs w:val="24"/>
        </w:rPr>
        <w:t>,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this </w:t>
      </w:r>
      <w:r w:rsidR="00DF2AE4"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D473D5">
        <w:rPr>
          <w:rFonts w:asciiTheme="minorBidi" w:eastAsia="Calibri" w:hAnsiTheme="minorBidi"/>
          <w:sz w:val="24"/>
          <w:szCs w:val="24"/>
        </w:rPr>
        <w:t>seems to</w:t>
      </w:r>
      <w:r w:rsidR="00DF2AE4" w:rsidRPr="008E3DDF">
        <w:rPr>
          <w:rFonts w:asciiTheme="minorBidi" w:eastAsia="Calibri" w:hAnsiTheme="minorBidi"/>
          <w:sz w:val="24"/>
          <w:szCs w:val="24"/>
        </w:rPr>
        <w:t xml:space="preserve"> be limited to </w:t>
      </w:r>
      <w:r w:rsidR="00DF2AE4" w:rsidRPr="008E3DDF">
        <w:rPr>
          <w:rFonts w:asciiTheme="minorBidi" w:eastAsia="Calibri" w:hAnsiTheme="minorBidi"/>
          <w:i/>
          <w:iCs/>
          <w:sz w:val="24"/>
          <w:szCs w:val="24"/>
        </w:rPr>
        <w:t>chukot ha-goyim</w:t>
      </w:r>
      <w:r w:rsidR="00DF2AE4" w:rsidRPr="008E3DDF">
        <w:rPr>
          <w:rFonts w:asciiTheme="minorBidi" w:eastAsia="Calibri" w:hAnsiTheme="minorBidi"/>
          <w:sz w:val="24"/>
          <w:szCs w:val="24"/>
        </w:rPr>
        <w:t>.</w:t>
      </w:r>
    </w:p>
    <w:p w14:paraId="37576E3A" w14:textId="77777777" w:rsidR="00312D87" w:rsidRPr="008E3DDF" w:rsidRDefault="00312D87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1228A7E2" w14:textId="2C7EED11" w:rsidR="00B7188D" w:rsidRPr="008E3DDF" w:rsidRDefault="00DF2AE4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Rav Shimon ben </w:t>
      </w:r>
      <w:r w:rsidR="008E3DDF">
        <w:rPr>
          <w:rFonts w:asciiTheme="minorBidi" w:eastAsia="Calibri" w:hAnsiTheme="minorBidi"/>
          <w:sz w:val="24"/>
          <w:szCs w:val="24"/>
        </w:rPr>
        <w:t>Tz</w:t>
      </w:r>
      <w:r w:rsidRPr="008E3DDF">
        <w:rPr>
          <w:rFonts w:asciiTheme="minorBidi" w:eastAsia="Calibri" w:hAnsiTheme="minorBidi"/>
          <w:sz w:val="24"/>
          <w:szCs w:val="24"/>
        </w:rPr>
        <w:t>ema</w:t>
      </w:r>
      <w:r w:rsidR="008E3DDF">
        <w:rPr>
          <w:rFonts w:asciiTheme="minorBidi" w:eastAsia="Calibri" w:hAnsiTheme="minorBidi"/>
          <w:sz w:val="24"/>
          <w:szCs w:val="24"/>
        </w:rPr>
        <w:t>c</w:t>
      </w:r>
      <w:r w:rsidRPr="008E3DDF">
        <w:rPr>
          <w:rFonts w:asciiTheme="minorBidi" w:eastAsia="Calibri" w:hAnsiTheme="minorBidi"/>
          <w:sz w:val="24"/>
          <w:szCs w:val="24"/>
        </w:rPr>
        <w:t xml:space="preserve">h </w:t>
      </w:r>
      <w:r w:rsidR="00902A00" w:rsidRPr="008E3DDF">
        <w:rPr>
          <w:rFonts w:asciiTheme="minorBidi" w:eastAsia="Calibri" w:hAnsiTheme="minorBidi"/>
          <w:sz w:val="24"/>
          <w:szCs w:val="24"/>
        </w:rPr>
        <w:t>Duran (</w:t>
      </w:r>
      <w:r w:rsidRPr="008E3DDF">
        <w:rPr>
          <w:rFonts w:asciiTheme="minorBidi" w:eastAsia="Calibri" w:hAnsiTheme="minorBidi"/>
          <w:sz w:val="24"/>
          <w:szCs w:val="24"/>
        </w:rPr>
        <w:t>1361–1444</w:t>
      </w:r>
      <w:r w:rsidR="00902A00" w:rsidRPr="008E3DDF">
        <w:rPr>
          <w:rFonts w:asciiTheme="minorBidi" w:eastAsia="Calibri" w:hAnsiTheme="minorBidi"/>
          <w:sz w:val="24"/>
          <w:szCs w:val="24"/>
        </w:rPr>
        <w:t>) offers a very different explanation. According to him</w:t>
      </w:r>
      <w:r w:rsidR="00D473D5">
        <w:rPr>
          <w:rFonts w:asciiTheme="minorBidi" w:eastAsia="Calibri" w:hAnsiTheme="minorBidi"/>
          <w:sz w:val="24"/>
          <w:szCs w:val="24"/>
        </w:rPr>
        <w:t>,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 the entire </w:t>
      </w:r>
      <w:r w:rsidR="00902A00"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 is based on </w:t>
      </w:r>
      <w:r w:rsidR="00902A00" w:rsidRPr="008E3DDF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0B7BBE">
        <w:rPr>
          <w:rFonts w:asciiTheme="minorBidi" w:eastAsia="Calibri" w:hAnsiTheme="minorBidi"/>
          <w:i/>
          <w:iCs/>
          <w:sz w:val="24"/>
          <w:szCs w:val="24"/>
        </w:rPr>
        <w:t>e</w:t>
      </w:r>
      <w:r w:rsidR="00902A00" w:rsidRPr="008E3DDF">
        <w:rPr>
          <w:rFonts w:asciiTheme="minorBidi" w:eastAsia="Calibri" w:hAnsiTheme="minorBidi"/>
          <w:i/>
          <w:iCs/>
          <w:sz w:val="24"/>
          <w:szCs w:val="24"/>
        </w:rPr>
        <w:t>vod ha-mal</w:t>
      </w:r>
      <w:r w:rsidR="00B2746E" w:rsidRPr="008E3DDF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902A00" w:rsidRPr="008E3DDF">
        <w:rPr>
          <w:rFonts w:asciiTheme="minorBidi" w:eastAsia="Calibri" w:hAnsiTheme="minorBidi"/>
          <w:i/>
          <w:iCs/>
          <w:sz w:val="24"/>
          <w:szCs w:val="24"/>
        </w:rPr>
        <w:t>hut</w:t>
      </w:r>
      <w:r w:rsidR="000B7BBE">
        <w:rPr>
          <w:rFonts w:asciiTheme="minorBidi" w:eastAsia="Calibri" w:hAnsiTheme="minorBidi"/>
          <w:i/>
          <w:iCs/>
          <w:sz w:val="24"/>
          <w:szCs w:val="24"/>
        </w:rPr>
        <w:t>,</w:t>
      </w:r>
      <w:r w:rsidR="00902A00" w:rsidRPr="008E3DDF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respect </w:t>
      </w:r>
      <w:r w:rsidR="000B7BBE">
        <w:rPr>
          <w:rFonts w:asciiTheme="minorBidi" w:eastAsia="Calibri" w:hAnsiTheme="minorBidi"/>
          <w:sz w:val="24"/>
          <w:szCs w:val="24"/>
        </w:rPr>
        <w:t>f</w:t>
      </w:r>
      <w:r w:rsidR="00902A00" w:rsidRPr="008E3DDF">
        <w:rPr>
          <w:rFonts w:asciiTheme="minorBidi" w:eastAsia="Calibri" w:hAnsiTheme="minorBidi"/>
          <w:sz w:val="24"/>
          <w:szCs w:val="24"/>
        </w:rPr>
        <w:t>o</w:t>
      </w:r>
      <w:r w:rsidR="000B7BBE">
        <w:rPr>
          <w:rFonts w:asciiTheme="minorBidi" w:eastAsia="Calibri" w:hAnsiTheme="minorBidi"/>
          <w:sz w:val="24"/>
          <w:szCs w:val="24"/>
        </w:rPr>
        <w:t>r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 the government.</w:t>
      </w:r>
      <w:r w:rsidR="00B7188D" w:rsidRPr="008E3DDF">
        <w:rPr>
          <w:rStyle w:val="a5"/>
          <w:rFonts w:asciiTheme="minorBidi" w:eastAsia="Calibri" w:hAnsiTheme="minorBidi"/>
          <w:sz w:val="24"/>
          <w:szCs w:val="24"/>
        </w:rPr>
        <w:footnoteReference w:id="5"/>
      </w:r>
      <w:r w:rsidR="008E3DDF">
        <w:rPr>
          <w:rFonts w:asciiTheme="minorBidi" w:eastAsia="Calibri" w:hAnsiTheme="minorBidi"/>
          <w:sz w:val="24"/>
          <w:szCs w:val="24"/>
        </w:rPr>
        <w:t xml:space="preserve"> 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This concept is used to </w:t>
      </w:r>
      <w:r w:rsidR="000B7BBE">
        <w:rPr>
          <w:rFonts w:asciiTheme="minorBidi" w:eastAsia="Calibri" w:hAnsiTheme="minorBidi"/>
          <w:sz w:val="24"/>
          <w:szCs w:val="24"/>
        </w:rPr>
        <w:t>override</w:t>
      </w:r>
      <w:r w:rsidR="00902A00" w:rsidRPr="008E3DDF">
        <w:rPr>
          <w:rFonts w:asciiTheme="minorBidi" w:eastAsia="Calibri" w:hAnsiTheme="minorBidi"/>
          <w:sz w:val="24"/>
          <w:szCs w:val="24"/>
        </w:rPr>
        <w:t xml:space="preserve"> o</w:t>
      </w:r>
      <w:r w:rsidR="00370A55" w:rsidRPr="008E3DDF">
        <w:rPr>
          <w:rFonts w:asciiTheme="minorBidi" w:eastAsia="Calibri" w:hAnsiTheme="minorBidi"/>
          <w:sz w:val="24"/>
          <w:szCs w:val="24"/>
        </w:rPr>
        <w:t>ther</w:t>
      </w:r>
      <w:r w:rsidR="008E3DDF">
        <w:rPr>
          <w:rFonts w:asciiTheme="minorBidi" w:eastAsia="Calibri" w:hAnsiTheme="minorBidi"/>
          <w:sz w:val="24"/>
          <w:szCs w:val="24"/>
        </w:rPr>
        <w:t xml:space="preserve"> prohibitions</w:t>
      </w:r>
      <w:r w:rsidR="00370A55" w:rsidRPr="008E3DDF">
        <w:rPr>
          <w:rFonts w:asciiTheme="minorBidi" w:eastAsia="Calibri" w:hAnsiTheme="minorBidi"/>
          <w:sz w:val="24"/>
          <w:szCs w:val="24"/>
        </w:rPr>
        <w:t xml:space="preserve"> as well and is not unique to our case</w:t>
      </w:r>
      <w:r w:rsidR="00B7188D" w:rsidRPr="008E3DDF">
        <w:rPr>
          <w:rFonts w:asciiTheme="minorBidi" w:eastAsia="Calibri" w:hAnsiTheme="minorBidi"/>
          <w:sz w:val="24"/>
          <w:szCs w:val="24"/>
        </w:rPr>
        <w:t xml:space="preserve">. </w:t>
      </w:r>
    </w:p>
    <w:p w14:paraId="59606D7B" w14:textId="77777777" w:rsidR="00B2746E" w:rsidRPr="008E3DDF" w:rsidRDefault="00B2746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3A328400" w14:textId="39790FD7" w:rsidR="00370A55" w:rsidRPr="008E3DDF" w:rsidRDefault="00B7188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However, it is very unusual to </w:t>
      </w:r>
      <w:r w:rsidR="00D473D5">
        <w:rPr>
          <w:rFonts w:asciiTheme="minorBidi" w:eastAsia="Calibri" w:hAnsiTheme="minorBidi"/>
          <w:sz w:val="24"/>
          <w:szCs w:val="24"/>
        </w:rPr>
        <w:t>waive</w:t>
      </w:r>
      <w:r w:rsidRPr="008E3DDF">
        <w:rPr>
          <w:rFonts w:asciiTheme="minorBidi" w:eastAsia="Calibri" w:hAnsiTheme="minorBidi"/>
          <w:sz w:val="24"/>
          <w:szCs w:val="24"/>
        </w:rPr>
        <w:t xml:space="preserve"> biblical prohibitions for this reason</w:t>
      </w:r>
      <w:r w:rsidR="00370A55" w:rsidRPr="008E3DDF">
        <w:rPr>
          <w:rFonts w:asciiTheme="minorBidi" w:eastAsia="Calibri" w:hAnsiTheme="minorBidi"/>
          <w:sz w:val="24"/>
          <w:szCs w:val="24"/>
        </w:rPr>
        <w:t>. For example, Rav Moshe Sofer permits people to cut their hair for the purpose of greeting a king even if they are in their period of mourning.</w:t>
      </w:r>
      <w:r w:rsidR="00370A55" w:rsidRPr="008E3DDF">
        <w:rPr>
          <w:rStyle w:val="a5"/>
          <w:rFonts w:asciiTheme="minorBidi" w:eastAsia="Calibri" w:hAnsiTheme="minorBidi"/>
          <w:sz w:val="24"/>
          <w:szCs w:val="24"/>
        </w:rPr>
        <w:footnoteReference w:id="6"/>
      </w:r>
      <w:r w:rsidRPr="008E3DDF">
        <w:rPr>
          <w:rFonts w:asciiTheme="minorBidi" w:eastAsia="Calibri" w:hAnsiTheme="minorBidi"/>
          <w:sz w:val="24"/>
          <w:szCs w:val="24"/>
        </w:rPr>
        <w:t xml:space="preserve"> It is clear that the </w:t>
      </w:r>
      <w:r w:rsidR="00DA5022" w:rsidRPr="00DE2C8B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is</w:t>
      </w:r>
      <w:r w:rsidR="00DA5022">
        <w:rPr>
          <w:rFonts w:asciiTheme="minorBidi" w:eastAsia="Calibri" w:hAnsiTheme="minorBidi"/>
          <w:sz w:val="24"/>
          <w:szCs w:val="24"/>
        </w:rPr>
        <w:t xml:space="preserve"> only</w:t>
      </w:r>
      <w:r w:rsidRPr="008E3DDF">
        <w:rPr>
          <w:rFonts w:asciiTheme="minorBidi" w:eastAsia="Calibri" w:hAnsiTheme="minorBidi"/>
          <w:sz w:val="24"/>
          <w:szCs w:val="24"/>
        </w:rPr>
        <w:t xml:space="preserve"> because </w:t>
      </w:r>
      <w:r w:rsidR="00DA5022">
        <w:rPr>
          <w:rFonts w:asciiTheme="minorBidi" w:eastAsia="Calibri" w:hAnsiTheme="minorBidi"/>
          <w:sz w:val="24"/>
          <w:szCs w:val="24"/>
        </w:rPr>
        <w:t xml:space="preserve">cutting one’s </w:t>
      </w:r>
      <w:r w:rsidR="00DE2C8B">
        <w:rPr>
          <w:rFonts w:asciiTheme="minorBidi" w:eastAsia="Calibri" w:hAnsiTheme="minorBidi"/>
          <w:sz w:val="24"/>
          <w:szCs w:val="24"/>
        </w:rPr>
        <w:t xml:space="preserve">hair </w:t>
      </w:r>
      <w:r w:rsidR="00DE2C8B" w:rsidRPr="008E3DDF">
        <w:rPr>
          <w:rFonts w:asciiTheme="minorBidi" w:eastAsia="Calibri" w:hAnsiTheme="minorBidi"/>
          <w:sz w:val="24"/>
          <w:szCs w:val="24"/>
        </w:rPr>
        <w:t>is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875346" w:rsidRPr="008E3DDF">
        <w:rPr>
          <w:rFonts w:asciiTheme="minorBidi" w:eastAsia="Calibri" w:hAnsiTheme="minorBidi"/>
          <w:sz w:val="24"/>
          <w:szCs w:val="24"/>
        </w:rPr>
        <w:t xml:space="preserve">only </w:t>
      </w:r>
      <w:r w:rsidRPr="008E3DDF">
        <w:rPr>
          <w:rFonts w:asciiTheme="minorBidi" w:eastAsia="Calibri" w:hAnsiTheme="minorBidi"/>
          <w:sz w:val="24"/>
          <w:szCs w:val="24"/>
        </w:rPr>
        <w:t xml:space="preserve">a rabbinical </w:t>
      </w:r>
      <w:r w:rsidR="00823F8D">
        <w:rPr>
          <w:rFonts w:asciiTheme="minorBidi" w:eastAsia="Calibri" w:hAnsiTheme="minorBidi"/>
          <w:sz w:val="24"/>
          <w:szCs w:val="24"/>
        </w:rPr>
        <w:t>prohibition</w:t>
      </w:r>
      <w:r w:rsidRPr="008E3DDF">
        <w:rPr>
          <w:rFonts w:asciiTheme="minorBidi" w:eastAsia="Calibri" w:hAnsiTheme="minorBidi"/>
          <w:sz w:val="24"/>
          <w:szCs w:val="24"/>
        </w:rPr>
        <w:t>.</w:t>
      </w:r>
    </w:p>
    <w:p w14:paraId="44A13AE1" w14:textId="785CB149" w:rsidR="00B7188D" w:rsidRPr="008E3DDF" w:rsidRDefault="00B7188D" w:rsidP="00920FE7">
      <w:pPr>
        <w:spacing w:after="0" w:line="240" w:lineRule="auto"/>
        <w:ind w:left="360"/>
        <w:jc w:val="both"/>
        <w:rPr>
          <w:rFonts w:asciiTheme="minorBidi" w:eastAsia="Calibri" w:hAnsiTheme="minorBidi"/>
          <w:sz w:val="24"/>
          <w:szCs w:val="24"/>
        </w:rPr>
      </w:pPr>
    </w:p>
    <w:p w14:paraId="553A8F98" w14:textId="0400A90F" w:rsidR="00816E76" w:rsidRDefault="00B7188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Another </w:t>
      </w:r>
      <w:r w:rsidR="00ED72F4" w:rsidRPr="008E3DDF">
        <w:rPr>
          <w:rFonts w:asciiTheme="minorBidi" w:eastAsia="Calibri" w:hAnsiTheme="minorBidi"/>
          <w:sz w:val="24"/>
          <w:szCs w:val="24"/>
        </w:rPr>
        <w:t>possibility</w:t>
      </w:r>
      <w:r w:rsidRPr="008E3DDF">
        <w:rPr>
          <w:rFonts w:asciiTheme="minorBidi" w:eastAsia="Calibri" w:hAnsiTheme="minorBidi"/>
          <w:sz w:val="24"/>
          <w:szCs w:val="24"/>
        </w:rPr>
        <w:t xml:space="preserve"> to explain </w:t>
      </w:r>
      <w:r w:rsidR="00ED72F4" w:rsidRPr="008E3DDF">
        <w:rPr>
          <w:rFonts w:asciiTheme="minorBidi" w:eastAsia="Calibri" w:hAnsiTheme="minorBidi"/>
          <w:sz w:val="24"/>
          <w:szCs w:val="24"/>
        </w:rPr>
        <w:t>the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D72F4" w:rsidRPr="008E3DDF">
        <w:rPr>
          <w:rFonts w:asciiTheme="minorBidi" w:eastAsia="Calibri" w:hAnsiTheme="minorBidi"/>
          <w:sz w:val="24"/>
          <w:szCs w:val="24"/>
        </w:rPr>
        <w:t>particular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is based on a </w:t>
      </w:r>
      <w:r w:rsidR="000B7BBE">
        <w:rPr>
          <w:rFonts w:asciiTheme="minorBidi" w:eastAsia="Calibri" w:hAnsiTheme="minorBidi"/>
          <w:sz w:val="24"/>
          <w:szCs w:val="24"/>
        </w:rPr>
        <w:t>responsum</w:t>
      </w:r>
      <w:r w:rsidRPr="008E3DDF">
        <w:rPr>
          <w:rFonts w:asciiTheme="minorBidi" w:eastAsia="Calibri" w:hAnsiTheme="minorBidi"/>
          <w:sz w:val="24"/>
          <w:szCs w:val="24"/>
        </w:rPr>
        <w:t xml:space="preserve"> of Rav Yosef Colon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D72F4" w:rsidRPr="008E3DDF">
        <w:rPr>
          <w:rFonts w:asciiTheme="minorBidi" w:eastAsia="Calibri" w:hAnsiTheme="minorBidi"/>
          <w:sz w:val="24"/>
          <w:szCs w:val="24"/>
        </w:rPr>
        <w:t>(</w:t>
      </w:r>
      <w:r w:rsidR="008E3DDF">
        <w:rPr>
          <w:rFonts w:asciiTheme="minorBidi" w:eastAsia="Calibri" w:hAnsiTheme="minorBidi"/>
          <w:sz w:val="24"/>
          <w:szCs w:val="24"/>
        </w:rPr>
        <w:t>Maharic</w:t>
      </w:r>
      <w:r w:rsidR="00875346" w:rsidRPr="008E3DDF">
        <w:rPr>
          <w:rFonts w:asciiTheme="minorBidi" w:eastAsia="Calibri" w:hAnsiTheme="minorBidi"/>
          <w:sz w:val="24"/>
          <w:szCs w:val="24"/>
        </w:rPr>
        <w:t>,</w:t>
      </w:r>
      <w:r w:rsidR="00B8029C">
        <w:rPr>
          <w:rFonts w:asciiTheme="minorBidi" w:eastAsia="Calibri" w:hAnsiTheme="minorBidi"/>
          <w:sz w:val="24"/>
          <w:szCs w:val="24"/>
        </w:rPr>
        <w:t xml:space="preserve"> </w:t>
      </w:r>
      <w:r w:rsidR="00ED72F4" w:rsidRPr="008E3DDF">
        <w:rPr>
          <w:rFonts w:asciiTheme="minorBidi" w:eastAsia="Calibri" w:hAnsiTheme="minorBidi"/>
          <w:sz w:val="24"/>
          <w:szCs w:val="24"/>
        </w:rPr>
        <w:t xml:space="preserve">1420 -1480). 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The </w:t>
      </w:r>
      <w:r w:rsidR="008E3DDF">
        <w:rPr>
          <w:rFonts w:asciiTheme="minorBidi" w:eastAsia="Calibri" w:hAnsiTheme="minorBidi"/>
          <w:sz w:val="24"/>
          <w:szCs w:val="24"/>
        </w:rPr>
        <w:t>Maharic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D72F4" w:rsidRPr="008E3DDF">
        <w:rPr>
          <w:rFonts w:asciiTheme="minorBidi" w:eastAsia="Calibri" w:hAnsiTheme="minorBidi"/>
          <w:sz w:val="24"/>
          <w:szCs w:val="24"/>
        </w:rPr>
        <w:t>define</w:t>
      </w:r>
      <w:r w:rsidR="000B7BBE">
        <w:rPr>
          <w:rFonts w:asciiTheme="minorBidi" w:eastAsia="Calibri" w:hAnsiTheme="minorBidi"/>
          <w:sz w:val="24"/>
          <w:szCs w:val="24"/>
        </w:rPr>
        <w:t>s</w:t>
      </w:r>
      <w:r w:rsidR="00ED72F4" w:rsidRPr="008E3DDF">
        <w:rPr>
          <w:rFonts w:asciiTheme="minorBidi" w:eastAsia="Calibri" w:hAnsiTheme="minorBidi"/>
          <w:sz w:val="24"/>
          <w:szCs w:val="24"/>
        </w:rPr>
        <w:t xml:space="preserve"> the </w:t>
      </w:r>
      <w:r w:rsidR="00660FE1" w:rsidRPr="008E3DDF">
        <w:rPr>
          <w:rFonts w:asciiTheme="minorBidi" w:eastAsia="Calibri" w:hAnsiTheme="minorBidi"/>
          <w:sz w:val="24"/>
          <w:szCs w:val="24"/>
        </w:rPr>
        <w:t>parameters</w:t>
      </w:r>
      <w:r w:rsidR="00ED72F4" w:rsidRPr="008E3DDF">
        <w:rPr>
          <w:rFonts w:asciiTheme="minorBidi" w:eastAsia="Calibri" w:hAnsiTheme="minorBidi"/>
          <w:sz w:val="24"/>
          <w:szCs w:val="24"/>
        </w:rPr>
        <w:t xml:space="preserve"> of </w:t>
      </w:r>
      <w:r w:rsidR="00ED72F4" w:rsidRPr="008E3DDF">
        <w:rPr>
          <w:rFonts w:asciiTheme="minorBidi" w:eastAsia="Calibri" w:hAnsiTheme="minorBidi"/>
          <w:i/>
          <w:iCs/>
          <w:sz w:val="24"/>
          <w:szCs w:val="24"/>
        </w:rPr>
        <w:t>chukot ha-goyim</w:t>
      </w:r>
      <w:r w:rsidR="00ED72F4" w:rsidRPr="008E3DDF">
        <w:rPr>
          <w:rFonts w:asciiTheme="minorBidi" w:eastAsia="Calibri" w:hAnsiTheme="minorBidi"/>
          <w:sz w:val="24"/>
          <w:szCs w:val="24"/>
        </w:rPr>
        <w:t xml:space="preserve">. </w:t>
      </w:r>
      <w:r w:rsidR="00660FE1" w:rsidRPr="008E3DDF">
        <w:rPr>
          <w:rFonts w:asciiTheme="minorBidi" w:eastAsia="Calibri" w:hAnsiTheme="minorBidi"/>
          <w:sz w:val="24"/>
          <w:szCs w:val="24"/>
        </w:rPr>
        <w:t>According to him, t</w:t>
      </w:r>
      <w:r w:rsidRPr="008E3DDF">
        <w:rPr>
          <w:rFonts w:asciiTheme="minorBidi" w:eastAsia="Calibri" w:hAnsiTheme="minorBidi"/>
          <w:sz w:val="24"/>
          <w:szCs w:val="24"/>
        </w:rPr>
        <w:t>he prohibition against adopting “</w:t>
      </w:r>
      <w:r w:rsidR="00D473D5">
        <w:rPr>
          <w:rFonts w:asciiTheme="minorBidi" w:eastAsia="Calibri" w:hAnsiTheme="minorBidi"/>
          <w:sz w:val="24"/>
          <w:szCs w:val="24"/>
        </w:rPr>
        <w:t>practices of the nations</w:t>
      </w:r>
      <w:r w:rsidRPr="008E3DDF">
        <w:rPr>
          <w:rFonts w:asciiTheme="minorBidi" w:eastAsia="Calibri" w:hAnsiTheme="minorBidi"/>
          <w:sz w:val="24"/>
          <w:szCs w:val="24"/>
        </w:rPr>
        <w:t>” covers only two categorie</w:t>
      </w:r>
      <w:r w:rsidR="000B7BBE">
        <w:rPr>
          <w:rFonts w:asciiTheme="minorBidi" w:eastAsia="Calibri" w:hAnsiTheme="minorBidi"/>
          <w:sz w:val="24"/>
          <w:szCs w:val="24"/>
        </w:rPr>
        <w:t>s</w:t>
      </w:r>
      <w:r w:rsidRPr="008E3DDF">
        <w:rPr>
          <w:rFonts w:asciiTheme="minorBidi" w:eastAsia="Calibri" w:hAnsiTheme="minorBidi"/>
          <w:sz w:val="24"/>
          <w:szCs w:val="24"/>
        </w:rPr>
        <w:t xml:space="preserve">: 1) customs 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which </w:t>
      </w:r>
      <w:r w:rsidR="00ED72F4" w:rsidRPr="008E3DDF">
        <w:rPr>
          <w:rFonts w:asciiTheme="minorBidi" w:eastAsia="Calibri" w:hAnsiTheme="minorBidi"/>
          <w:sz w:val="24"/>
          <w:szCs w:val="24"/>
        </w:rPr>
        <w:t>include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D72F4" w:rsidRPr="008E3DDF">
        <w:rPr>
          <w:rFonts w:asciiTheme="minorBidi" w:eastAsia="Calibri" w:hAnsiTheme="minorBidi"/>
          <w:sz w:val="24"/>
          <w:szCs w:val="24"/>
        </w:rPr>
        <w:t>immodest</w:t>
      </w:r>
      <w:r w:rsidRPr="008E3DDF">
        <w:rPr>
          <w:rFonts w:asciiTheme="minorBidi" w:eastAsia="Calibri" w:hAnsiTheme="minorBidi"/>
          <w:sz w:val="24"/>
          <w:szCs w:val="24"/>
        </w:rPr>
        <w:t xml:space="preserve"> behavior; and 2) practices that are unique to the</w:t>
      </w:r>
      <w:r w:rsidR="000B7BBE">
        <w:rPr>
          <w:rFonts w:asciiTheme="minorBidi" w:eastAsia="Calibri" w:hAnsiTheme="minorBidi"/>
          <w:sz w:val="24"/>
          <w:szCs w:val="24"/>
        </w:rPr>
        <w:t xml:space="preserve"> non-Jews</w:t>
      </w:r>
      <w:r w:rsidRPr="008E3DDF">
        <w:rPr>
          <w:rFonts w:asciiTheme="minorBidi" w:eastAsia="Calibri" w:hAnsiTheme="minorBidi"/>
          <w:sz w:val="24"/>
          <w:szCs w:val="24"/>
        </w:rPr>
        <w:t xml:space="preserve"> and serve </w:t>
      </w:r>
      <w:r w:rsidR="000B7BBE">
        <w:rPr>
          <w:rFonts w:asciiTheme="minorBidi" w:eastAsia="Calibri" w:hAnsiTheme="minorBidi"/>
          <w:sz w:val="24"/>
          <w:szCs w:val="24"/>
        </w:rPr>
        <w:t xml:space="preserve">no </w:t>
      </w:r>
      <w:r w:rsidRPr="008E3DDF">
        <w:rPr>
          <w:rFonts w:asciiTheme="minorBidi" w:eastAsia="Calibri" w:hAnsiTheme="minorBidi"/>
          <w:sz w:val="24"/>
          <w:szCs w:val="24"/>
        </w:rPr>
        <w:t>rational purpose</w:t>
      </w:r>
      <w:r w:rsidR="00ED72F4" w:rsidRPr="008E3DDF">
        <w:rPr>
          <w:rFonts w:asciiTheme="minorBidi" w:eastAsia="Calibri" w:hAnsiTheme="minorBidi"/>
          <w:sz w:val="24"/>
          <w:szCs w:val="24"/>
        </w:rPr>
        <w:t xml:space="preserve">. </w:t>
      </w:r>
    </w:p>
    <w:p w14:paraId="5A09300B" w14:textId="77777777" w:rsidR="000B7BBE" w:rsidRPr="008E3DDF" w:rsidRDefault="000B7BB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0A8DF262" w14:textId="1460C959" w:rsidR="00DF2AE4" w:rsidRPr="008E3DDF" w:rsidRDefault="00ED72F4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However</w:t>
      </w:r>
      <w:r w:rsidR="00660FE1" w:rsidRPr="008E3DDF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if 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the Jew is </w:t>
      </w:r>
      <w:r w:rsidR="00D473D5">
        <w:rPr>
          <w:rFonts w:asciiTheme="minorBidi" w:eastAsia="Calibri" w:hAnsiTheme="minorBidi"/>
          <w:sz w:val="24"/>
          <w:szCs w:val="24"/>
        </w:rPr>
        <w:t>following these practices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 for a clear benefit, it is permitted.</w:t>
      </w:r>
      <w:r w:rsidR="00660FE1" w:rsidRPr="008E3DDF">
        <w:rPr>
          <w:rStyle w:val="a5"/>
          <w:rFonts w:asciiTheme="minorBidi" w:eastAsia="Calibri" w:hAnsiTheme="minorBidi"/>
          <w:sz w:val="24"/>
          <w:szCs w:val="24"/>
        </w:rPr>
        <w:footnoteReference w:id="7"/>
      </w:r>
      <w:r w:rsidR="00816E76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This opinion </w:t>
      </w:r>
      <w:r w:rsidR="000B7BBE">
        <w:rPr>
          <w:rFonts w:asciiTheme="minorBidi" w:eastAsia="Calibri" w:hAnsiTheme="minorBidi"/>
          <w:sz w:val="24"/>
          <w:szCs w:val="24"/>
        </w:rPr>
        <w:t>i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s </w:t>
      </w:r>
      <w:r w:rsidR="00B7188D" w:rsidRPr="008E3DDF">
        <w:rPr>
          <w:rFonts w:asciiTheme="minorBidi" w:eastAsia="Calibri" w:hAnsiTheme="minorBidi"/>
          <w:sz w:val="24"/>
          <w:szCs w:val="24"/>
        </w:rPr>
        <w:t xml:space="preserve">codified by </w:t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Rav </w:t>
      </w:r>
      <w:r w:rsidR="00B7188D" w:rsidRPr="008E3DDF">
        <w:rPr>
          <w:rFonts w:asciiTheme="minorBidi" w:eastAsia="Calibri" w:hAnsiTheme="minorBidi"/>
          <w:sz w:val="24"/>
          <w:szCs w:val="24"/>
        </w:rPr>
        <w:t>Moshe Isserles</w:t>
      </w:r>
      <w:r w:rsidR="00660FE1" w:rsidRPr="008E3DDF">
        <w:rPr>
          <w:rFonts w:asciiTheme="minorBidi" w:eastAsia="Calibri" w:hAnsiTheme="minorBidi"/>
          <w:sz w:val="24"/>
          <w:szCs w:val="24"/>
        </w:rPr>
        <w:t>.</w:t>
      </w:r>
      <w:r w:rsidR="00660FE1" w:rsidRPr="008E3DDF">
        <w:rPr>
          <w:rStyle w:val="a5"/>
          <w:rFonts w:asciiTheme="minorBidi" w:eastAsia="Calibri" w:hAnsiTheme="minorBidi"/>
          <w:sz w:val="24"/>
          <w:szCs w:val="24"/>
        </w:rPr>
        <w:footnoteReference w:id="8"/>
      </w:r>
      <w:r w:rsidR="00660FE1" w:rsidRPr="008E3DDF">
        <w:rPr>
          <w:rFonts w:asciiTheme="minorBidi" w:eastAsia="Calibri" w:hAnsiTheme="minorBidi"/>
          <w:sz w:val="24"/>
          <w:szCs w:val="24"/>
        </w:rPr>
        <w:t xml:space="preserve"> </w:t>
      </w:r>
    </w:p>
    <w:p w14:paraId="62D52305" w14:textId="25AD639D" w:rsidR="00816E76" w:rsidRPr="008E3DDF" w:rsidRDefault="00816E76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73ADDC1F" w14:textId="43802596" w:rsidR="003325CF" w:rsidRPr="008E3DDF" w:rsidRDefault="00816E76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Accordingly, Rav Elchanan Wasserman questions our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>.</w:t>
      </w:r>
      <w:r w:rsidR="00E60CB9" w:rsidRPr="008E3DDF">
        <w:rPr>
          <w:rStyle w:val="a5"/>
          <w:rFonts w:asciiTheme="minorBidi" w:eastAsia="Calibri" w:hAnsiTheme="minorBidi"/>
          <w:sz w:val="24"/>
          <w:szCs w:val="24"/>
        </w:rPr>
        <w:footnoteReference w:id="9"/>
      </w:r>
      <w:r w:rsidRPr="008E3DDF">
        <w:rPr>
          <w:rFonts w:asciiTheme="minorBidi" w:eastAsia="Calibri" w:hAnsiTheme="minorBidi"/>
          <w:sz w:val="24"/>
          <w:szCs w:val="24"/>
        </w:rPr>
        <w:t xml:space="preserve"> Why would there be a need to “permit” those close to the government to dress in a </w:t>
      </w:r>
      <w:r w:rsidR="000B7BBE">
        <w:rPr>
          <w:rFonts w:asciiTheme="minorBidi" w:eastAsia="Calibri" w:hAnsiTheme="minorBidi"/>
          <w:sz w:val="24"/>
          <w:szCs w:val="24"/>
        </w:rPr>
        <w:t>non-Jewish</w:t>
      </w:r>
      <w:r w:rsidRPr="008E3DDF">
        <w:rPr>
          <w:rFonts w:asciiTheme="minorBidi" w:eastAsia="Calibri" w:hAnsiTheme="minorBidi"/>
          <w:sz w:val="24"/>
          <w:szCs w:val="24"/>
        </w:rPr>
        <w:t xml:space="preserve"> manner</w:t>
      </w:r>
      <w:r w:rsidR="000B7BBE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if it is permitted for all to dress this way</w:t>
      </w:r>
      <w:r w:rsidR="008E107D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3325CF" w:rsidRPr="008E3DDF">
        <w:rPr>
          <w:rFonts w:asciiTheme="minorBidi" w:eastAsia="Calibri" w:hAnsiTheme="minorBidi"/>
          <w:sz w:val="24"/>
          <w:szCs w:val="24"/>
        </w:rPr>
        <w:t>(</w:t>
      </w:r>
      <w:r w:rsidRPr="008E3DDF">
        <w:rPr>
          <w:rFonts w:asciiTheme="minorBidi" w:eastAsia="Calibri" w:hAnsiTheme="minorBidi"/>
          <w:sz w:val="24"/>
          <w:szCs w:val="24"/>
        </w:rPr>
        <w:t>if it benefits them</w:t>
      </w:r>
      <w:r w:rsidR="003325CF" w:rsidRPr="008E3DDF">
        <w:rPr>
          <w:rFonts w:asciiTheme="minorBidi" w:eastAsia="Calibri" w:hAnsiTheme="minorBidi"/>
          <w:sz w:val="24"/>
          <w:szCs w:val="24"/>
        </w:rPr>
        <w:t>)</w:t>
      </w:r>
      <w:r w:rsidRPr="008E3DDF">
        <w:rPr>
          <w:rFonts w:asciiTheme="minorBidi" w:eastAsia="Calibri" w:hAnsiTheme="minorBidi"/>
          <w:sz w:val="24"/>
          <w:szCs w:val="24"/>
        </w:rPr>
        <w:t xml:space="preserve">? Surely dressing like a </w:t>
      </w:r>
      <w:r w:rsidR="000B7BBE">
        <w:rPr>
          <w:rFonts w:asciiTheme="minorBidi" w:eastAsia="Calibri" w:hAnsiTheme="minorBidi"/>
          <w:sz w:val="24"/>
          <w:szCs w:val="24"/>
        </w:rPr>
        <w:t>non-Jew</w:t>
      </w:r>
      <w:r w:rsidRPr="008E3DDF">
        <w:rPr>
          <w:rFonts w:asciiTheme="minorBidi" w:eastAsia="Calibri" w:hAnsiTheme="minorBidi"/>
          <w:sz w:val="24"/>
          <w:szCs w:val="24"/>
        </w:rPr>
        <w:t xml:space="preserve"> benefits the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karov la</w:t>
      </w:r>
      <w:r w:rsidR="00AA24C4" w:rsidRPr="008E3DDF">
        <w:rPr>
          <w:rFonts w:asciiTheme="minorBidi" w:eastAsia="Calibri" w:hAnsiTheme="minorBidi"/>
          <w:i/>
          <w:iCs/>
          <w:sz w:val="24"/>
          <w:szCs w:val="24"/>
        </w:rPr>
        <w:t>-</w:t>
      </w:r>
      <w:r w:rsidR="008E3DDF" w:rsidRPr="008E3DDF">
        <w:rPr>
          <w:rFonts w:asciiTheme="minorBidi" w:eastAsia="Calibri" w:hAnsiTheme="minorBidi"/>
          <w:i/>
          <w:iCs/>
          <w:sz w:val="24"/>
          <w:szCs w:val="24"/>
        </w:rPr>
        <w:t>malkhut</w:t>
      </w:r>
      <w:r w:rsidRPr="008E3DDF">
        <w:rPr>
          <w:rFonts w:asciiTheme="minorBidi" w:eastAsia="Calibri" w:hAnsiTheme="minorBidi"/>
          <w:sz w:val="24"/>
          <w:szCs w:val="24"/>
        </w:rPr>
        <w:t>!</w:t>
      </w:r>
      <w:r w:rsidR="003325CF" w:rsidRPr="008E3DDF">
        <w:rPr>
          <w:rFonts w:asciiTheme="minorBidi" w:eastAsia="Calibri" w:hAnsiTheme="minorBidi"/>
          <w:sz w:val="24"/>
          <w:szCs w:val="24"/>
        </w:rPr>
        <w:t xml:space="preserve"> </w:t>
      </w:r>
    </w:p>
    <w:p w14:paraId="5DEB6254" w14:textId="77777777" w:rsidR="003325CF" w:rsidRPr="008E3DDF" w:rsidRDefault="003325CF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1FD93422" w14:textId="01B9C08B" w:rsidR="008E107D" w:rsidRPr="008E3DDF" w:rsidRDefault="003325CF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lastRenderedPageBreak/>
        <w:t xml:space="preserve">His answer is that the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0B7BBE">
        <w:rPr>
          <w:rFonts w:asciiTheme="minorBidi" w:eastAsia="Calibri" w:hAnsiTheme="minorBidi"/>
          <w:sz w:val="24"/>
          <w:szCs w:val="24"/>
        </w:rPr>
        <w:t>i</w:t>
      </w:r>
      <w:r w:rsidRPr="008E3DDF">
        <w:rPr>
          <w:rFonts w:asciiTheme="minorBidi" w:eastAsia="Calibri" w:hAnsiTheme="minorBidi"/>
          <w:sz w:val="24"/>
          <w:szCs w:val="24"/>
        </w:rPr>
        <w:t>s really not needed</w:t>
      </w:r>
      <w:r w:rsidR="000B7BBE">
        <w:rPr>
          <w:rFonts w:asciiTheme="minorBidi" w:eastAsia="Calibri" w:hAnsiTheme="minorBidi"/>
          <w:sz w:val="24"/>
          <w:szCs w:val="24"/>
        </w:rPr>
        <w:t>;</w:t>
      </w:r>
      <w:r w:rsidRPr="008E3DDF">
        <w:rPr>
          <w:rFonts w:asciiTheme="minorBidi" w:eastAsia="Calibri" w:hAnsiTheme="minorBidi"/>
          <w:sz w:val="24"/>
          <w:szCs w:val="24"/>
        </w:rPr>
        <w:t xml:space="preserve"> rather</w:t>
      </w:r>
      <w:r w:rsidR="00D473D5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it </w:t>
      </w:r>
      <w:r w:rsidR="000B7BBE">
        <w:rPr>
          <w:rFonts w:asciiTheme="minorBidi" w:eastAsia="Calibri" w:hAnsiTheme="minorBidi"/>
          <w:sz w:val="24"/>
          <w:szCs w:val="24"/>
        </w:rPr>
        <w:t>i</w:t>
      </w:r>
      <w:r w:rsidRPr="008E3DDF">
        <w:rPr>
          <w:rFonts w:asciiTheme="minorBidi" w:eastAsia="Calibri" w:hAnsiTheme="minorBidi"/>
          <w:sz w:val="24"/>
          <w:szCs w:val="24"/>
        </w:rPr>
        <w:t xml:space="preserve">s presented </w:t>
      </w:r>
      <w:r w:rsidR="00E60CB9" w:rsidRPr="008E3DDF">
        <w:rPr>
          <w:rFonts w:asciiTheme="minorBidi" w:eastAsia="Calibri" w:hAnsiTheme="minorBidi"/>
          <w:sz w:val="24"/>
          <w:szCs w:val="24"/>
        </w:rPr>
        <w:t>in order that people w</w:t>
      </w:r>
      <w:r w:rsidR="00D473D5">
        <w:rPr>
          <w:rFonts w:asciiTheme="minorBidi" w:eastAsia="Calibri" w:hAnsiTheme="minorBidi"/>
          <w:sz w:val="24"/>
          <w:szCs w:val="24"/>
        </w:rPr>
        <w:t>ill</w:t>
      </w:r>
      <w:r w:rsidR="00E60CB9" w:rsidRPr="008E3DDF">
        <w:rPr>
          <w:rFonts w:asciiTheme="minorBidi" w:eastAsia="Calibri" w:hAnsiTheme="minorBidi"/>
          <w:sz w:val="24"/>
          <w:szCs w:val="24"/>
        </w:rPr>
        <w:t xml:space="preserve"> not think negatively about </w:t>
      </w:r>
      <w:r w:rsidR="00D473D5">
        <w:rPr>
          <w:rFonts w:asciiTheme="minorBidi" w:eastAsia="Calibri" w:hAnsiTheme="minorBidi"/>
          <w:sz w:val="24"/>
          <w:szCs w:val="24"/>
        </w:rPr>
        <w:t>Jewish</w:t>
      </w:r>
      <w:r w:rsidR="00E60CB9" w:rsidRPr="008E3DDF">
        <w:rPr>
          <w:rFonts w:asciiTheme="minorBidi" w:eastAsia="Calibri" w:hAnsiTheme="minorBidi"/>
          <w:sz w:val="24"/>
          <w:szCs w:val="24"/>
        </w:rPr>
        <w:t xml:space="preserve"> leaders who dress like</w:t>
      </w:r>
      <w:r w:rsidR="000B7BBE">
        <w:rPr>
          <w:rFonts w:asciiTheme="minorBidi" w:eastAsia="Calibri" w:hAnsiTheme="minorBidi"/>
          <w:sz w:val="24"/>
          <w:szCs w:val="24"/>
        </w:rPr>
        <w:t xml:space="preserve"> non-Jews</w:t>
      </w:r>
      <w:r w:rsidR="00E60CB9" w:rsidRPr="008E3DDF">
        <w:rPr>
          <w:rFonts w:asciiTheme="minorBidi" w:eastAsia="Calibri" w:hAnsiTheme="minorBidi"/>
          <w:sz w:val="24"/>
          <w:szCs w:val="24"/>
        </w:rPr>
        <w:t>.</w:t>
      </w:r>
      <w:r w:rsidR="00D473D5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sz w:val="24"/>
          <w:szCs w:val="24"/>
        </w:rPr>
        <w:t>Thus, Rav Wasserman underst</w:t>
      </w:r>
      <w:r w:rsidR="000B7BBE">
        <w:rPr>
          <w:rFonts w:asciiTheme="minorBidi" w:eastAsia="Calibri" w:hAnsiTheme="minorBidi"/>
          <w:sz w:val="24"/>
          <w:szCs w:val="24"/>
        </w:rPr>
        <w:t>ands</w:t>
      </w:r>
      <w:r w:rsidRPr="008E3DDF">
        <w:rPr>
          <w:rFonts w:asciiTheme="minorBidi" w:eastAsia="Calibri" w:hAnsiTheme="minorBidi"/>
          <w:sz w:val="24"/>
          <w:szCs w:val="24"/>
        </w:rPr>
        <w:t xml:space="preserve"> that the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E60CB9" w:rsidRPr="008E3DDF">
        <w:rPr>
          <w:rFonts w:asciiTheme="minorBidi" w:eastAsia="Calibri" w:hAnsiTheme="minorBidi"/>
          <w:sz w:val="24"/>
          <w:szCs w:val="24"/>
        </w:rPr>
        <w:t xml:space="preserve">for the court Jews is not a unique </w:t>
      </w:r>
      <w:r w:rsidR="000B7BBE" w:rsidRPr="001846EA">
        <w:rPr>
          <w:rFonts w:asciiTheme="minorBidi" w:eastAsia="Calibri" w:hAnsiTheme="minorBidi"/>
          <w:i/>
          <w:iCs/>
          <w:sz w:val="24"/>
          <w:szCs w:val="24"/>
        </w:rPr>
        <w:t>h</w:t>
      </w:r>
      <w:r w:rsidR="00E60CB9" w:rsidRPr="001846EA">
        <w:rPr>
          <w:rFonts w:asciiTheme="minorBidi" w:eastAsia="Calibri" w:hAnsiTheme="minorBidi"/>
          <w:i/>
          <w:iCs/>
          <w:sz w:val="24"/>
          <w:szCs w:val="24"/>
        </w:rPr>
        <w:t>alakha</w:t>
      </w:r>
      <w:r w:rsidR="00E60CB9" w:rsidRPr="008E3DDF">
        <w:rPr>
          <w:rFonts w:asciiTheme="minorBidi" w:eastAsia="Calibri" w:hAnsiTheme="minorBidi"/>
          <w:sz w:val="24"/>
          <w:szCs w:val="24"/>
        </w:rPr>
        <w:t xml:space="preserve">. </w:t>
      </w:r>
    </w:p>
    <w:p w14:paraId="67F4AE3D" w14:textId="77777777" w:rsidR="008E107D" w:rsidRPr="008E3DDF" w:rsidRDefault="008E107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3D31CF82" w14:textId="2354F474" w:rsidR="008E107D" w:rsidRPr="008E3DDF" w:rsidRDefault="008E107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In 2009</w:t>
      </w:r>
      <w:r w:rsidR="000B7BBE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an </w:t>
      </w:r>
      <w:r w:rsidR="00D473D5">
        <w:rPr>
          <w:rFonts w:asciiTheme="minorBidi" w:eastAsia="Calibri" w:hAnsiTheme="minorBidi"/>
          <w:sz w:val="24"/>
          <w:szCs w:val="24"/>
        </w:rPr>
        <w:t>O</w:t>
      </w:r>
      <w:r w:rsidRPr="008E3DDF">
        <w:rPr>
          <w:rFonts w:asciiTheme="minorBidi" w:eastAsia="Calibri" w:hAnsiTheme="minorBidi"/>
          <w:sz w:val="24"/>
          <w:szCs w:val="24"/>
        </w:rPr>
        <w:t xml:space="preserve">rthodox </w:t>
      </w:r>
      <w:r w:rsidR="00D473D5">
        <w:rPr>
          <w:rFonts w:asciiTheme="minorBidi" w:eastAsia="Calibri" w:hAnsiTheme="minorBidi"/>
          <w:sz w:val="24"/>
          <w:szCs w:val="24"/>
        </w:rPr>
        <w:t>r</w:t>
      </w:r>
      <w:r w:rsidRPr="008E3DDF">
        <w:rPr>
          <w:rFonts w:asciiTheme="minorBidi" w:eastAsia="Calibri" w:hAnsiTheme="minorBidi"/>
          <w:sz w:val="24"/>
          <w:szCs w:val="24"/>
        </w:rPr>
        <w:t xml:space="preserve">abbi entered </w:t>
      </w:r>
      <w:r w:rsidR="001160AA">
        <w:rPr>
          <w:rFonts w:asciiTheme="minorBidi" w:eastAsia="Calibri" w:hAnsiTheme="minorBidi"/>
          <w:sz w:val="24"/>
          <w:szCs w:val="24"/>
        </w:rPr>
        <w:t>the Washington National Cathedral, which is an</w:t>
      </w:r>
      <w:r w:rsidRPr="008E3DDF">
        <w:rPr>
          <w:rFonts w:asciiTheme="minorBidi" w:eastAsia="Calibri" w:hAnsiTheme="minorBidi"/>
          <w:sz w:val="24"/>
          <w:szCs w:val="24"/>
        </w:rPr>
        <w:t xml:space="preserve"> Episcopalian </w:t>
      </w:r>
      <w:r w:rsidR="001160AA">
        <w:rPr>
          <w:rFonts w:asciiTheme="minorBidi" w:eastAsia="Calibri" w:hAnsiTheme="minorBidi"/>
          <w:sz w:val="24"/>
          <w:szCs w:val="24"/>
        </w:rPr>
        <w:t>c</w:t>
      </w:r>
      <w:r w:rsidRPr="008E3DDF">
        <w:rPr>
          <w:rFonts w:asciiTheme="minorBidi" w:eastAsia="Calibri" w:hAnsiTheme="minorBidi"/>
          <w:sz w:val="24"/>
          <w:szCs w:val="24"/>
        </w:rPr>
        <w:t>hurch</w:t>
      </w:r>
      <w:r w:rsidR="001160AA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1160AA">
        <w:rPr>
          <w:rFonts w:asciiTheme="minorBidi" w:eastAsia="Calibri" w:hAnsiTheme="minorBidi"/>
          <w:sz w:val="24"/>
          <w:szCs w:val="24"/>
        </w:rPr>
        <w:t>to p</w:t>
      </w:r>
      <w:r w:rsidRPr="008E3DDF">
        <w:rPr>
          <w:rFonts w:asciiTheme="minorBidi" w:eastAsia="Calibri" w:hAnsiTheme="minorBidi"/>
          <w:sz w:val="24"/>
          <w:szCs w:val="24"/>
        </w:rPr>
        <w:t>articipate in the National Inaugura</w:t>
      </w:r>
      <w:r w:rsidR="001160AA">
        <w:rPr>
          <w:rFonts w:asciiTheme="minorBidi" w:eastAsia="Calibri" w:hAnsiTheme="minorBidi"/>
          <w:sz w:val="24"/>
          <w:szCs w:val="24"/>
        </w:rPr>
        <w:t>l</w:t>
      </w:r>
      <w:r w:rsidRPr="008E3DDF">
        <w:rPr>
          <w:rFonts w:asciiTheme="minorBidi" w:eastAsia="Calibri" w:hAnsiTheme="minorBidi"/>
          <w:sz w:val="24"/>
          <w:szCs w:val="24"/>
        </w:rPr>
        <w:t xml:space="preserve"> Prayer Service in honor of the President of the USA, Barack Obama. The visit </w:t>
      </w:r>
      <w:r w:rsidR="001160AA">
        <w:rPr>
          <w:rFonts w:asciiTheme="minorBidi" w:eastAsia="Calibri" w:hAnsiTheme="minorBidi"/>
          <w:sz w:val="24"/>
          <w:szCs w:val="24"/>
        </w:rPr>
        <w:t>stirred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823F8D">
        <w:rPr>
          <w:rFonts w:asciiTheme="minorBidi" w:eastAsia="Calibri" w:hAnsiTheme="minorBidi"/>
          <w:sz w:val="24"/>
          <w:szCs w:val="24"/>
        </w:rPr>
        <w:t>up an</w:t>
      </w:r>
      <w:r w:rsidRPr="008E3DDF">
        <w:rPr>
          <w:rFonts w:asciiTheme="minorBidi" w:eastAsia="Calibri" w:hAnsiTheme="minorBidi"/>
          <w:sz w:val="24"/>
          <w:szCs w:val="24"/>
        </w:rPr>
        <w:t xml:space="preserve"> argument </w:t>
      </w:r>
      <w:r w:rsidR="001160AA">
        <w:rPr>
          <w:rFonts w:asciiTheme="minorBidi" w:eastAsia="Calibri" w:hAnsiTheme="minorBidi"/>
          <w:sz w:val="24"/>
          <w:szCs w:val="24"/>
        </w:rPr>
        <w:t xml:space="preserve">as to </w:t>
      </w:r>
      <w:r w:rsidRPr="008E3DDF">
        <w:rPr>
          <w:rFonts w:asciiTheme="minorBidi" w:eastAsia="Calibri" w:hAnsiTheme="minorBidi"/>
          <w:sz w:val="24"/>
          <w:szCs w:val="24"/>
        </w:rPr>
        <w:t xml:space="preserve">whether this </w:t>
      </w:r>
      <w:r w:rsidR="001160AA">
        <w:rPr>
          <w:rFonts w:asciiTheme="minorBidi" w:eastAsia="Calibri" w:hAnsiTheme="minorBidi"/>
          <w:sz w:val="24"/>
          <w:szCs w:val="24"/>
        </w:rPr>
        <w:t>wa</w:t>
      </w:r>
      <w:r w:rsidRPr="008E3DDF">
        <w:rPr>
          <w:rFonts w:asciiTheme="minorBidi" w:eastAsia="Calibri" w:hAnsiTheme="minorBidi"/>
          <w:sz w:val="24"/>
          <w:szCs w:val="24"/>
        </w:rPr>
        <w:t>s permitted or not.</w:t>
      </w:r>
    </w:p>
    <w:p w14:paraId="1E1EF2C5" w14:textId="77777777" w:rsidR="008E107D" w:rsidRPr="008E3DDF" w:rsidRDefault="008E107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5C6948F2" w14:textId="082DDD10" w:rsidR="00DD02B8" w:rsidRDefault="008E107D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Those who permitted the visit argued that Jewish leaders are allowed some leniencies if their purpose is to serve as </w:t>
      </w:r>
      <w:r w:rsidR="00DD02B8" w:rsidRPr="008E3DDF">
        <w:rPr>
          <w:rFonts w:asciiTheme="minorBidi" w:eastAsia="Calibri" w:hAnsiTheme="minorBidi"/>
          <w:sz w:val="24"/>
          <w:szCs w:val="24"/>
        </w:rPr>
        <w:t xml:space="preserve">the Jewish representatives before the government. They mentioned that there are precedents in Jewish history </w:t>
      </w:r>
      <w:r w:rsidR="001160AA">
        <w:rPr>
          <w:rFonts w:asciiTheme="minorBidi" w:eastAsia="Calibri" w:hAnsiTheme="minorBidi"/>
          <w:sz w:val="24"/>
          <w:szCs w:val="24"/>
        </w:rPr>
        <w:t>in which</w:t>
      </w:r>
      <w:r w:rsidR="00DD02B8" w:rsidRPr="008E3DDF">
        <w:rPr>
          <w:rFonts w:asciiTheme="minorBidi" w:eastAsia="Calibri" w:hAnsiTheme="minorBidi"/>
          <w:sz w:val="24"/>
          <w:szCs w:val="24"/>
        </w:rPr>
        <w:t xml:space="preserve"> Torah leaders </w:t>
      </w:r>
      <w:r w:rsidR="001160AA">
        <w:rPr>
          <w:rFonts w:asciiTheme="minorBidi" w:eastAsia="Calibri" w:hAnsiTheme="minorBidi"/>
          <w:sz w:val="24"/>
          <w:szCs w:val="24"/>
        </w:rPr>
        <w:t xml:space="preserve">have </w:t>
      </w:r>
      <w:r w:rsidR="00DD02B8" w:rsidRPr="008E3DDF">
        <w:rPr>
          <w:rFonts w:asciiTheme="minorBidi" w:eastAsia="Calibri" w:hAnsiTheme="minorBidi"/>
          <w:sz w:val="24"/>
          <w:szCs w:val="24"/>
        </w:rPr>
        <w:t>entered churches.</w:t>
      </w:r>
      <w:r w:rsidR="00DD02B8" w:rsidRPr="008E3DDF">
        <w:rPr>
          <w:rStyle w:val="a5"/>
          <w:rFonts w:asciiTheme="minorBidi" w:eastAsia="Calibri" w:hAnsiTheme="minorBidi"/>
          <w:sz w:val="24"/>
          <w:szCs w:val="24"/>
        </w:rPr>
        <w:footnoteReference w:id="10"/>
      </w:r>
      <w:r w:rsidR="00084283">
        <w:rPr>
          <w:rFonts w:asciiTheme="minorBidi" w:eastAsia="Calibri" w:hAnsiTheme="minorBidi"/>
          <w:sz w:val="24"/>
          <w:szCs w:val="24"/>
        </w:rPr>
        <w:t xml:space="preserve"> </w:t>
      </w:r>
    </w:p>
    <w:p w14:paraId="3552F774" w14:textId="77777777" w:rsidR="000B7BBE" w:rsidRPr="008E3DDF" w:rsidRDefault="000B7BBE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25391296" w14:textId="4BEFF7ED" w:rsidR="008E107D" w:rsidRPr="008E3DDF" w:rsidRDefault="00DD02B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>Those who opposed the visit argued that entering a church is a very severe matter</w:t>
      </w:r>
      <w:r w:rsidR="000B7BBE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1160AA">
        <w:rPr>
          <w:rFonts w:asciiTheme="minorBidi" w:eastAsia="Calibri" w:hAnsiTheme="minorBidi"/>
          <w:sz w:val="24"/>
          <w:szCs w:val="24"/>
        </w:rPr>
        <w:t>tantamount to idol worship,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B2746E" w:rsidRPr="008E3DDF">
        <w:rPr>
          <w:rFonts w:asciiTheme="minorBidi" w:eastAsia="Calibri" w:hAnsiTheme="minorBidi"/>
          <w:i/>
          <w:iCs/>
          <w:sz w:val="24"/>
          <w:szCs w:val="24"/>
        </w:rPr>
        <w:t>avoda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 xml:space="preserve"> zara</w:t>
      </w:r>
      <w:r w:rsidR="000B7BBE">
        <w:rPr>
          <w:rFonts w:asciiTheme="minorBidi" w:eastAsia="Calibri" w:hAnsiTheme="minorBidi"/>
          <w:i/>
          <w:iCs/>
          <w:sz w:val="24"/>
          <w:szCs w:val="24"/>
        </w:rPr>
        <w:t>;</w:t>
      </w:r>
      <w:r w:rsidR="008E107D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B2746E" w:rsidRPr="008E3DDF">
        <w:rPr>
          <w:rFonts w:asciiTheme="minorBidi" w:eastAsia="Calibri" w:hAnsiTheme="minorBidi"/>
          <w:sz w:val="24"/>
          <w:szCs w:val="24"/>
        </w:rPr>
        <w:t>they</w:t>
      </w:r>
      <w:r w:rsidRPr="008E3DDF">
        <w:rPr>
          <w:rFonts w:asciiTheme="minorBidi" w:eastAsia="Calibri" w:hAnsiTheme="minorBidi"/>
          <w:sz w:val="24"/>
          <w:szCs w:val="24"/>
        </w:rPr>
        <w:t xml:space="preserve"> quote</w:t>
      </w:r>
      <w:r w:rsidR="008E3DDF">
        <w:rPr>
          <w:rFonts w:asciiTheme="minorBidi" w:eastAsia="Calibri" w:hAnsiTheme="minorBidi"/>
          <w:sz w:val="24"/>
          <w:szCs w:val="24"/>
        </w:rPr>
        <w:t xml:space="preserve"> responsa</w:t>
      </w:r>
      <w:r w:rsidRPr="008E3DDF">
        <w:rPr>
          <w:rFonts w:asciiTheme="minorBidi" w:eastAsia="Calibri" w:hAnsiTheme="minorBidi"/>
          <w:sz w:val="24"/>
          <w:szCs w:val="24"/>
        </w:rPr>
        <w:t xml:space="preserve"> that forb</w:t>
      </w:r>
      <w:r w:rsidR="000B7BBE">
        <w:rPr>
          <w:rFonts w:asciiTheme="minorBidi" w:eastAsia="Calibri" w:hAnsiTheme="minorBidi"/>
          <w:sz w:val="24"/>
          <w:szCs w:val="24"/>
        </w:rPr>
        <w:t xml:space="preserve">id entering </w:t>
      </w:r>
      <w:r w:rsidR="001160AA">
        <w:rPr>
          <w:rFonts w:asciiTheme="minorBidi" w:eastAsia="Calibri" w:hAnsiTheme="minorBidi"/>
          <w:sz w:val="24"/>
          <w:szCs w:val="24"/>
        </w:rPr>
        <w:t>churches</w:t>
      </w:r>
      <w:r w:rsidRPr="008E3DDF">
        <w:rPr>
          <w:rFonts w:asciiTheme="minorBidi" w:eastAsia="Calibri" w:hAnsiTheme="minorBidi"/>
          <w:sz w:val="24"/>
          <w:szCs w:val="24"/>
        </w:rPr>
        <w:t xml:space="preserve"> even for the purposes mentioned above.</w:t>
      </w:r>
      <w:r w:rsidRPr="008E3DDF">
        <w:rPr>
          <w:rStyle w:val="a5"/>
          <w:rFonts w:asciiTheme="minorBidi" w:eastAsia="Calibri" w:hAnsiTheme="minorBidi"/>
          <w:sz w:val="24"/>
          <w:szCs w:val="24"/>
        </w:rPr>
        <w:footnoteReference w:id="11"/>
      </w:r>
    </w:p>
    <w:p w14:paraId="4D490016" w14:textId="04953A5E" w:rsidR="00DD02B8" w:rsidRPr="008E3DDF" w:rsidRDefault="00DD02B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58C9AC2A" w14:textId="5ACA2A7B" w:rsidR="00A23F1C" w:rsidRPr="008E3DDF" w:rsidRDefault="00DD02B8" w:rsidP="00920FE7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8E3DDF">
        <w:rPr>
          <w:rFonts w:asciiTheme="minorBidi" w:eastAsia="Calibri" w:hAnsiTheme="minorBidi"/>
          <w:sz w:val="24"/>
          <w:szCs w:val="24"/>
        </w:rPr>
        <w:t xml:space="preserve">As mentioned above, if the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1160AA">
        <w:rPr>
          <w:rFonts w:asciiTheme="minorBidi" w:eastAsia="Calibri" w:hAnsiTheme="minorBidi"/>
          <w:sz w:val="24"/>
          <w:szCs w:val="24"/>
        </w:rPr>
        <w:t>for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chukot ha</w:t>
      </w:r>
      <w:r w:rsidR="008E3DDF">
        <w:rPr>
          <w:rFonts w:asciiTheme="minorBidi" w:eastAsia="Calibri" w:hAnsiTheme="minorBidi"/>
          <w:i/>
          <w:iCs/>
          <w:sz w:val="24"/>
          <w:szCs w:val="24"/>
        </w:rPr>
        <w:t>-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goy</w:t>
      </w:r>
      <w:r w:rsidR="008E3DDF">
        <w:rPr>
          <w:rFonts w:asciiTheme="minorBidi" w:eastAsia="Calibri" w:hAnsiTheme="minorBidi"/>
          <w:i/>
          <w:iCs/>
          <w:sz w:val="24"/>
          <w:szCs w:val="24"/>
        </w:rPr>
        <w:t>im</w:t>
      </w:r>
      <w:r w:rsidRPr="008E3DDF">
        <w:rPr>
          <w:rFonts w:asciiTheme="minorBidi" w:eastAsia="Calibri" w:hAnsiTheme="minorBidi"/>
          <w:sz w:val="24"/>
          <w:szCs w:val="24"/>
        </w:rPr>
        <w:t xml:space="preserve"> is based on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pikuach nefesh</w:t>
      </w:r>
      <w:r w:rsidR="001160AA">
        <w:rPr>
          <w:rFonts w:asciiTheme="minorBidi" w:eastAsia="Calibri" w:hAnsiTheme="minorBidi"/>
          <w:i/>
          <w:iCs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there is room to </w:t>
      </w:r>
      <w:r w:rsidR="00875346" w:rsidRPr="008E3DDF">
        <w:rPr>
          <w:rFonts w:asciiTheme="minorBidi" w:eastAsia="Calibri" w:hAnsiTheme="minorBidi"/>
          <w:sz w:val="24"/>
          <w:szCs w:val="24"/>
        </w:rPr>
        <w:t>claim</w:t>
      </w:r>
      <w:r w:rsidRPr="008E3DDF">
        <w:rPr>
          <w:rFonts w:asciiTheme="minorBidi" w:eastAsia="Calibri" w:hAnsiTheme="minorBidi"/>
          <w:sz w:val="24"/>
          <w:szCs w:val="24"/>
        </w:rPr>
        <w:t xml:space="preserve"> that the same argument could </w:t>
      </w:r>
      <w:r w:rsidR="00B2746E" w:rsidRPr="008E3DDF">
        <w:rPr>
          <w:rFonts w:asciiTheme="minorBidi" w:eastAsia="Calibri" w:hAnsiTheme="minorBidi"/>
          <w:sz w:val="24"/>
          <w:szCs w:val="24"/>
        </w:rPr>
        <w:t>b</w:t>
      </w:r>
      <w:r w:rsidRPr="008E3DDF">
        <w:rPr>
          <w:rFonts w:asciiTheme="minorBidi" w:eastAsia="Calibri" w:hAnsiTheme="minorBidi"/>
          <w:sz w:val="24"/>
          <w:szCs w:val="24"/>
        </w:rPr>
        <w:t>e made for entering a church</w:t>
      </w:r>
      <w:r w:rsidR="000B7BBE">
        <w:rPr>
          <w:rFonts w:asciiTheme="minorBidi" w:eastAsia="Calibri" w:hAnsiTheme="minorBidi"/>
          <w:sz w:val="24"/>
          <w:szCs w:val="24"/>
        </w:rPr>
        <w:t>. H</w:t>
      </w:r>
      <w:r w:rsidRPr="008E3DDF">
        <w:rPr>
          <w:rFonts w:asciiTheme="minorBidi" w:eastAsia="Calibri" w:hAnsiTheme="minorBidi"/>
          <w:sz w:val="24"/>
          <w:szCs w:val="24"/>
        </w:rPr>
        <w:t>owever</w:t>
      </w:r>
      <w:r w:rsidR="00B2746E" w:rsidRPr="008E3DDF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if the </w:t>
      </w:r>
      <w:r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Pr="008E3DDF">
        <w:rPr>
          <w:rFonts w:asciiTheme="minorBidi" w:eastAsia="Calibri" w:hAnsiTheme="minorBidi"/>
          <w:sz w:val="24"/>
          <w:szCs w:val="24"/>
        </w:rPr>
        <w:t xml:space="preserve"> is</w:t>
      </w:r>
      <w:r w:rsidR="000B7BBE">
        <w:rPr>
          <w:rFonts w:asciiTheme="minorBidi" w:eastAsia="Calibri" w:hAnsiTheme="minorBidi"/>
          <w:sz w:val="24"/>
          <w:szCs w:val="24"/>
        </w:rPr>
        <w:t>,</w:t>
      </w:r>
      <w:r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875346" w:rsidRPr="008E3DDF">
        <w:rPr>
          <w:rFonts w:asciiTheme="minorBidi" w:eastAsia="Calibri" w:hAnsiTheme="minorBidi"/>
          <w:sz w:val="24"/>
          <w:szCs w:val="24"/>
        </w:rPr>
        <w:t>as Rav Wasserman suggests</w:t>
      </w:r>
      <w:r w:rsidR="001160AA">
        <w:rPr>
          <w:rFonts w:asciiTheme="minorBidi" w:eastAsia="Calibri" w:hAnsiTheme="minorBidi"/>
          <w:sz w:val="24"/>
          <w:szCs w:val="24"/>
        </w:rPr>
        <w:t>,</w:t>
      </w:r>
      <w:r w:rsidR="00875346" w:rsidRPr="008E3DDF">
        <w:rPr>
          <w:rFonts w:asciiTheme="minorBidi" w:eastAsia="Calibri" w:hAnsiTheme="minorBidi"/>
          <w:sz w:val="24"/>
          <w:szCs w:val="24"/>
        </w:rPr>
        <w:t xml:space="preserve"> a local</w:t>
      </w:r>
      <w:r w:rsidR="001160AA">
        <w:rPr>
          <w:rFonts w:asciiTheme="minorBidi" w:eastAsia="Calibri" w:hAnsiTheme="minorBidi"/>
          <w:sz w:val="24"/>
          <w:szCs w:val="24"/>
        </w:rPr>
        <w:t>ized</w:t>
      </w:r>
      <w:r w:rsidR="00875346" w:rsidRPr="008E3DDF">
        <w:rPr>
          <w:rFonts w:asciiTheme="minorBidi" w:eastAsia="Calibri" w:hAnsiTheme="minorBidi"/>
          <w:sz w:val="24"/>
          <w:szCs w:val="24"/>
        </w:rPr>
        <w:t xml:space="preserve"> </w:t>
      </w:r>
      <w:r w:rsidR="00875346" w:rsidRPr="008E3DDF">
        <w:rPr>
          <w:rFonts w:asciiTheme="minorBidi" w:eastAsia="Calibri" w:hAnsiTheme="minorBidi"/>
          <w:i/>
          <w:iCs/>
          <w:sz w:val="24"/>
          <w:szCs w:val="24"/>
        </w:rPr>
        <w:t>heter</w:t>
      </w:r>
      <w:r w:rsidR="00875346" w:rsidRPr="008E3DDF">
        <w:rPr>
          <w:rFonts w:asciiTheme="minorBidi" w:eastAsia="Calibri" w:hAnsiTheme="minorBidi"/>
          <w:sz w:val="24"/>
          <w:szCs w:val="24"/>
        </w:rPr>
        <w:t xml:space="preserve">, then it very difficult to permit </w:t>
      </w:r>
      <w:r w:rsidR="000B7BBE">
        <w:rPr>
          <w:rFonts w:asciiTheme="minorBidi" w:eastAsia="Calibri" w:hAnsiTheme="minorBidi"/>
          <w:sz w:val="24"/>
          <w:szCs w:val="24"/>
        </w:rPr>
        <w:t xml:space="preserve">entering a </w:t>
      </w:r>
      <w:r w:rsidR="00875346" w:rsidRPr="008E3DDF">
        <w:rPr>
          <w:rFonts w:asciiTheme="minorBidi" w:eastAsia="Calibri" w:hAnsiTheme="minorBidi"/>
          <w:sz w:val="24"/>
          <w:szCs w:val="24"/>
        </w:rPr>
        <w:t>church.</w:t>
      </w:r>
    </w:p>
    <w:sectPr w:rsidR="00A23F1C" w:rsidRPr="008E3D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120CB" w14:textId="77777777" w:rsidR="00203C06" w:rsidRDefault="00203C06" w:rsidP="00971AD4">
      <w:pPr>
        <w:spacing w:after="0" w:line="240" w:lineRule="auto"/>
      </w:pPr>
      <w:r>
        <w:separator/>
      </w:r>
    </w:p>
  </w:endnote>
  <w:endnote w:type="continuationSeparator" w:id="0">
    <w:p w14:paraId="17833EFA" w14:textId="77777777" w:rsidR="00203C06" w:rsidRDefault="00203C06" w:rsidP="0097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547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7E616" w14:textId="6E7FF5C4" w:rsidR="00B2746E" w:rsidRDefault="00B274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2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9A4A91" w14:textId="77777777" w:rsidR="00B2746E" w:rsidRDefault="00B274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06AE" w14:textId="77777777" w:rsidR="00203C06" w:rsidRDefault="00203C06" w:rsidP="00971AD4">
      <w:pPr>
        <w:spacing w:after="0" w:line="240" w:lineRule="auto"/>
      </w:pPr>
      <w:r>
        <w:separator/>
      </w:r>
    </w:p>
  </w:footnote>
  <w:footnote w:type="continuationSeparator" w:id="0">
    <w:p w14:paraId="5FCDEABB" w14:textId="77777777" w:rsidR="00203C06" w:rsidRDefault="00203C06" w:rsidP="00971AD4">
      <w:pPr>
        <w:spacing w:after="0" w:line="240" w:lineRule="auto"/>
      </w:pPr>
      <w:r>
        <w:continuationSeparator/>
      </w:r>
    </w:p>
  </w:footnote>
  <w:footnote w:id="1">
    <w:p w14:paraId="4898B69F" w14:textId="60D0E563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For more information</w:t>
      </w:r>
      <w:r w:rsidR="00084283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see the biography of Abarbanel written by historian Benzion Netanyahu</w:t>
      </w:r>
      <w:r w:rsidR="00084283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</w:t>
      </w:r>
      <w:r w:rsidR="005971CE" w:rsidRPr="005971CE">
        <w:rPr>
          <w:rFonts w:asciiTheme="minorBidi" w:hAnsiTheme="minorBidi"/>
          <w:i/>
          <w:iCs/>
        </w:rPr>
        <w:t>Don Isaac Abravanel: Statesman &amp; Philosopher</w:t>
      </w:r>
      <w:r w:rsidR="005971CE">
        <w:rPr>
          <w:rFonts w:asciiTheme="minorBidi" w:hAnsiTheme="minorBidi"/>
        </w:rPr>
        <w:t>,</w:t>
      </w:r>
      <w:r w:rsidR="00B8029C">
        <w:rPr>
          <w:rFonts w:asciiTheme="minorBidi" w:hAnsiTheme="minorBidi"/>
        </w:rPr>
        <w:t xml:space="preserve"> </w:t>
      </w:r>
      <w:bookmarkStart w:id="1" w:name="_GoBack"/>
      <w:bookmarkEnd w:id="1"/>
      <w:r w:rsidR="005971CE" w:rsidRPr="005971CE">
        <w:rPr>
          <w:rFonts w:asciiTheme="minorBidi" w:hAnsiTheme="minorBidi"/>
        </w:rPr>
        <w:t>Cornell University Press</w:t>
      </w:r>
      <w:r w:rsidR="005971CE">
        <w:rPr>
          <w:rFonts w:asciiTheme="minorBidi" w:hAnsiTheme="minorBidi"/>
        </w:rPr>
        <w:t xml:space="preserve">, </w:t>
      </w:r>
      <w:r w:rsidRPr="008E3DDF">
        <w:rPr>
          <w:rFonts w:asciiTheme="minorBidi" w:hAnsiTheme="minorBidi"/>
        </w:rPr>
        <w:t xml:space="preserve">as well as </w:t>
      </w:r>
      <w:r w:rsidR="006258AC" w:rsidRPr="001846EA">
        <w:rPr>
          <w:rFonts w:asciiTheme="minorBidi" w:hAnsiTheme="minorBidi"/>
          <w:i/>
          <w:iCs/>
        </w:rPr>
        <w:t>E</w:t>
      </w:r>
      <w:r w:rsidRPr="001846EA">
        <w:rPr>
          <w:rFonts w:asciiTheme="minorBidi" w:hAnsiTheme="minorBidi"/>
          <w:i/>
          <w:iCs/>
        </w:rPr>
        <w:t>ncyclopedia Judaica</w:t>
      </w:r>
      <w:r w:rsidR="00084283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Vol.</w:t>
      </w:r>
      <w:r w:rsidR="00084283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>2</w:t>
      </w:r>
      <w:r w:rsidR="00084283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pp.</w:t>
      </w:r>
      <w:r w:rsidR="00084283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 xml:space="preserve">103-110. See also </w:t>
      </w:r>
      <w:r w:rsidR="00B2746E" w:rsidRPr="008E3DDF">
        <w:rPr>
          <w:rFonts w:asciiTheme="minorBidi" w:hAnsiTheme="minorBidi"/>
        </w:rPr>
        <w:t xml:space="preserve">Dr. </w:t>
      </w:r>
      <w:r w:rsidRPr="008E3DDF">
        <w:rPr>
          <w:rFonts w:asciiTheme="minorBidi" w:hAnsiTheme="minorBidi"/>
        </w:rPr>
        <w:t xml:space="preserve">Avigail Rock’s article at: </w:t>
      </w:r>
      <w:hyperlink r:id="rId1" w:history="1">
        <w:r w:rsidRPr="008E3DDF">
          <w:rPr>
            <w:rStyle w:val="Hyperlink"/>
            <w:rFonts w:asciiTheme="minorBidi" w:hAnsiTheme="minorBidi"/>
          </w:rPr>
          <w:t>https://www.etzion.org.il/en/lecture-23-abarbanel</w:t>
        </w:r>
      </w:hyperlink>
    </w:p>
  </w:footnote>
  <w:footnote w:id="2">
    <w:p w14:paraId="7AA26BEB" w14:textId="740A6BC2" w:rsidR="0076614F" w:rsidRPr="008E3DDF" w:rsidRDefault="0076614F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For a list of all the di</w:t>
      </w:r>
      <w:r w:rsidR="00B2746E" w:rsidRPr="008E3DDF">
        <w:rPr>
          <w:rFonts w:asciiTheme="minorBidi" w:hAnsiTheme="minorBidi"/>
        </w:rPr>
        <w:t xml:space="preserve">fferent </w:t>
      </w:r>
      <w:r w:rsidR="008E3DDF">
        <w:rPr>
          <w:rFonts w:asciiTheme="minorBidi" w:hAnsiTheme="minorBidi"/>
        </w:rPr>
        <w:t>allowances</w:t>
      </w:r>
      <w:r w:rsidR="00B2746E" w:rsidRPr="008E3DDF">
        <w:rPr>
          <w:rFonts w:asciiTheme="minorBidi" w:hAnsiTheme="minorBidi"/>
        </w:rPr>
        <w:t>, see Rav Yehuda</w:t>
      </w:r>
      <w:r w:rsidRPr="008E3DDF">
        <w:rPr>
          <w:rFonts w:asciiTheme="minorBidi" w:hAnsiTheme="minorBidi"/>
        </w:rPr>
        <w:t xml:space="preserve"> Z</w:t>
      </w:r>
      <w:r w:rsidR="008E3DDF">
        <w:rPr>
          <w:rFonts w:asciiTheme="minorBidi" w:hAnsiTheme="minorBidi"/>
        </w:rPr>
        <w:t>o</w:t>
      </w:r>
      <w:r w:rsidRPr="008E3DDF">
        <w:rPr>
          <w:rFonts w:asciiTheme="minorBidi" w:hAnsiTheme="minorBidi"/>
        </w:rPr>
        <w:t xml:space="preserve">ldan, </w:t>
      </w:r>
      <w:r w:rsidRPr="001846EA">
        <w:rPr>
          <w:rFonts w:asciiTheme="minorBidi" w:hAnsiTheme="minorBidi"/>
          <w:i/>
          <w:iCs/>
        </w:rPr>
        <w:t>Techumin</w:t>
      </w:r>
      <w:r w:rsidR="00312D87">
        <w:rPr>
          <w:rFonts w:asciiTheme="minorBidi" w:hAnsiTheme="minorBidi"/>
          <w:i/>
          <w:iCs/>
        </w:rPr>
        <w:t>,</w:t>
      </w:r>
      <w:r w:rsidRPr="008E3DDF">
        <w:rPr>
          <w:rFonts w:asciiTheme="minorBidi" w:hAnsiTheme="minorBidi"/>
        </w:rPr>
        <w:t xml:space="preserve"> Vol. 21</w:t>
      </w:r>
      <w:r w:rsidR="00312D87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pp. 171-179</w:t>
      </w:r>
      <w:r w:rsidR="00312D87">
        <w:rPr>
          <w:rFonts w:asciiTheme="minorBidi" w:hAnsiTheme="minorBidi"/>
        </w:rPr>
        <w:t>.</w:t>
      </w:r>
    </w:p>
  </w:footnote>
  <w:footnote w:id="3">
    <w:p w14:paraId="2D0ABE93" w14:textId="4ED4D9DA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="00312D87" w:rsidRPr="00DA5022">
        <w:rPr>
          <w:rFonts w:asciiTheme="minorBidi" w:hAnsiTheme="minorBidi"/>
          <w:i/>
          <w:iCs/>
        </w:rPr>
        <w:t xml:space="preserve">Hilkhot </w:t>
      </w:r>
      <w:hyperlink r:id="rId2" w:tooltip="Avodat Kochavim - Chapter Ten" w:history="1">
        <w:r w:rsidRPr="00DA5022">
          <w:rPr>
            <w:rStyle w:val="Hyperlink"/>
            <w:rFonts w:asciiTheme="minorBidi" w:hAnsiTheme="minorBidi"/>
            <w:i/>
            <w:iCs/>
            <w:color w:val="auto"/>
            <w:u w:val="none"/>
          </w:rPr>
          <w:t>Avodat Ko</w:t>
        </w:r>
        <w:r w:rsidR="008E3DDF" w:rsidRPr="00DA5022">
          <w:rPr>
            <w:rStyle w:val="Hyperlink"/>
            <w:rFonts w:asciiTheme="minorBidi" w:hAnsiTheme="minorBidi"/>
            <w:i/>
            <w:iCs/>
            <w:color w:val="auto"/>
            <w:u w:val="none"/>
          </w:rPr>
          <w:t>k</w:t>
        </w:r>
        <w:r w:rsidRPr="00DA5022">
          <w:rPr>
            <w:rStyle w:val="Hyperlink"/>
            <w:rFonts w:asciiTheme="minorBidi" w:hAnsiTheme="minorBidi"/>
            <w:i/>
            <w:iCs/>
            <w:color w:val="auto"/>
            <w:u w:val="none"/>
          </w:rPr>
          <w:t>havim 10:1</w:t>
        </w:r>
      </w:hyperlink>
      <w:r w:rsidR="00312D87">
        <w:rPr>
          <w:rStyle w:val="Hyperlink"/>
          <w:rFonts w:asciiTheme="minorBidi" w:hAnsiTheme="minorBidi"/>
          <w:color w:val="auto"/>
          <w:u w:val="none"/>
        </w:rPr>
        <w:t>.</w:t>
      </w:r>
    </w:p>
  </w:footnote>
  <w:footnote w:id="4">
    <w:p w14:paraId="5F44F72A" w14:textId="56B65B15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  <w:i/>
          <w:iCs/>
        </w:rPr>
        <w:t>Shulchan Aru</w:t>
      </w:r>
      <w:r w:rsidR="00B2746E" w:rsidRPr="008E3DDF">
        <w:rPr>
          <w:rFonts w:asciiTheme="minorBidi" w:hAnsiTheme="minorBidi"/>
          <w:i/>
          <w:iCs/>
        </w:rPr>
        <w:t>k</w:t>
      </w:r>
      <w:r w:rsidRPr="008E3DDF">
        <w:rPr>
          <w:rFonts w:asciiTheme="minorBidi" w:hAnsiTheme="minorBidi"/>
          <w:i/>
          <w:iCs/>
        </w:rPr>
        <w:t>h</w:t>
      </w:r>
      <w:r w:rsidR="00D473D5">
        <w:rPr>
          <w:rFonts w:asciiTheme="minorBidi" w:hAnsiTheme="minorBidi"/>
          <w:i/>
          <w:iCs/>
        </w:rPr>
        <w:t>,</w:t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YD</w:t>
      </w:r>
      <w:r w:rsidR="00875346" w:rsidRPr="008E3DDF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>178:2</w:t>
      </w:r>
    </w:p>
  </w:footnote>
  <w:footnote w:id="5">
    <w:p w14:paraId="004117D8" w14:textId="2CD11B22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Responsa Tashb</w:t>
      </w:r>
      <w:r w:rsidR="008E3DDF" w:rsidRPr="001846EA">
        <w:rPr>
          <w:rFonts w:asciiTheme="minorBidi" w:hAnsiTheme="minorBidi"/>
          <w:i/>
          <w:iCs/>
        </w:rPr>
        <w:t>a</w:t>
      </w:r>
      <w:r w:rsidRPr="001846EA">
        <w:rPr>
          <w:rFonts w:asciiTheme="minorBidi" w:hAnsiTheme="minorBidi"/>
          <w:i/>
          <w:iCs/>
        </w:rPr>
        <w:t>tz</w:t>
      </w:r>
      <w:r w:rsidRPr="008E3DDF">
        <w:rPr>
          <w:rFonts w:asciiTheme="minorBidi" w:hAnsiTheme="minorBidi"/>
        </w:rPr>
        <w:t xml:space="preserve"> 3:93</w:t>
      </w:r>
      <w:r w:rsidR="000B7BBE">
        <w:rPr>
          <w:rFonts w:asciiTheme="minorBidi" w:hAnsiTheme="minorBidi"/>
        </w:rPr>
        <w:t>.</w:t>
      </w:r>
    </w:p>
  </w:footnote>
  <w:footnote w:id="6">
    <w:p w14:paraId="4D6E2255" w14:textId="6A9D581F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Chatam Sofer, OC</w:t>
      </w:r>
      <w:r w:rsidRPr="008E3DDF">
        <w:rPr>
          <w:rFonts w:asciiTheme="minorBidi" w:hAnsiTheme="minorBidi"/>
        </w:rPr>
        <w:t xml:space="preserve"> 158.</w:t>
      </w:r>
    </w:p>
  </w:footnote>
  <w:footnote w:id="7">
    <w:p w14:paraId="5715804D" w14:textId="6D0AAD68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  <w:i/>
          <w:iCs/>
        </w:rPr>
        <w:t xml:space="preserve">Teshuvot </w:t>
      </w:r>
      <w:r w:rsidR="008E3DDF">
        <w:rPr>
          <w:rFonts w:asciiTheme="minorBidi" w:hAnsiTheme="minorBidi"/>
          <w:i/>
          <w:iCs/>
        </w:rPr>
        <w:t>Maharic</w:t>
      </w:r>
      <w:r w:rsidRPr="008E3DDF">
        <w:rPr>
          <w:rFonts w:asciiTheme="minorBidi" w:hAnsiTheme="minorBidi"/>
        </w:rPr>
        <w:t xml:space="preserve"> 88</w:t>
      </w:r>
      <w:r w:rsidR="000B7BBE">
        <w:rPr>
          <w:rFonts w:asciiTheme="minorBidi" w:hAnsiTheme="minorBidi"/>
        </w:rPr>
        <w:t>.</w:t>
      </w:r>
    </w:p>
  </w:footnote>
  <w:footnote w:id="8">
    <w:p w14:paraId="34C8D16F" w14:textId="2677D954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  <w:i/>
          <w:iCs/>
        </w:rPr>
        <w:t>Shulchan Aru</w:t>
      </w:r>
      <w:r w:rsidR="00B2746E" w:rsidRPr="008E3DDF">
        <w:rPr>
          <w:rFonts w:asciiTheme="minorBidi" w:hAnsiTheme="minorBidi"/>
          <w:i/>
          <w:iCs/>
        </w:rPr>
        <w:t>k</w:t>
      </w:r>
      <w:r w:rsidRPr="008E3DDF">
        <w:rPr>
          <w:rFonts w:asciiTheme="minorBidi" w:hAnsiTheme="minorBidi"/>
          <w:i/>
          <w:iCs/>
        </w:rPr>
        <w:t>h</w:t>
      </w:r>
      <w:r w:rsidR="00875346" w:rsidRPr="008E3DDF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Y</w:t>
      </w:r>
      <w:r w:rsidR="00875346" w:rsidRPr="001846EA">
        <w:rPr>
          <w:rFonts w:asciiTheme="minorBidi" w:hAnsiTheme="minorBidi"/>
          <w:i/>
          <w:iCs/>
        </w:rPr>
        <w:t>D</w:t>
      </w:r>
      <w:r w:rsidRPr="008E3DDF">
        <w:rPr>
          <w:rFonts w:asciiTheme="minorBidi" w:hAnsiTheme="minorBidi"/>
        </w:rPr>
        <w:t xml:space="preserve"> 178:1</w:t>
      </w:r>
      <w:r w:rsidR="000B7BBE">
        <w:rPr>
          <w:rFonts w:asciiTheme="minorBidi" w:hAnsiTheme="minorBidi"/>
        </w:rPr>
        <w:t>.</w:t>
      </w:r>
    </w:p>
  </w:footnote>
  <w:footnote w:id="9">
    <w:p w14:paraId="0CCD53EA" w14:textId="4D295171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  <w:i/>
          <w:iCs/>
        </w:rPr>
        <w:t>Kovetz Shiurim, Bava Kama</w:t>
      </w:r>
      <w:r w:rsidRPr="008E3DDF">
        <w:rPr>
          <w:rFonts w:asciiTheme="minorBidi" w:hAnsiTheme="minorBidi"/>
        </w:rPr>
        <w:t xml:space="preserve"> 98</w:t>
      </w:r>
    </w:p>
  </w:footnote>
  <w:footnote w:id="10">
    <w:p w14:paraId="6C14115D" w14:textId="41840CE0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See</w:t>
      </w:r>
      <w:r w:rsidR="001160AA" w:rsidRPr="008E3DDF">
        <w:rPr>
          <w:rFonts w:asciiTheme="minorBidi" w:hAnsiTheme="minorBidi"/>
        </w:rPr>
        <w:t xml:space="preserve"> Michael J. Broyde and Kenneth Auman</w:t>
      </w:r>
      <w:r w:rsidR="001160AA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</w:t>
      </w:r>
      <w:r w:rsidR="000B7BBE">
        <w:rPr>
          <w:rFonts w:asciiTheme="minorBidi" w:hAnsiTheme="minorBidi"/>
        </w:rPr>
        <w:t>“</w:t>
      </w:r>
      <w:r w:rsidRPr="008E3DDF">
        <w:rPr>
          <w:rFonts w:asciiTheme="minorBidi" w:hAnsiTheme="minorBidi"/>
        </w:rPr>
        <w:t xml:space="preserve">Entering a Sanctuary for </w:t>
      </w:r>
      <w:r w:rsidRPr="001846EA">
        <w:rPr>
          <w:rFonts w:asciiTheme="minorBidi" w:hAnsiTheme="minorBidi"/>
          <w:i/>
          <w:iCs/>
        </w:rPr>
        <w:t>Hatzalat Yisrael</w:t>
      </w:r>
      <w:r w:rsidRPr="008E3DDF">
        <w:rPr>
          <w:rFonts w:asciiTheme="minorBidi" w:hAnsiTheme="minorBidi"/>
        </w:rPr>
        <w:t>: An Exchange,</w:t>
      </w:r>
      <w:r w:rsidR="001160AA">
        <w:rPr>
          <w:rFonts w:asciiTheme="minorBidi" w:hAnsiTheme="minorBidi"/>
        </w:rPr>
        <w:t>”</w:t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Hakirah</w:t>
      </w:r>
      <w:r w:rsidR="000B7BBE">
        <w:rPr>
          <w:rFonts w:asciiTheme="minorBidi" w:hAnsiTheme="minorBidi"/>
        </w:rPr>
        <w:t>:</w:t>
      </w:r>
      <w:r w:rsidRPr="008E3DDF">
        <w:rPr>
          <w:rFonts w:asciiTheme="minorBidi" w:hAnsiTheme="minorBidi"/>
        </w:rPr>
        <w:t xml:space="preserve"> </w:t>
      </w:r>
      <w:r w:rsidR="000B7BBE">
        <w:rPr>
          <w:rFonts w:asciiTheme="minorBidi" w:hAnsiTheme="minorBidi"/>
        </w:rPr>
        <w:t>T</w:t>
      </w:r>
      <w:r w:rsidRPr="008E3DDF">
        <w:rPr>
          <w:rFonts w:asciiTheme="minorBidi" w:hAnsiTheme="minorBidi"/>
        </w:rPr>
        <w:t xml:space="preserve">he Flatbush Journal of Jewish </w:t>
      </w:r>
      <w:r w:rsidR="000B7BBE">
        <w:rPr>
          <w:rFonts w:asciiTheme="minorBidi" w:hAnsiTheme="minorBidi"/>
        </w:rPr>
        <w:t>L</w:t>
      </w:r>
      <w:r w:rsidRPr="008E3DDF">
        <w:rPr>
          <w:rFonts w:asciiTheme="minorBidi" w:hAnsiTheme="minorBidi"/>
        </w:rPr>
        <w:t xml:space="preserve">aw and </w:t>
      </w:r>
      <w:r w:rsidR="000B7BBE">
        <w:rPr>
          <w:rFonts w:asciiTheme="minorBidi" w:hAnsiTheme="minorBidi"/>
        </w:rPr>
        <w:t>T</w:t>
      </w:r>
      <w:r w:rsidRPr="008E3DDF">
        <w:rPr>
          <w:rFonts w:asciiTheme="minorBidi" w:hAnsiTheme="minorBidi"/>
        </w:rPr>
        <w:t>hought</w:t>
      </w:r>
      <w:r w:rsidR="000B7BBE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>8</w:t>
      </w:r>
      <w:r w:rsidR="000B7BBE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pp.</w:t>
      </w:r>
      <w:r w:rsidR="000B7BBE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 xml:space="preserve">53-68. </w:t>
      </w:r>
      <w:r w:rsidR="000B7BBE">
        <w:rPr>
          <w:rFonts w:asciiTheme="minorBidi" w:hAnsiTheme="minorBidi"/>
        </w:rPr>
        <w:t xml:space="preserve">The article is available </w:t>
      </w:r>
      <w:r w:rsidRPr="008E3DDF">
        <w:rPr>
          <w:rFonts w:asciiTheme="minorBidi" w:hAnsiTheme="minorBidi"/>
        </w:rPr>
        <w:t>at:</w:t>
      </w:r>
      <w:r w:rsidR="000B7BBE">
        <w:rPr>
          <w:rFonts w:asciiTheme="minorBidi" w:hAnsiTheme="minorBidi"/>
        </w:rPr>
        <w:t xml:space="preserve"> </w:t>
      </w:r>
      <w:hyperlink r:id="rId3" w:history="1">
        <w:r w:rsidRPr="001846EA">
          <w:rPr>
            <w:rStyle w:val="Hyperlink"/>
            <w:rFonts w:asciiTheme="minorBidi" w:hAnsiTheme="minorBidi"/>
          </w:rPr>
          <w:t>http://www.hakirah.org/Vol%208%20Broyde.pdf</w:t>
        </w:r>
      </w:hyperlink>
    </w:p>
  </w:footnote>
  <w:footnote w:id="11">
    <w:p w14:paraId="01563D88" w14:textId="1C0F9C42" w:rsidR="00DD02B8" w:rsidRPr="008E3DDF" w:rsidRDefault="00DD02B8" w:rsidP="00920FE7">
      <w:pPr>
        <w:pStyle w:val="a3"/>
        <w:jc w:val="both"/>
        <w:rPr>
          <w:rFonts w:asciiTheme="minorBidi" w:hAnsiTheme="minorBidi"/>
        </w:rPr>
      </w:pPr>
      <w:r w:rsidRPr="008E3DDF">
        <w:rPr>
          <w:rStyle w:val="a5"/>
          <w:rFonts w:asciiTheme="minorBidi" w:hAnsiTheme="minorBidi"/>
        </w:rPr>
        <w:footnoteRef/>
      </w:r>
      <w:r w:rsidRPr="008E3DDF">
        <w:rPr>
          <w:rFonts w:asciiTheme="minorBidi" w:hAnsiTheme="minorBidi"/>
        </w:rPr>
        <w:t xml:space="preserve"> Rav Ovadya Yosef forbade an Israeli ambassador to enter a church. See </w:t>
      </w:r>
      <w:r w:rsidRPr="001846EA">
        <w:rPr>
          <w:rFonts w:asciiTheme="minorBidi" w:hAnsiTheme="minorBidi"/>
          <w:i/>
          <w:iCs/>
        </w:rPr>
        <w:t>Yabia Omer</w:t>
      </w:r>
      <w:r w:rsidR="000B7BBE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Vol.</w:t>
      </w:r>
      <w:r w:rsidR="000B7BBE">
        <w:rPr>
          <w:rFonts w:asciiTheme="minorBidi" w:hAnsiTheme="minorBidi"/>
        </w:rPr>
        <w:t xml:space="preserve"> </w:t>
      </w:r>
      <w:r w:rsidRPr="008E3DDF">
        <w:rPr>
          <w:rFonts w:asciiTheme="minorBidi" w:hAnsiTheme="minorBidi"/>
        </w:rPr>
        <w:t>7</w:t>
      </w:r>
      <w:r w:rsidR="000B7BBE">
        <w:rPr>
          <w:rFonts w:asciiTheme="minorBidi" w:hAnsiTheme="minorBidi"/>
        </w:rPr>
        <w:t>,</w:t>
      </w:r>
      <w:r w:rsidRPr="008E3DDF">
        <w:rPr>
          <w:rFonts w:asciiTheme="minorBidi" w:hAnsiTheme="minorBidi"/>
        </w:rPr>
        <w:t xml:space="preserve"> </w:t>
      </w:r>
      <w:r w:rsidRPr="001846EA">
        <w:rPr>
          <w:rFonts w:asciiTheme="minorBidi" w:hAnsiTheme="minorBidi"/>
          <w:i/>
          <w:iCs/>
        </w:rPr>
        <w:t>YD</w:t>
      </w:r>
      <w:r w:rsidRPr="008E3DDF">
        <w:rPr>
          <w:rFonts w:asciiTheme="minorBidi" w:hAnsiTheme="minorBidi"/>
        </w:rPr>
        <w:t xml:space="preserve"> 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085"/>
    <w:multiLevelType w:val="hybridMultilevel"/>
    <w:tmpl w:val="3F48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14"/>
    <w:rsid w:val="00034E81"/>
    <w:rsid w:val="0007095A"/>
    <w:rsid w:val="00084283"/>
    <w:rsid w:val="000B7BBE"/>
    <w:rsid w:val="001115DD"/>
    <w:rsid w:val="001147AF"/>
    <w:rsid w:val="001151BE"/>
    <w:rsid w:val="001160AA"/>
    <w:rsid w:val="001846EA"/>
    <w:rsid w:val="001F6B98"/>
    <w:rsid w:val="00203C06"/>
    <w:rsid w:val="00237C1E"/>
    <w:rsid w:val="00265618"/>
    <w:rsid w:val="00267F12"/>
    <w:rsid w:val="002A6AF0"/>
    <w:rsid w:val="002D307A"/>
    <w:rsid w:val="002E26A8"/>
    <w:rsid w:val="0030678D"/>
    <w:rsid w:val="00312D87"/>
    <w:rsid w:val="003325CF"/>
    <w:rsid w:val="00370A55"/>
    <w:rsid w:val="0038599E"/>
    <w:rsid w:val="00400A47"/>
    <w:rsid w:val="005971CE"/>
    <w:rsid w:val="005D3DC3"/>
    <w:rsid w:val="005E1FF6"/>
    <w:rsid w:val="00624182"/>
    <w:rsid w:val="00624BB3"/>
    <w:rsid w:val="006258AC"/>
    <w:rsid w:val="00626457"/>
    <w:rsid w:val="0064737F"/>
    <w:rsid w:val="00660FE1"/>
    <w:rsid w:val="00666353"/>
    <w:rsid w:val="006D3C2C"/>
    <w:rsid w:val="006D7790"/>
    <w:rsid w:val="007156C8"/>
    <w:rsid w:val="007433DE"/>
    <w:rsid w:val="0076614F"/>
    <w:rsid w:val="007A7D17"/>
    <w:rsid w:val="007E4193"/>
    <w:rsid w:val="00816E76"/>
    <w:rsid w:val="00822F6C"/>
    <w:rsid w:val="00823F8D"/>
    <w:rsid w:val="00875346"/>
    <w:rsid w:val="008E107D"/>
    <w:rsid w:val="008E3DDF"/>
    <w:rsid w:val="008F2033"/>
    <w:rsid w:val="00902A00"/>
    <w:rsid w:val="009205D0"/>
    <w:rsid w:val="00920FE7"/>
    <w:rsid w:val="00932AFD"/>
    <w:rsid w:val="00971AD4"/>
    <w:rsid w:val="0097689B"/>
    <w:rsid w:val="0099280E"/>
    <w:rsid w:val="009E5014"/>
    <w:rsid w:val="009F3034"/>
    <w:rsid w:val="00A07887"/>
    <w:rsid w:val="00A23F1C"/>
    <w:rsid w:val="00A2492C"/>
    <w:rsid w:val="00A6668D"/>
    <w:rsid w:val="00A83AEC"/>
    <w:rsid w:val="00A93BEC"/>
    <w:rsid w:val="00AA24C4"/>
    <w:rsid w:val="00AB586E"/>
    <w:rsid w:val="00B2746E"/>
    <w:rsid w:val="00B55EBE"/>
    <w:rsid w:val="00B65C62"/>
    <w:rsid w:val="00B7188D"/>
    <w:rsid w:val="00B8029C"/>
    <w:rsid w:val="00BA1FE6"/>
    <w:rsid w:val="00BC32F8"/>
    <w:rsid w:val="00BD1128"/>
    <w:rsid w:val="00C22BC5"/>
    <w:rsid w:val="00C5273A"/>
    <w:rsid w:val="00CD7546"/>
    <w:rsid w:val="00D25BED"/>
    <w:rsid w:val="00D26421"/>
    <w:rsid w:val="00D473D5"/>
    <w:rsid w:val="00D60F39"/>
    <w:rsid w:val="00D85118"/>
    <w:rsid w:val="00DA5022"/>
    <w:rsid w:val="00DC05C6"/>
    <w:rsid w:val="00DD02B8"/>
    <w:rsid w:val="00DE2C8B"/>
    <w:rsid w:val="00DF2AE4"/>
    <w:rsid w:val="00DF37B5"/>
    <w:rsid w:val="00E10AF7"/>
    <w:rsid w:val="00E60CB9"/>
    <w:rsid w:val="00E666DE"/>
    <w:rsid w:val="00E70B5D"/>
    <w:rsid w:val="00E85237"/>
    <w:rsid w:val="00ED72F4"/>
    <w:rsid w:val="00EF46DF"/>
    <w:rsid w:val="00F2098D"/>
    <w:rsid w:val="00F601A0"/>
    <w:rsid w:val="00F63E25"/>
    <w:rsid w:val="00F93E08"/>
    <w:rsid w:val="00FA07A6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9494"/>
  <w15:chartTrackingRefBased/>
  <w15:docId w15:val="{D787C206-7B43-4439-A6F2-93A59361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E501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E5014"/>
    <w:rPr>
      <w:color w:val="605E5C"/>
      <w:shd w:val="clear" w:color="auto" w:fill="E1DFDD"/>
    </w:rPr>
  </w:style>
  <w:style w:type="paragraph" w:styleId="a3">
    <w:name w:val="footnote text"/>
    <w:basedOn w:val="a"/>
    <w:link w:val="a4"/>
    <w:uiPriority w:val="99"/>
    <w:semiHidden/>
    <w:unhideWhenUsed/>
    <w:rsid w:val="00971AD4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71A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1AD4"/>
    <w:rPr>
      <w:vertAlign w:val="superscript"/>
    </w:rPr>
  </w:style>
  <w:style w:type="paragraph" w:styleId="a6">
    <w:name w:val="List Paragraph"/>
    <w:basedOn w:val="a"/>
    <w:uiPriority w:val="34"/>
    <w:qFormat/>
    <w:rsid w:val="00034E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2746E"/>
  </w:style>
  <w:style w:type="paragraph" w:styleId="a9">
    <w:name w:val="footer"/>
    <w:basedOn w:val="a"/>
    <w:link w:val="aa"/>
    <w:uiPriority w:val="99"/>
    <w:unhideWhenUsed/>
    <w:rsid w:val="00B2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2746E"/>
  </w:style>
  <w:style w:type="character" w:styleId="FollowedHyperlink">
    <w:name w:val="FollowedHyperlink"/>
    <w:basedOn w:val="a0"/>
    <w:uiPriority w:val="99"/>
    <w:semiHidden/>
    <w:unhideWhenUsed/>
    <w:rsid w:val="00B2746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E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05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714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31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kirah.org/Vol%208%20Broyde.pdf" TargetMode="External"/><Relationship Id="rId2" Type="http://schemas.openxmlformats.org/officeDocument/2006/relationships/hyperlink" Target="https://www.chabad.org/library/article_cdo/aid/912369/jewish/Avodat-Kochavim-Chapter-Ten.htm" TargetMode="External"/><Relationship Id="rId1" Type="http://schemas.openxmlformats.org/officeDocument/2006/relationships/hyperlink" Target="https://www.etzion.org.il/en/lecture-23-abarba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AB80-44FD-455F-9A86-43F5F9F1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4</cp:revision>
  <dcterms:created xsi:type="dcterms:W3CDTF">2020-05-05T13:49:00Z</dcterms:created>
  <dcterms:modified xsi:type="dcterms:W3CDTF">2020-05-05T13:52:00Z</dcterms:modified>
</cp:coreProperties>
</file>