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YESHIVAT HAR ETZION</w:t>
      </w:r>
    </w:p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ISRAEL KOSCHITZKY VIRTUAL BEIT MIDRASH (VBM</w:t>
      </w:r>
      <w:r w:rsidRPr="007258BB">
        <w:rPr>
          <w:rFonts w:asciiTheme="minorBidi" w:hAnsiTheme="minorBidi" w:cstheme="minorBidi"/>
          <w:sz w:val="24"/>
          <w:szCs w:val="24"/>
          <w:rtl/>
        </w:rPr>
        <w:t>)</w:t>
      </w:r>
    </w:p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>**************************************************************</w:t>
      </w:r>
    </w:p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</w:p>
    <w:p w:rsidR="007258BB" w:rsidRPr="00E7205D" w:rsidRDefault="00E7205D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7205D">
        <w:rPr>
          <w:rFonts w:asciiTheme="minorBidi" w:hAnsiTheme="minorBidi" w:cstheme="minorBidi"/>
          <w:b/>
          <w:bCs/>
          <w:sz w:val="24"/>
          <w:szCs w:val="24"/>
        </w:rPr>
        <w:t>ASARA BE-TEVE</w:t>
      </w:r>
      <w:bookmarkStart w:id="0" w:name="_GoBack"/>
      <w:bookmarkEnd w:id="0"/>
      <w:r w:rsidRPr="00E7205D">
        <w:rPr>
          <w:rFonts w:asciiTheme="minorBidi" w:hAnsiTheme="minorBidi" w:cstheme="minorBidi"/>
          <w:b/>
          <w:bCs/>
          <w:sz w:val="24"/>
          <w:szCs w:val="24"/>
        </w:rPr>
        <w:t>T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The Tenth of Tevet has traditionally been observed as Yom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Ha-Kaddish Ha-kelali, the day we recite Kaddish for people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whose date of death is unknown.  Consequently, many rabbis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have designated it as a day of remembrance for the Holocaust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ED638A" w:rsidRDefault="007258BB" w:rsidP="00ED638A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We therefore present here some of Harav Lichtenstein's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 xml:space="preserve">reflections on the Holocaust.  </w:t>
      </w:r>
    </w:p>
    <w:p w:rsidR="007258BB" w:rsidRDefault="007258BB" w:rsidP="00ED638A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For Harav Amital's personal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recollections of the Holocaust, see "</w:t>
      </w:r>
      <w:hyperlink r:id="rId8" w:history="1">
        <w:r w:rsidRPr="007258BB">
          <w:rPr>
            <w:rStyle w:val="Hyperlink"/>
            <w:rFonts w:asciiTheme="minorBidi" w:hAnsiTheme="minorBidi" w:cstheme="minorBidi"/>
            <w:sz w:val="24"/>
            <w:szCs w:val="24"/>
          </w:rPr>
          <w:t>Forty Years Later</w:t>
        </w:r>
      </w:hyperlink>
      <w:r w:rsidR="00ED638A">
        <w:rPr>
          <w:rFonts w:asciiTheme="minorBidi" w:hAnsiTheme="minorBidi" w:cstheme="minorBidi"/>
          <w:sz w:val="24"/>
          <w:szCs w:val="24"/>
          <w:rtl/>
        </w:rPr>
        <w:t>,</w:t>
      </w:r>
      <w:r w:rsidR="00ED638A">
        <w:rPr>
          <w:rFonts w:asciiTheme="minorBidi" w:hAnsiTheme="minorBidi" w:cstheme="minorBidi"/>
          <w:sz w:val="24"/>
          <w:szCs w:val="24"/>
        </w:rPr>
        <w:t>”</w:t>
      </w:r>
      <w:r w:rsidR="00ED638A" w:rsidRPr="00ED638A">
        <w:t xml:space="preserve"> </w:t>
      </w:r>
      <w:r w:rsidR="00ED638A">
        <w:t>(</w:t>
      </w:r>
      <w:hyperlink r:id="rId9" w:history="1">
        <w:r w:rsidR="00ED638A" w:rsidRPr="000B0B2E">
          <w:rPr>
            <w:rStyle w:val="Hyperlink"/>
            <w:rFonts w:asciiTheme="minorBidi" w:hAnsiTheme="minorBidi" w:cstheme="minorBidi"/>
            <w:sz w:val="24"/>
            <w:szCs w:val="24"/>
          </w:rPr>
          <w:t>http://etzion.org.il/en/topics/jewish-tragedy</w:t>
        </w:r>
      </w:hyperlink>
      <w:r w:rsidR="00ED638A">
        <w:rPr>
          <w:rFonts w:asciiTheme="minorBidi" w:hAnsiTheme="minorBidi" w:cstheme="minorBidi"/>
          <w:sz w:val="24"/>
          <w:szCs w:val="24"/>
        </w:rPr>
        <w:t>)</w:t>
      </w:r>
    </w:p>
    <w:p w:rsidR="00ED638A" w:rsidRDefault="00ED638A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258BB" w:rsidRDefault="007258BB" w:rsidP="00ED638A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May we merit seeing this fast day turned into a day of joy, as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prophesied by Zekharia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ED638A" w:rsidRPr="007258BB" w:rsidRDefault="00ED638A" w:rsidP="00ED638A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</w:p>
    <w:p w:rsid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>**************************************************************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258BB">
        <w:rPr>
          <w:rFonts w:asciiTheme="minorBidi" w:hAnsiTheme="minorBidi" w:cstheme="minorBidi"/>
          <w:b/>
          <w:bCs/>
          <w:sz w:val="24"/>
          <w:szCs w:val="24"/>
        </w:rPr>
        <w:t>The Challenges of the Holocaust</w:t>
      </w:r>
    </w:p>
    <w:p w:rsidR="007258BB" w:rsidRPr="007258BB" w:rsidRDefault="007258BB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7258BB">
        <w:rPr>
          <w:rFonts w:asciiTheme="minorBidi" w:hAnsiTheme="minorBidi" w:cstheme="minorBidi"/>
          <w:b/>
          <w:bCs/>
          <w:sz w:val="24"/>
          <w:szCs w:val="24"/>
        </w:rPr>
        <w:t>Based on a sicha by Harav Aharon Lichtenstein</w:t>
      </w:r>
    </w:p>
    <w:p w:rsidR="00ED638A" w:rsidRDefault="00ED638A" w:rsidP="007258BB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</w:p>
    <w:p w:rsidR="007258BB" w:rsidRPr="007258BB" w:rsidRDefault="007258BB" w:rsidP="00ED638A">
      <w:pPr>
        <w:bidi w:val="0"/>
        <w:spacing w:after="0" w:line="240" w:lineRule="auto"/>
        <w:jc w:val="center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Translated by Kaeren Fish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The Holocaust as a phenomenon raises many intractable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questions.  On a cultural level, we can ask, in the words of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George Steiner, how it is possible that a person can listen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Brahms and read Goethe in the evening, and wake up in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morning and go to work as commandant of a death camp.  On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social level, we can ask how the Holocaust grew out of other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historical phenomena.  But the question which concerns us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principally is the prophetic question which echoes throughout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generations: why do the righteous suffer - the question of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theodicy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A number of possible approaches exist in tackling this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problem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9C1583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a. </w:t>
      </w:r>
      <w:r w:rsidRPr="007258BB">
        <w:rPr>
          <w:rFonts w:asciiTheme="minorBidi" w:hAnsiTheme="minorBidi" w:cstheme="minorBidi"/>
          <w:sz w:val="24"/>
          <w:szCs w:val="24"/>
        </w:rPr>
        <w:t>Not only is it not true that God ignored what was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going on, but - on the contrary - the Holocaust represented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fulfillment of His will.  We need to recognize this and to</w:t>
      </w:r>
      <w:r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confess that it was "because of our sins...," to see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Holocaust as a punishment, and to answer the question of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suffering of the righteous with another question: why do we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ignore our own behavior which preceded the Holocaust?  If we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are so concerned with th</w:t>
      </w:r>
      <w:r w:rsidR="009C1583">
        <w:rPr>
          <w:rFonts w:asciiTheme="minorBidi" w:hAnsiTheme="minorBidi" w:cstheme="minorBidi"/>
          <w:sz w:val="24"/>
          <w:szCs w:val="24"/>
        </w:rPr>
        <w:t>e fulfillment of the prophecy of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9C1583">
        <w:rPr>
          <w:rFonts w:asciiTheme="minorBidi" w:hAnsiTheme="minorBidi" w:cstheme="minorBidi"/>
          <w:sz w:val="24"/>
          <w:szCs w:val="24"/>
        </w:rPr>
        <w:t>“</w:t>
      </w:r>
      <w:r w:rsidRPr="007258BB">
        <w:rPr>
          <w:rFonts w:asciiTheme="minorBidi" w:hAnsiTheme="minorBidi" w:cstheme="minorBidi"/>
          <w:sz w:val="24"/>
          <w:szCs w:val="24"/>
        </w:rPr>
        <w:t>women consuming their own offspring," why do we not conduct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 xml:space="preserve">an </w:t>
      </w:r>
      <w:r w:rsidRPr="007258BB">
        <w:rPr>
          <w:rFonts w:asciiTheme="minorBidi" w:hAnsiTheme="minorBidi" w:cstheme="minorBidi"/>
          <w:sz w:val="24"/>
          <w:szCs w:val="24"/>
        </w:rPr>
        <w:lastRenderedPageBreak/>
        <w:t>equal level of soul-search</w:t>
      </w:r>
      <w:r w:rsidR="009C1583">
        <w:rPr>
          <w:rFonts w:asciiTheme="minorBidi" w:hAnsiTheme="minorBidi" w:cstheme="minorBidi"/>
          <w:sz w:val="24"/>
          <w:szCs w:val="24"/>
        </w:rPr>
        <w:t xml:space="preserve">ing when faced with the image of </w:t>
      </w:r>
      <w:r w:rsidRPr="007258BB">
        <w:rPr>
          <w:rFonts w:asciiTheme="minorBidi" w:hAnsiTheme="minorBidi" w:cstheme="minorBidi"/>
          <w:sz w:val="24"/>
          <w:szCs w:val="24"/>
          <w:rtl/>
        </w:rPr>
        <w:t>"</w:t>
      </w:r>
      <w:r w:rsidRPr="007258BB">
        <w:rPr>
          <w:rFonts w:asciiTheme="minorBidi" w:hAnsiTheme="minorBidi" w:cstheme="minorBidi"/>
          <w:sz w:val="24"/>
          <w:szCs w:val="24"/>
        </w:rPr>
        <w:t>priest and prophet have been slain in God's sanctuary</w:t>
      </w:r>
      <w:r w:rsidRPr="007258BB">
        <w:rPr>
          <w:rFonts w:asciiTheme="minorBidi" w:hAnsiTheme="minorBidi" w:cstheme="minorBidi"/>
          <w:sz w:val="24"/>
          <w:szCs w:val="24"/>
          <w:rtl/>
        </w:rPr>
        <w:t>?"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>
        <w:rPr>
          <w:rFonts w:asciiTheme="minorBidi" w:hAnsiTheme="minorBidi" w:cstheme="minorBidi"/>
          <w:sz w:val="24"/>
          <w:szCs w:val="24"/>
        </w:rPr>
        <w:t xml:space="preserve">b. </w:t>
      </w:r>
      <w:r w:rsidRPr="007258BB">
        <w:rPr>
          <w:rFonts w:asciiTheme="minorBidi" w:hAnsiTheme="minorBidi" w:cstheme="minorBidi"/>
          <w:sz w:val="24"/>
          <w:szCs w:val="24"/>
        </w:rPr>
        <w:t>The completely opposite approach: God has given man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free choice, and He now is - as it were - unable to interfere</w:t>
      </w:r>
      <w:r>
        <w:rPr>
          <w:rFonts w:asciiTheme="minorBidi" w:hAnsiTheme="minorBidi" w:cstheme="minorBidi"/>
          <w:sz w:val="24"/>
          <w:szCs w:val="24"/>
        </w:rPr>
        <w:t>.</w:t>
      </w:r>
      <w:r w:rsidR="009C1583">
        <w:rPr>
          <w:rFonts w:asciiTheme="minorBidi" w:hAnsiTheme="minorBidi" w:cstheme="minorBidi"/>
          <w:sz w:val="24"/>
          <w:szCs w:val="24"/>
        </w:rPr>
        <w:t xml:space="preserve"> “</w:t>
      </w:r>
      <w:r w:rsidRPr="007258BB">
        <w:rPr>
          <w:rFonts w:asciiTheme="minorBidi" w:hAnsiTheme="minorBidi" w:cstheme="minorBidi"/>
          <w:sz w:val="24"/>
          <w:szCs w:val="24"/>
        </w:rPr>
        <w:t>When the powers of destruction are allowed to act, they do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not distinguish between the righteous and the wicked" (Bava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Kama 60a</w:t>
      </w:r>
      <w:r>
        <w:rPr>
          <w:rFonts w:asciiTheme="minorBidi" w:hAnsiTheme="minorBidi" w:cstheme="minorBidi"/>
          <w:sz w:val="24"/>
          <w:szCs w:val="24"/>
        </w:rPr>
        <w:t>)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c</w:t>
      </w:r>
      <w:r>
        <w:rPr>
          <w:rFonts w:asciiTheme="minorBidi" w:hAnsiTheme="minorBidi" w:cstheme="minorBidi"/>
          <w:sz w:val="24"/>
          <w:szCs w:val="24"/>
        </w:rPr>
        <w:t xml:space="preserve">. </w:t>
      </w:r>
      <w:r w:rsidRPr="007258BB">
        <w:rPr>
          <w:rFonts w:asciiTheme="minorBidi" w:hAnsiTheme="minorBidi" w:cstheme="minorBidi"/>
          <w:sz w:val="24"/>
          <w:szCs w:val="24"/>
        </w:rPr>
        <w:t>A combination of these approaches: The Holocaust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represents the "hiding of God's face" (hester panim).  It is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neither a purposeful act on His part, nor is He bound by human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freedom of choice, but rather it is a situation whereby God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withdrew His hand because of the sins of Am Yisrael.  We may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ask why God hid His face, despite the fact that He could have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saved us, and the answer (according to this approach) is that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since modern secularism broke off all contact with God, as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described in parashat Vayelekh, this severance became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reciprocal.  God hid His face as a natural result of our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severance of contact with Him - not as a punishment but as a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consequence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9C1583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However, it may be preferable to remain with the problem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Pr="007258BB">
        <w:rPr>
          <w:rFonts w:asciiTheme="minorBidi" w:hAnsiTheme="minorBidi" w:cstheme="minorBidi"/>
          <w:sz w:val="24"/>
          <w:szCs w:val="24"/>
        </w:rPr>
        <w:t>even if it is multiplied six million times - than to accept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any of these answers.  Not because there are better ones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Pr="007258BB">
        <w:rPr>
          <w:rFonts w:asciiTheme="minorBidi" w:hAnsiTheme="minorBidi" w:cstheme="minorBidi"/>
          <w:sz w:val="24"/>
          <w:szCs w:val="24"/>
        </w:rPr>
        <w:t>there are not, and these answers may theoretically be correct</w:t>
      </w:r>
      <w:r>
        <w:rPr>
          <w:rFonts w:asciiTheme="minorBidi" w:hAnsiTheme="minorBidi" w:cstheme="minorBidi"/>
          <w:sz w:val="24"/>
          <w:szCs w:val="24"/>
        </w:rPr>
        <w:t>.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We should not reject out</w:t>
      </w:r>
      <w:r w:rsidR="009C1583">
        <w:rPr>
          <w:rFonts w:asciiTheme="minorBidi" w:hAnsiTheme="minorBidi" w:cstheme="minorBidi"/>
          <w:sz w:val="24"/>
          <w:szCs w:val="24"/>
        </w:rPr>
        <w:t>right the answer which maintain “</w:t>
      </w:r>
      <w:r w:rsidRPr="007258BB">
        <w:rPr>
          <w:rFonts w:asciiTheme="minorBidi" w:hAnsiTheme="minorBidi" w:cstheme="minorBidi"/>
          <w:sz w:val="24"/>
          <w:szCs w:val="24"/>
        </w:rPr>
        <w:t>because of our sins" - who are we to instruct Divine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Providence as to how to punish?  However, morally we dare not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say this, since by uttering this answer we have to see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European Jewry as a terribly wicked community, to the extent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that it brought the Holocaust upon itself, or alternatively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adjust our standards and to say that such terrible punishments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are the appropriate response to very ordinary sins.  Yeshayahu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was punished for saying, "I dwell amongst a nation of unclean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lips."  For us to make such a serious accusation against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previous generation is certainly more serious than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accusation made by Yeshayahu; who would dare to say that there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is even some comparison between the punished and those who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effected the punishment?  Among the victims were people of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highest spiritual level, saints from birth and childhood.  On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other hand, if we change our standards of sin and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punishment, then we have to see the God of the Thirteen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Attributes of Mercy in a completely different light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The second answer - maintaining that God's hands were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tied, as it were - we must also reject, for this would imply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that we deny Him any role in the course of history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The third answer, that of "hiding His face," leaves us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with a question: why?  Was the situation so dire that we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really deserved for God to hide His face from us?  For those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us who believe, it is preferable to remain with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question and with the faith which surrounds it rather than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try and snatch at excuses of one kind or another.  We cannot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nor will we ever be able to provide an adequate explanation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for what happened.  Someone once said, in response to a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 xml:space="preserve">question </w:t>
      </w:r>
      <w:r w:rsidRPr="007258BB">
        <w:rPr>
          <w:rFonts w:asciiTheme="minorBidi" w:hAnsiTheme="minorBidi" w:cstheme="minorBidi"/>
          <w:sz w:val="24"/>
          <w:szCs w:val="24"/>
        </w:rPr>
        <w:lastRenderedPageBreak/>
        <w:t>as to whether he believed an explanation would ever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be found for the Holocaust, "I hope not."  A woman once asked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my neighbor Leib Rochman, a Holocaust survivor, "Where was God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during the Holocaust?"  He replied, "He was with us."  That is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only response - "I am with him in distress."  The question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exists, but we are unable to supply an explanation for even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smaller details of history's course because we cannot see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entire picture; how much greater, then, is our inability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explain an event of this magnitude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We are not judged by our ability to find or create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convoluted explanations.  Our test lies in not forgetting and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in learning lessons for the future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Firstly, we are obligated to remember, and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remembrance is twofold.  The Gemara speaks of acts "in memory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the Temple," and this involves two dimensions.  A) There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are mitzvot which are prescribed in order to recall the Beit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HaMikdash: shaking of the lulav all seven days of Sukkot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, </w:t>
      </w:r>
      <w:r w:rsidRPr="007258BB">
        <w:rPr>
          <w:rFonts w:asciiTheme="minorBidi" w:hAnsiTheme="minorBidi" w:cstheme="minorBidi"/>
          <w:sz w:val="24"/>
          <w:szCs w:val="24"/>
        </w:rPr>
        <w:t>counting the Omer, etc.  B) We have to remember not only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glory and the splendor but also the destruction and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desolation.  In our case, too, we have to remember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glorious Judaism that was - not just as historical knowledge</w:t>
      </w:r>
      <w:r>
        <w:rPr>
          <w:rFonts w:asciiTheme="minorBidi" w:hAnsiTheme="minorBidi" w:cstheme="minorBidi"/>
          <w:sz w:val="24"/>
          <w:szCs w:val="24"/>
        </w:rPr>
        <w:t>,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but as part of a personal relationship, with love.  We have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remember the vibrant Jewish life that existed there, the Jews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who walked with their heads upright in the filthy ghetto and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created a rich world within that most difficult socio</w:t>
      </w:r>
      <w:r w:rsidRPr="007258BB">
        <w:rPr>
          <w:rFonts w:asciiTheme="minorBidi" w:hAnsiTheme="minorBidi" w:cstheme="minorBidi"/>
          <w:sz w:val="24"/>
          <w:szCs w:val="24"/>
          <w:rtl/>
        </w:rPr>
        <w:t>-</w:t>
      </w:r>
      <w:r w:rsidRPr="007258BB">
        <w:rPr>
          <w:rFonts w:asciiTheme="minorBidi" w:hAnsiTheme="minorBidi" w:cstheme="minorBidi"/>
          <w:sz w:val="24"/>
          <w:szCs w:val="24"/>
        </w:rPr>
        <w:t>political situation.  At the same time, we have to remember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personal tragedies, the fearsome destruction, the chaos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which befell the community and the individuals.  And although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there is generally a boundary to mourning - twelve months - in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"remembrances" of Rosh Hashana we recount every year our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communal remembrances, and these are never forgotten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In addition, we have to strive for a higher level of love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for our fellow Jews - not just on the basis of the communal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fate of the past, but on the basis of our destiny and our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common future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Thirdly, we have to learn from the poverty and suffering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the past how truly fortunate we are here and now, in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sense indicated by the mishna in Pirkei Avot: "Who is wealthy</w:t>
      </w:r>
      <w:r>
        <w:rPr>
          <w:rFonts w:asciiTheme="minorBidi" w:hAnsiTheme="minorBidi" w:cstheme="minorBidi"/>
          <w:sz w:val="24"/>
          <w:szCs w:val="24"/>
        </w:rPr>
        <w:t xml:space="preserve">? </w:t>
      </w:r>
      <w:r w:rsidRPr="007258BB">
        <w:rPr>
          <w:rFonts w:asciiTheme="minorBidi" w:hAnsiTheme="minorBidi" w:cstheme="minorBidi"/>
          <w:sz w:val="24"/>
          <w:szCs w:val="24"/>
        </w:rPr>
        <w:t>He who is satisfied with his lot."  Every person is capable of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seeing himself as discriminated against or lacking or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unfortunate in some respect, but when we encounter genuine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suffering it is easier to put everything into its proper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perspective and to regain our sense of priorities and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trivialities.  As part of this, perhaps we need to learn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appreciate little things too, even levels of spirituality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which are less than lofty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9C1583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Moreover, we have to learn humility when it comes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historical commentary.  Someone who cannot provide an answer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for what took place during the Holocaust should not be overly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eager in providing explanations for current events either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(</w:t>
      </w:r>
      <w:r w:rsidRPr="007258BB">
        <w:rPr>
          <w:rFonts w:asciiTheme="minorBidi" w:hAnsiTheme="minorBidi" w:cstheme="minorBidi"/>
          <w:sz w:val="24"/>
          <w:szCs w:val="24"/>
        </w:rPr>
        <w:t>even though this is sometimes convenient</w:t>
      </w:r>
      <w:r w:rsidR="009C1583">
        <w:rPr>
          <w:rFonts w:asciiTheme="minorBidi" w:hAnsiTheme="minorBidi" w:cstheme="minorBidi"/>
          <w:sz w:val="24"/>
          <w:szCs w:val="24"/>
        </w:rPr>
        <w:t xml:space="preserve">. </w:t>
      </w:r>
      <w:r w:rsidRPr="007258BB">
        <w:rPr>
          <w:rFonts w:asciiTheme="minorBidi" w:hAnsiTheme="minorBidi" w:cstheme="minorBidi"/>
          <w:sz w:val="24"/>
          <w:szCs w:val="24"/>
        </w:rPr>
        <w:t>Furthermore, one of the messages of the Holocaust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- </w:t>
      </w:r>
      <w:r w:rsidRPr="007258BB">
        <w:rPr>
          <w:rFonts w:asciiTheme="minorBidi" w:hAnsiTheme="minorBidi" w:cstheme="minorBidi"/>
          <w:sz w:val="24"/>
          <w:szCs w:val="24"/>
        </w:rPr>
        <w:t>paradoxical as it may seem - is that of faith.  If a person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experiences a period of intense difficulty and his faith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 xml:space="preserve">wavers a </w:t>
      </w:r>
      <w:r w:rsidRPr="007258BB">
        <w:rPr>
          <w:rFonts w:asciiTheme="minorBidi" w:hAnsiTheme="minorBidi" w:cstheme="minorBidi"/>
          <w:sz w:val="24"/>
          <w:szCs w:val="24"/>
        </w:rPr>
        <w:lastRenderedPageBreak/>
        <w:t>little as a result of his troubles, he has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remember those Jews who lived through the inferno and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persevered with perfect, pure faith; people who, in the midst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the hideous events which they experienced, continued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believe and persisted in their scrupulous observance of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mitzvot.  A person has to remember that each one of us is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capable of being an Avraham Avinu - someone who believes, even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if he is alone in his belief.  Someone once said that to be a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believing Jew means to be the last Jew on earth, and still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believe.  Dr. Zerach Warhaftig recounted how, when 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discovered Rav Yechiel Yaakov Weinberg (author of "Seridei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Eish") at the end of the war, the latter asked him, "Are there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other Jews left in the world?"  He had believed that he was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last, but nevertheless remained a Torah giant, firm in his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faith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Finally, we must be accompanied by a sense of mission, a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feeling of duty towards God as well as towards those who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sacrificed their lives.  Those of us who remain on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battlefield after the great decimation of God's army, as it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were, have to gird ourselves, take up their vision and carry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it forward.  The same responsibility which they carried is now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 lot of a much smaller community, and we therefore have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make much more of an effort.  In the past, a person who built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himself up was free to consider only himself and his own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personal interests.  In our generation, we have to see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ourselves as a part of Knesset Yisrael, continuing in the path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laid down by our fathers, lifting the baton that was struck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from their hands.  We are all, in a sense, survivors.  We must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always keep the interests of the community in mind and do our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best to serve it.  Moreover, our people's great and inspiring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vision has in no way dimmed, and we must rededicate ourselves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to pursuing its realization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9C1583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Someone was once asked, "After the Holocaust - you're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still a Jew?"  He immediately replied, "What else?  Should I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then become a gentile?"  Let us not become entangled in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meaningless questions of how they allowed themselves to be led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like sheep to the slaughter, etc.  What supreme heroism was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demonstrated there!  Jews sang on the way to the crematoria</w:t>
      </w:r>
      <w:r w:rsidR="009C1583">
        <w:rPr>
          <w:rFonts w:asciiTheme="minorBidi" w:hAnsiTheme="minorBidi" w:cstheme="minorBidi"/>
          <w:sz w:val="24"/>
          <w:szCs w:val="24"/>
        </w:rPr>
        <w:t xml:space="preserve"> - </w:t>
      </w:r>
      <w:r w:rsidR="009C1583" w:rsidRPr="007258BB">
        <w:rPr>
          <w:rFonts w:asciiTheme="minorBidi" w:hAnsiTheme="minorBidi" w:cstheme="minorBidi"/>
          <w:sz w:val="24"/>
          <w:szCs w:val="24"/>
        </w:rPr>
        <w:t>"</w:t>
      </w:r>
      <w:r w:rsidRPr="007258BB">
        <w:rPr>
          <w:rFonts w:asciiTheme="minorBidi" w:hAnsiTheme="minorBidi" w:cstheme="minorBidi"/>
          <w:sz w:val="24"/>
          <w:szCs w:val="24"/>
        </w:rPr>
        <w:t>Joyful are we; how good is our portion, how pleasant our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destiny!"  And it was not only the pious and righteous who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declared this</w:t>
      </w:r>
      <w:r w:rsidRPr="007258BB">
        <w:rPr>
          <w:rFonts w:asciiTheme="minorBidi" w:hAnsiTheme="minorBidi" w:cstheme="minorBidi"/>
          <w:sz w:val="24"/>
          <w:szCs w:val="24"/>
          <w:rtl/>
        </w:rPr>
        <w:t>.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  <w:rtl/>
        </w:rPr>
        <w:tab/>
      </w:r>
      <w:r w:rsidRPr="007258BB">
        <w:rPr>
          <w:rFonts w:asciiTheme="minorBidi" w:hAnsiTheme="minorBidi" w:cstheme="minorBidi"/>
          <w:sz w:val="24"/>
          <w:szCs w:val="24"/>
        </w:rPr>
        <w:t>Let us strengthen ourselves and continue with the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construction which they never completed through the building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the land and its development.  Anyone who emerges from Yad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VaShem experiences profound depression - and quite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understandably so.  But someone who emerges and sees the hills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Judah and Jerusalem rebuilt can take some comfort.  We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should not attempt to do "accounting" and to say that this is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God's compensation to us for the Holocaust.  The State of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Israel is not the solution to that problem but rather an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opportunity for us to fulfill our mission; not an answer but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rather a challenge and a destiny, and our responsibility is to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work towards its realization</w:t>
      </w:r>
      <w:r w:rsidRPr="007258BB">
        <w:rPr>
          <w:rFonts w:asciiTheme="minorBidi" w:hAnsiTheme="minorBidi" w:cstheme="minorBidi"/>
          <w:sz w:val="24"/>
          <w:szCs w:val="24"/>
          <w:rtl/>
        </w:rPr>
        <w:t>!</w:t>
      </w: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  <w:rtl/>
        </w:rPr>
      </w:pPr>
    </w:p>
    <w:p w:rsidR="007258BB" w:rsidRPr="007258BB" w:rsidRDefault="007258BB" w:rsidP="007258BB">
      <w:pPr>
        <w:bidi w:val="0"/>
        <w:spacing w:after="0" w:line="240" w:lineRule="auto"/>
        <w:jc w:val="both"/>
        <w:rPr>
          <w:rFonts w:asciiTheme="minorBidi" w:hAnsiTheme="minorBidi" w:cstheme="minorBidi"/>
          <w:sz w:val="24"/>
          <w:szCs w:val="24"/>
        </w:rPr>
      </w:pPr>
      <w:r w:rsidRPr="007258BB">
        <w:rPr>
          <w:rFonts w:asciiTheme="minorBidi" w:hAnsiTheme="minorBidi" w:cstheme="minorBidi"/>
          <w:sz w:val="24"/>
          <w:szCs w:val="24"/>
        </w:rPr>
        <w:t>This is a student summary of a sicha delivered on the Tenth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Pr="007258BB">
        <w:rPr>
          <w:rFonts w:asciiTheme="minorBidi" w:hAnsiTheme="minorBidi" w:cstheme="minorBidi"/>
          <w:sz w:val="24"/>
          <w:szCs w:val="24"/>
        </w:rPr>
        <w:t>of Tevet 5746 [1986].  It has not been reviewed by Rav</w:t>
      </w:r>
      <w:r w:rsidRPr="007258BB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Lichtenstein.</w:t>
      </w:r>
    </w:p>
    <w:sectPr w:rsidR="007258BB" w:rsidRPr="007258BB" w:rsidSect="007258BB">
      <w:pgSz w:w="12240" w:h="15840" w:code="1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BB" w:rsidRDefault="007258BB" w:rsidP="0098422D">
      <w:pPr>
        <w:spacing w:after="0" w:line="240" w:lineRule="auto"/>
      </w:pPr>
      <w:r>
        <w:separator/>
      </w:r>
    </w:p>
  </w:endnote>
  <w:endnote w:type="continuationSeparator" w:id="0">
    <w:p w:rsidR="007258BB" w:rsidRDefault="007258BB" w:rsidP="0098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BB" w:rsidRDefault="007258BB" w:rsidP="00E76935">
      <w:pPr>
        <w:bidi w:val="0"/>
        <w:spacing w:after="0" w:line="240" w:lineRule="auto"/>
      </w:pPr>
      <w:r>
        <w:separator/>
      </w:r>
    </w:p>
  </w:footnote>
  <w:footnote w:type="continuationSeparator" w:id="0">
    <w:p w:rsidR="007258BB" w:rsidRDefault="007258BB" w:rsidP="009842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2D"/>
    <w:rsid w:val="0010676E"/>
    <w:rsid w:val="00135F5A"/>
    <w:rsid w:val="001F6CA9"/>
    <w:rsid w:val="002A3A90"/>
    <w:rsid w:val="003252AD"/>
    <w:rsid w:val="00374655"/>
    <w:rsid w:val="003C4D74"/>
    <w:rsid w:val="004758CF"/>
    <w:rsid w:val="004B43E6"/>
    <w:rsid w:val="00545397"/>
    <w:rsid w:val="005E1DAD"/>
    <w:rsid w:val="00631E4F"/>
    <w:rsid w:val="00637A62"/>
    <w:rsid w:val="00682859"/>
    <w:rsid w:val="006A2EEE"/>
    <w:rsid w:val="007258BB"/>
    <w:rsid w:val="00765AB1"/>
    <w:rsid w:val="00772F0F"/>
    <w:rsid w:val="007A5E08"/>
    <w:rsid w:val="007D3BC2"/>
    <w:rsid w:val="007E0D51"/>
    <w:rsid w:val="0089547A"/>
    <w:rsid w:val="008B4882"/>
    <w:rsid w:val="008F473B"/>
    <w:rsid w:val="00965235"/>
    <w:rsid w:val="00977724"/>
    <w:rsid w:val="0098422D"/>
    <w:rsid w:val="009C1583"/>
    <w:rsid w:val="00A06016"/>
    <w:rsid w:val="00A07657"/>
    <w:rsid w:val="00AC0806"/>
    <w:rsid w:val="00AD7635"/>
    <w:rsid w:val="00CB5986"/>
    <w:rsid w:val="00D46C3B"/>
    <w:rsid w:val="00E7205D"/>
    <w:rsid w:val="00E76935"/>
    <w:rsid w:val="00EA08A6"/>
    <w:rsid w:val="00ED638A"/>
    <w:rsid w:val="00F23C5F"/>
    <w:rsid w:val="00F2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2D"/>
    <w:pPr>
      <w:bidi/>
      <w:spacing w:line="33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ציטוט1"/>
    <w:basedOn w:val="Normal"/>
    <w:link w:val="a"/>
    <w:qFormat/>
    <w:rsid w:val="0098422D"/>
    <w:pPr>
      <w:spacing w:after="0" w:line="240" w:lineRule="auto"/>
      <w:ind w:left="544" w:right="709"/>
      <w:jc w:val="both"/>
    </w:pPr>
    <w:rPr>
      <w:rFonts w:ascii="Times New Roman" w:hAnsi="Times New Roman" w:cs="Times New Roman"/>
      <w:b/>
      <w:bCs/>
    </w:rPr>
  </w:style>
  <w:style w:type="paragraph" w:customStyle="1" w:styleId="a0">
    <w:name w:val="כותרת"/>
    <w:basedOn w:val="Normal"/>
    <w:link w:val="a1"/>
    <w:qFormat/>
    <w:rsid w:val="0098422D"/>
    <w:rPr>
      <w:b/>
      <w:bCs/>
      <w:sz w:val="20"/>
      <w:szCs w:val="20"/>
      <w:u w:val="single"/>
    </w:rPr>
  </w:style>
  <w:style w:type="character" w:customStyle="1" w:styleId="a">
    <w:name w:val="ציטוט תו"/>
    <w:link w:val="1"/>
    <w:rsid w:val="0098422D"/>
    <w:rPr>
      <w:rFonts w:ascii="Times New Roman" w:eastAsia="Calibri" w:hAnsi="Times New Roman" w:cs="Times New Roman"/>
      <w:b/>
      <w:bCs/>
    </w:rPr>
  </w:style>
  <w:style w:type="character" w:customStyle="1" w:styleId="a1">
    <w:name w:val="כותרת תו"/>
    <w:link w:val="a0"/>
    <w:rsid w:val="0098422D"/>
    <w:rPr>
      <w:rFonts w:ascii="Calibri" w:eastAsia="Calibri" w:hAnsi="Calibri" w:cs="Arial"/>
      <w:b/>
      <w:bCs/>
      <w:sz w:val="20"/>
      <w:szCs w:val="20"/>
      <w:u w:val="single"/>
    </w:rPr>
  </w:style>
  <w:style w:type="character" w:styleId="FootnoteReference">
    <w:name w:val="footnote reference"/>
    <w:uiPriority w:val="99"/>
    <w:semiHidden/>
    <w:unhideWhenUsed/>
    <w:rsid w:val="0098422D"/>
    <w:rPr>
      <w:vertAlign w:val="superscript"/>
    </w:rPr>
  </w:style>
  <w:style w:type="paragraph" w:customStyle="1" w:styleId="a2">
    <w:name w:val="הערות"/>
    <w:basedOn w:val="FootnoteText"/>
    <w:link w:val="a3"/>
    <w:qFormat/>
    <w:rsid w:val="0098422D"/>
    <w:rPr>
      <w:rFonts w:ascii="Times New Roman" w:hAnsi="Times New Roman" w:cs="Times New Roman"/>
    </w:rPr>
  </w:style>
  <w:style w:type="character" w:customStyle="1" w:styleId="a3">
    <w:name w:val="הערות תו"/>
    <w:link w:val="a2"/>
    <w:rsid w:val="0098422D"/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2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22D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5E08"/>
    <w:rPr>
      <w:color w:val="0000FF" w:themeColor="hyperlink"/>
      <w:u w:val="single"/>
    </w:rPr>
  </w:style>
  <w:style w:type="paragraph" w:customStyle="1" w:styleId="CC">
    <w:name w:val="CC"/>
    <w:basedOn w:val="BodyText"/>
    <w:uiPriority w:val="99"/>
    <w:rsid w:val="00E76935"/>
    <w:pPr>
      <w:keepLines/>
      <w:widowControl w:val="0"/>
      <w:bidi w:val="0"/>
      <w:spacing w:after="160" w:line="36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76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935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D3BC2"/>
    <w:rPr>
      <w:color w:val="800080" w:themeColor="followedHyperlink"/>
      <w:u w:val="single"/>
    </w:rPr>
  </w:style>
  <w:style w:type="paragraph" w:customStyle="1" w:styleId="a4">
    <w:name w:val="פרשה"/>
    <w:basedOn w:val="Heading1"/>
    <w:uiPriority w:val="99"/>
    <w:rsid w:val="00637A62"/>
    <w:pPr>
      <w:keepLines w:val="0"/>
      <w:autoSpaceDE w:val="0"/>
      <w:autoSpaceDN w:val="0"/>
      <w:spacing w:before="0" w:after="60" w:line="240" w:lineRule="auto"/>
    </w:pPr>
    <w:rPr>
      <w:rFonts w:ascii="Times New Roman" w:eastAsia="Times New Roman" w:hAnsi="Times New Roman" w:cs="Arial"/>
      <w:color w:val="auto"/>
      <w:sz w:val="4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7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22D"/>
    <w:pPr>
      <w:bidi/>
      <w:spacing w:line="33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7A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ציטוט1"/>
    <w:basedOn w:val="Normal"/>
    <w:link w:val="a"/>
    <w:qFormat/>
    <w:rsid w:val="0098422D"/>
    <w:pPr>
      <w:spacing w:after="0" w:line="240" w:lineRule="auto"/>
      <w:ind w:left="544" w:right="709"/>
      <w:jc w:val="both"/>
    </w:pPr>
    <w:rPr>
      <w:rFonts w:ascii="Times New Roman" w:hAnsi="Times New Roman" w:cs="Times New Roman"/>
      <w:b/>
      <w:bCs/>
    </w:rPr>
  </w:style>
  <w:style w:type="paragraph" w:customStyle="1" w:styleId="a0">
    <w:name w:val="כותרת"/>
    <w:basedOn w:val="Normal"/>
    <w:link w:val="a1"/>
    <w:qFormat/>
    <w:rsid w:val="0098422D"/>
    <w:rPr>
      <w:b/>
      <w:bCs/>
      <w:sz w:val="20"/>
      <w:szCs w:val="20"/>
      <w:u w:val="single"/>
    </w:rPr>
  </w:style>
  <w:style w:type="character" w:customStyle="1" w:styleId="a">
    <w:name w:val="ציטוט תו"/>
    <w:link w:val="1"/>
    <w:rsid w:val="0098422D"/>
    <w:rPr>
      <w:rFonts w:ascii="Times New Roman" w:eastAsia="Calibri" w:hAnsi="Times New Roman" w:cs="Times New Roman"/>
      <w:b/>
      <w:bCs/>
    </w:rPr>
  </w:style>
  <w:style w:type="character" w:customStyle="1" w:styleId="a1">
    <w:name w:val="כותרת תו"/>
    <w:link w:val="a0"/>
    <w:rsid w:val="0098422D"/>
    <w:rPr>
      <w:rFonts w:ascii="Calibri" w:eastAsia="Calibri" w:hAnsi="Calibri" w:cs="Arial"/>
      <w:b/>
      <w:bCs/>
      <w:sz w:val="20"/>
      <w:szCs w:val="20"/>
      <w:u w:val="single"/>
    </w:rPr>
  </w:style>
  <w:style w:type="character" w:styleId="FootnoteReference">
    <w:name w:val="footnote reference"/>
    <w:uiPriority w:val="99"/>
    <w:semiHidden/>
    <w:unhideWhenUsed/>
    <w:rsid w:val="0098422D"/>
    <w:rPr>
      <w:vertAlign w:val="superscript"/>
    </w:rPr>
  </w:style>
  <w:style w:type="paragraph" w:customStyle="1" w:styleId="a2">
    <w:name w:val="הערות"/>
    <w:basedOn w:val="FootnoteText"/>
    <w:link w:val="a3"/>
    <w:qFormat/>
    <w:rsid w:val="0098422D"/>
    <w:rPr>
      <w:rFonts w:ascii="Times New Roman" w:hAnsi="Times New Roman" w:cs="Times New Roman"/>
    </w:rPr>
  </w:style>
  <w:style w:type="character" w:customStyle="1" w:styleId="a3">
    <w:name w:val="הערות תו"/>
    <w:link w:val="a2"/>
    <w:rsid w:val="0098422D"/>
    <w:rPr>
      <w:rFonts w:ascii="Times New Roman" w:eastAsia="Calibri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42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422D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5E08"/>
    <w:rPr>
      <w:color w:val="0000FF" w:themeColor="hyperlink"/>
      <w:u w:val="single"/>
    </w:rPr>
  </w:style>
  <w:style w:type="paragraph" w:customStyle="1" w:styleId="CC">
    <w:name w:val="CC"/>
    <w:basedOn w:val="BodyText"/>
    <w:uiPriority w:val="99"/>
    <w:rsid w:val="00E76935"/>
    <w:pPr>
      <w:keepLines/>
      <w:widowControl w:val="0"/>
      <w:bidi w:val="0"/>
      <w:spacing w:after="160" w:line="360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76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935"/>
    <w:rPr>
      <w:rFonts w:ascii="Calibri" w:eastAsia="Calibri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7D3BC2"/>
    <w:rPr>
      <w:color w:val="800080" w:themeColor="followedHyperlink"/>
      <w:u w:val="single"/>
    </w:rPr>
  </w:style>
  <w:style w:type="paragraph" w:customStyle="1" w:styleId="a4">
    <w:name w:val="פרשה"/>
    <w:basedOn w:val="Heading1"/>
    <w:uiPriority w:val="99"/>
    <w:rsid w:val="00637A62"/>
    <w:pPr>
      <w:keepLines w:val="0"/>
      <w:autoSpaceDE w:val="0"/>
      <w:autoSpaceDN w:val="0"/>
      <w:spacing w:before="0" w:after="60" w:line="240" w:lineRule="auto"/>
    </w:pPr>
    <w:rPr>
      <w:rFonts w:ascii="Times New Roman" w:eastAsia="Times New Roman" w:hAnsi="Times New Roman" w:cs="Arial"/>
      <w:color w:val="auto"/>
      <w:sz w:val="4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37A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zion.org.il/en/forty-years-later-personal-recollectio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tzion.org.il/en/topics/jewish-tragedy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8BA1-C22D-47F1-857C-2ACE916E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ארגון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כללי</dc:creator>
  <cp:lastModifiedBy>tmpUser</cp:lastModifiedBy>
  <cp:revision>5</cp:revision>
  <dcterms:created xsi:type="dcterms:W3CDTF">2017-12-26T09:36:00Z</dcterms:created>
  <dcterms:modified xsi:type="dcterms:W3CDTF">2017-12-26T09:57:00Z</dcterms:modified>
</cp:coreProperties>
</file>