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D8F324" w14:textId="77777777" w:rsidR="00A05E54" w:rsidRPr="00266994" w:rsidRDefault="00A05E54" w:rsidP="008F3453">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YESHIVAT HAR ETZION</w:t>
      </w:r>
    </w:p>
    <w:p w14:paraId="7EF4871D" w14:textId="77777777" w:rsidR="00A05E54" w:rsidRPr="00266994" w:rsidRDefault="00A05E54" w:rsidP="008F3453">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ISRAEL KOSCHITZKY VIRTUAL BEIT MIDRASH (VBM)</w:t>
      </w:r>
    </w:p>
    <w:p w14:paraId="05F057FA" w14:textId="77777777" w:rsidR="00A05E54" w:rsidRPr="00266994" w:rsidRDefault="00A05E54" w:rsidP="008F3453">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w:t>
      </w:r>
    </w:p>
    <w:p w14:paraId="706BCFC9" w14:textId="77777777" w:rsidR="00A05E54" w:rsidRPr="00266994" w:rsidRDefault="00A05E54" w:rsidP="008F3453">
      <w:pPr>
        <w:shd w:val="clear" w:color="auto" w:fill="FFFFFF"/>
        <w:spacing w:line="240" w:lineRule="auto"/>
        <w:jc w:val="center"/>
        <w:rPr>
          <w:rFonts w:asciiTheme="minorBidi" w:eastAsia="Times New Roman" w:hAnsiTheme="minorBidi" w:cstheme="minorBidi"/>
          <w:color w:val="222222"/>
          <w:sz w:val="24"/>
          <w:szCs w:val="24"/>
          <w:lang w:bidi="he-IL"/>
        </w:rPr>
      </w:pPr>
    </w:p>
    <w:p w14:paraId="730F342C" w14:textId="77777777" w:rsidR="00A05E54" w:rsidRPr="00266994" w:rsidRDefault="00A05E54" w:rsidP="008F3453">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i/>
          <w:iCs/>
          <w:caps/>
          <w:color w:val="222222"/>
          <w:sz w:val="24"/>
          <w:szCs w:val="24"/>
          <w:lang w:bidi="he-IL"/>
        </w:rPr>
        <w:t>SHIVAT TZION</w:t>
      </w:r>
      <w:r w:rsidRPr="00266994">
        <w:rPr>
          <w:rFonts w:asciiTheme="minorBidi" w:eastAsia="Times New Roman" w:hAnsiTheme="minorBidi" w:cstheme="minorBidi"/>
          <w:b/>
          <w:bCs/>
          <w:caps/>
          <w:color w:val="222222"/>
          <w:sz w:val="24"/>
          <w:szCs w:val="24"/>
          <w:lang w:bidi="he-IL"/>
        </w:rPr>
        <w:t>:</w:t>
      </w:r>
    </w:p>
    <w:p w14:paraId="29517A64" w14:textId="77777777" w:rsidR="00A05E54" w:rsidRPr="00266994" w:rsidRDefault="00A05E54" w:rsidP="008F3453">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caps/>
          <w:color w:val="222222"/>
          <w:sz w:val="24"/>
          <w:szCs w:val="24"/>
          <w:lang w:bidi="he-IL"/>
        </w:rPr>
        <w:t>INTRODUCTION TO THE PROPHETS OF THE RETURN TO ZION</w:t>
      </w:r>
    </w:p>
    <w:p w14:paraId="35D1124A" w14:textId="77777777" w:rsidR="00A05E54" w:rsidRPr="00266994" w:rsidRDefault="00A05E54" w:rsidP="008F3453">
      <w:pPr>
        <w:shd w:val="clear" w:color="auto" w:fill="FFFFFF"/>
        <w:spacing w:line="240" w:lineRule="auto"/>
        <w:jc w:val="center"/>
        <w:rPr>
          <w:rFonts w:asciiTheme="minorBidi" w:eastAsia="Times New Roman" w:hAnsiTheme="minorBidi" w:cstheme="minorBidi"/>
          <w:b/>
          <w:bCs/>
          <w:color w:val="222222"/>
          <w:sz w:val="24"/>
          <w:szCs w:val="24"/>
          <w:lang w:bidi="he-IL"/>
        </w:rPr>
      </w:pPr>
      <w:r w:rsidRPr="00266994">
        <w:rPr>
          <w:rFonts w:asciiTheme="minorBidi" w:eastAsia="Times New Roman" w:hAnsiTheme="minorBidi" w:cstheme="minorBidi"/>
          <w:b/>
          <w:bCs/>
          <w:color w:val="222222"/>
          <w:sz w:val="24"/>
          <w:szCs w:val="24"/>
          <w:lang w:bidi="he-IL"/>
        </w:rPr>
        <w:t>By Rav Tzvi Sinensky</w:t>
      </w:r>
    </w:p>
    <w:p w14:paraId="30B7710F" w14:textId="77777777" w:rsidR="00A05E54" w:rsidRDefault="00A05E54" w:rsidP="008F3453">
      <w:pPr>
        <w:pStyle w:val="Normal1"/>
        <w:spacing w:line="240" w:lineRule="auto"/>
        <w:jc w:val="center"/>
        <w:outlineLvl w:val="0"/>
        <w:rPr>
          <w:b/>
          <w:sz w:val="24"/>
          <w:szCs w:val="24"/>
          <w:u w:val="single"/>
        </w:rPr>
      </w:pPr>
    </w:p>
    <w:p w14:paraId="08790D91" w14:textId="77777777" w:rsidR="00A05E54" w:rsidRPr="00266994" w:rsidRDefault="00A05E54" w:rsidP="008F3453">
      <w:pPr>
        <w:pStyle w:val="Normal1"/>
        <w:spacing w:line="240" w:lineRule="auto"/>
        <w:jc w:val="center"/>
        <w:outlineLvl w:val="0"/>
        <w:rPr>
          <w:b/>
          <w:sz w:val="24"/>
          <w:szCs w:val="24"/>
          <w:u w:val="single"/>
        </w:rPr>
      </w:pPr>
    </w:p>
    <w:p w14:paraId="2BD869E0" w14:textId="77777777" w:rsidR="001326B5" w:rsidRPr="001326B5" w:rsidRDefault="00A05E54" w:rsidP="008F3453">
      <w:pPr>
        <w:pStyle w:val="Normal1"/>
        <w:spacing w:line="240" w:lineRule="auto"/>
        <w:jc w:val="center"/>
        <w:rPr>
          <w:b/>
          <w:color w:val="auto"/>
          <w:sz w:val="24"/>
          <w:szCs w:val="24"/>
        </w:rPr>
      </w:pPr>
      <w:r w:rsidRPr="008F3453">
        <w:rPr>
          <w:b/>
          <w:color w:val="auto"/>
          <w:sz w:val="24"/>
          <w:szCs w:val="24"/>
        </w:rPr>
        <w:t>Shiur</w:t>
      </w:r>
      <w:r w:rsidRPr="001326B5">
        <w:rPr>
          <w:b/>
          <w:color w:val="auto"/>
          <w:sz w:val="24"/>
          <w:szCs w:val="24"/>
        </w:rPr>
        <w:t xml:space="preserve"> #13:</w:t>
      </w:r>
      <w:r w:rsidR="001326B5" w:rsidRPr="001326B5">
        <w:rPr>
          <w:b/>
          <w:color w:val="auto"/>
          <w:sz w:val="24"/>
          <w:szCs w:val="24"/>
        </w:rPr>
        <w:t xml:space="preserve"> Ezra Chapter 7: Ezra Arrives on the Scene</w:t>
      </w:r>
    </w:p>
    <w:p w14:paraId="123FD44E" w14:textId="17657F7C" w:rsidR="00A05E54" w:rsidRDefault="00A05E54" w:rsidP="008F3453">
      <w:pPr>
        <w:pStyle w:val="Normal1"/>
        <w:spacing w:line="240" w:lineRule="auto"/>
        <w:jc w:val="center"/>
        <w:rPr>
          <w:b/>
          <w:color w:val="auto"/>
          <w:sz w:val="24"/>
          <w:szCs w:val="24"/>
          <w:u w:val="single"/>
        </w:rPr>
      </w:pPr>
    </w:p>
    <w:p w14:paraId="3F3979AA" w14:textId="77777777" w:rsidR="008F3453" w:rsidRDefault="008F3453" w:rsidP="008F3453">
      <w:pPr>
        <w:pStyle w:val="Normal1"/>
        <w:spacing w:line="240" w:lineRule="auto"/>
        <w:jc w:val="center"/>
        <w:rPr>
          <w:b/>
          <w:color w:val="auto"/>
          <w:sz w:val="24"/>
          <w:szCs w:val="24"/>
          <w:u w:val="single"/>
        </w:rPr>
      </w:pPr>
    </w:p>
    <w:p w14:paraId="2EC23B08" w14:textId="77777777" w:rsidR="00746F67" w:rsidRDefault="001B1048" w:rsidP="008F3453">
      <w:pPr>
        <w:pStyle w:val="Normal1"/>
        <w:spacing w:line="240" w:lineRule="auto"/>
        <w:jc w:val="both"/>
        <w:rPr>
          <w:b/>
          <w:color w:val="auto"/>
          <w:sz w:val="24"/>
          <w:szCs w:val="24"/>
        </w:rPr>
      </w:pPr>
      <w:r w:rsidRPr="00A05E54">
        <w:rPr>
          <w:b/>
          <w:color w:val="auto"/>
          <w:sz w:val="24"/>
          <w:szCs w:val="24"/>
        </w:rPr>
        <w:t>Summary</w:t>
      </w:r>
    </w:p>
    <w:p w14:paraId="6D136821" w14:textId="77777777" w:rsidR="00A05E54" w:rsidRPr="00A05E54" w:rsidRDefault="00A05E54" w:rsidP="008F3453">
      <w:pPr>
        <w:pStyle w:val="Normal1"/>
        <w:spacing w:line="240" w:lineRule="auto"/>
        <w:jc w:val="both"/>
        <w:rPr>
          <w:color w:val="auto"/>
        </w:rPr>
      </w:pPr>
    </w:p>
    <w:p w14:paraId="6C5F6138" w14:textId="2B93D843" w:rsidR="00746F67" w:rsidRPr="0016007F" w:rsidRDefault="0007520B" w:rsidP="008F3453">
      <w:pPr>
        <w:pStyle w:val="Normal1"/>
        <w:spacing w:line="240" w:lineRule="auto"/>
        <w:ind w:firstLine="720"/>
        <w:jc w:val="both"/>
        <w:rPr>
          <w:color w:val="auto"/>
        </w:rPr>
      </w:pPr>
      <w:r>
        <w:rPr>
          <w:i/>
          <w:iCs/>
          <w:color w:val="auto"/>
          <w:sz w:val="24"/>
          <w:szCs w:val="24"/>
        </w:rPr>
        <w:t xml:space="preserve">Ezra </w:t>
      </w:r>
      <w:r>
        <w:rPr>
          <w:color w:val="auto"/>
          <w:sz w:val="24"/>
          <w:szCs w:val="24"/>
        </w:rPr>
        <w:t>c</w:t>
      </w:r>
      <w:r w:rsidR="00A64CA5" w:rsidRPr="0016007F">
        <w:rPr>
          <w:color w:val="auto"/>
          <w:sz w:val="24"/>
          <w:szCs w:val="24"/>
        </w:rPr>
        <w:t xml:space="preserve">hapter </w:t>
      </w:r>
      <w:r>
        <w:rPr>
          <w:color w:val="auto"/>
          <w:sz w:val="24"/>
          <w:szCs w:val="24"/>
        </w:rPr>
        <w:t>7</w:t>
      </w:r>
      <w:r w:rsidR="00A64CA5" w:rsidRPr="0016007F">
        <w:rPr>
          <w:color w:val="auto"/>
          <w:sz w:val="24"/>
          <w:szCs w:val="24"/>
        </w:rPr>
        <w:t xml:space="preserve"> finally introduces us</w:t>
      </w:r>
      <w:r w:rsidR="001B1048" w:rsidRPr="0016007F">
        <w:rPr>
          <w:color w:val="auto"/>
          <w:sz w:val="24"/>
          <w:szCs w:val="24"/>
        </w:rPr>
        <w:t xml:space="preserve"> to Ezra</w:t>
      </w:r>
      <w:r>
        <w:rPr>
          <w:color w:val="auto"/>
          <w:sz w:val="24"/>
          <w:szCs w:val="24"/>
        </w:rPr>
        <w:t xml:space="preserve"> himself</w:t>
      </w:r>
      <w:r w:rsidR="001B1048" w:rsidRPr="0016007F">
        <w:rPr>
          <w:color w:val="auto"/>
          <w:sz w:val="24"/>
          <w:szCs w:val="24"/>
        </w:rPr>
        <w:t xml:space="preserve">. The first ten verses expend significant energy </w:t>
      </w:r>
      <w:r w:rsidR="00A64CA5" w:rsidRPr="0016007F">
        <w:rPr>
          <w:color w:val="auto"/>
          <w:sz w:val="24"/>
          <w:szCs w:val="24"/>
        </w:rPr>
        <w:t xml:space="preserve">delineating </w:t>
      </w:r>
      <w:r w:rsidR="001B1048" w:rsidRPr="0016007F">
        <w:rPr>
          <w:color w:val="auto"/>
          <w:sz w:val="24"/>
          <w:szCs w:val="24"/>
        </w:rPr>
        <w:t>Ezra’s li</w:t>
      </w:r>
      <w:r w:rsidR="00484B4B" w:rsidRPr="0016007F">
        <w:rPr>
          <w:color w:val="auto"/>
          <w:sz w:val="24"/>
          <w:szCs w:val="24"/>
        </w:rPr>
        <w:t xml:space="preserve">neage and </w:t>
      </w:r>
      <w:r w:rsidR="00592316" w:rsidRPr="0016007F">
        <w:rPr>
          <w:color w:val="auto"/>
          <w:sz w:val="24"/>
          <w:szCs w:val="24"/>
        </w:rPr>
        <w:t>scholarly qualifications</w:t>
      </w:r>
      <w:r w:rsidR="00484B4B" w:rsidRPr="0016007F">
        <w:rPr>
          <w:color w:val="auto"/>
          <w:sz w:val="24"/>
          <w:szCs w:val="24"/>
        </w:rPr>
        <w:t>, as well as</w:t>
      </w:r>
      <w:r w:rsidR="001B1048" w:rsidRPr="0016007F">
        <w:rPr>
          <w:color w:val="auto"/>
          <w:sz w:val="24"/>
          <w:szCs w:val="24"/>
        </w:rPr>
        <w:t xml:space="preserve"> the divine assistance he merited.</w:t>
      </w:r>
      <w:r w:rsidR="00484B4B" w:rsidRPr="0016007F">
        <w:rPr>
          <w:color w:val="auto"/>
          <w:sz w:val="24"/>
          <w:szCs w:val="24"/>
        </w:rPr>
        <w:t xml:space="preserve"> Next</w:t>
      </w:r>
      <w:r w:rsidR="001B1048" w:rsidRPr="0016007F">
        <w:rPr>
          <w:color w:val="auto"/>
          <w:sz w:val="24"/>
          <w:szCs w:val="24"/>
        </w:rPr>
        <w:t>, we learn that during the reign of Artaxerxes</w:t>
      </w:r>
      <w:r w:rsidR="00484B4B" w:rsidRPr="0016007F">
        <w:rPr>
          <w:color w:val="auto"/>
          <w:sz w:val="24"/>
          <w:szCs w:val="24"/>
        </w:rPr>
        <w:t>,</w:t>
      </w:r>
      <w:r w:rsidR="001B1048" w:rsidRPr="0016007F">
        <w:rPr>
          <w:color w:val="auto"/>
          <w:sz w:val="24"/>
          <w:szCs w:val="24"/>
        </w:rPr>
        <w:t xml:space="preserve"> Ezra led a group of Jews on </w:t>
      </w:r>
      <w:r w:rsidR="001B1048" w:rsidRPr="0016007F">
        <w:rPr>
          <w:i/>
          <w:color w:val="auto"/>
          <w:sz w:val="24"/>
          <w:szCs w:val="24"/>
        </w:rPr>
        <w:t>aliya</w:t>
      </w:r>
      <w:r w:rsidR="001B1048" w:rsidRPr="0016007F">
        <w:rPr>
          <w:color w:val="auto"/>
          <w:sz w:val="24"/>
          <w:szCs w:val="24"/>
        </w:rPr>
        <w:t xml:space="preserve">. Receiving permission on the first of Nissan and arriving </w:t>
      </w:r>
      <w:r w:rsidR="00FC6C72" w:rsidRPr="0016007F">
        <w:rPr>
          <w:color w:val="auto"/>
          <w:sz w:val="24"/>
          <w:szCs w:val="24"/>
        </w:rPr>
        <w:t xml:space="preserve">at the beginning </w:t>
      </w:r>
      <w:r w:rsidR="001B1048" w:rsidRPr="0016007F">
        <w:rPr>
          <w:color w:val="auto"/>
          <w:sz w:val="24"/>
          <w:szCs w:val="24"/>
        </w:rPr>
        <w:t xml:space="preserve">of Av, Ezra was poised to teach Torah to the unlettered Jews of Judea. </w:t>
      </w:r>
    </w:p>
    <w:p w14:paraId="22218DD8" w14:textId="77777777" w:rsidR="00746F67" w:rsidRPr="0016007F" w:rsidRDefault="00746F67" w:rsidP="008F3453">
      <w:pPr>
        <w:pStyle w:val="Normal1"/>
        <w:spacing w:line="240" w:lineRule="auto"/>
        <w:jc w:val="both"/>
        <w:rPr>
          <w:color w:val="auto"/>
        </w:rPr>
      </w:pPr>
    </w:p>
    <w:p w14:paraId="7C4B4B8A" w14:textId="31DBAAEF" w:rsidR="00746F67" w:rsidRPr="0016007F" w:rsidRDefault="001B1048" w:rsidP="008F3453">
      <w:pPr>
        <w:pStyle w:val="Normal1"/>
        <w:spacing w:line="240" w:lineRule="auto"/>
        <w:ind w:firstLine="720"/>
        <w:jc w:val="both"/>
        <w:rPr>
          <w:color w:val="auto"/>
        </w:rPr>
      </w:pPr>
      <w:r w:rsidRPr="0016007F">
        <w:rPr>
          <w:color w:val="auto"/>
          <w:sz w:val="24"/>
          <w:szCs w:val="24"/>
        </w:rPr>
        <w:t xml:space="preserve">At this point, the chapter cites a letter issued by the king to Ezra in advance of his journey. As we might have anticipated, the missive is transcribed in Aramaic and closely resembles the earlier letters in </w:t>
      </w:r>
      <w:r w:rsidRPr="0016007F">
        <w:rPr>
          <w:i/>
          <w:color w:val="auto"/>
          <w:sz w:val="24"/>
          <w:szCs w:val="24"/>
        </w:rPr>
        <w:t>Ezra</w:t>
      </w:r>
      <w:r w:rsidRPr="0016007F">
        <w:rPr>
          <w:color w:val="auto"/>
          <w:sz w:val="24"/>
          <w:szCs w:val="24"/>
        </w:rPr>
        <w:t>. Ezra is to be provided with silver, gold, animals</w:t>
      </w:r>
      <w:r w:rsidR="0007520B">
        <w:rPr>
          <w:color w:val="auto"/>
          <w:sz w:val="24"/>
          <w:szCs w:val="24"/>
        </w:rPr>
        <w:t>,</w:t>
      </w:r>
      <w:r w:rsidRPr="0016007F">
        <w:rPr>
          <w:color w:val="auto"/>
          <w:sz w:val="24"/>
          <w:szCs w:val="24"/>
        </w:rPr>
        <w:t xml:space="preserve"> and vessels for the Temple service. Moreover, </w:t>
      </w:r>
      <w:r w:rsidR="00894439">
        <w:rPr>
          <w:color w:val="auto"/>
          <w:sz w:val="24"/>
          <w:szCs w:val="24"/>
        </w:rPr>
        <w:t xml:space="preserve">He </w:t>
      </w:r>
      <w:r w:rsidRPr="0016007F">
        <w:rPr>
          <w:color w:val="auto"/>
          <w:sz w:val="24"/>
          <w:szCs w:val="24"/>
        </w:rPr>
        <w:t xml:space="preserve">is charged with </w:t>
      </w:r>
      <w:r w:rsidR="00563152" w:rsidRPr="0016007F">
        <w:rPr>
          <w:color w:val="auto"/>
          <w:sz w:val="24"/>
          <w:szCs w:val="24"/>
        </w:rPr>
        <w:t xml:space="preserve">the enforcement of </w:t>
      </w:r>
      <w:r w:rsidRPr="0016007F">
        <w:rPr>
          <w:color w:val="auto"/>
          <w:sz w:val="24"/>
          <w:szCs w:val="24"/>
        </w:rPr>
        <w:t xml:space="preserve">Jewish law in Judea. </w:t>
      </w:r>
      <w:r w:rsidR="00894439">
        <w:rPr>
          <w:color w:val="auto"/>
          <w:sz w:val="24"/>
          <w:szCs w:val="24"/>
        </w:rPr>
        <w:t>Ezra</w:t>
      </w:r>
      <w:r w:rsidRPr="0016007F">
        <w:rPr>
          <w:color w:val="auto"/>
          <w:sz w:val="24"/>
          <w:szCs w:val="24"/>
        </w:rPr>
        <w:t xml:space="preserve"> is to appoint judges and magistrates. Anyone who opposes him will be subject to retribution, including death and corporal punishment. </w:t>
      </w:r>
    </w:p>
    <w:p w14:paraId="6F9DF68C" w14:textId="77777777" w:rsidR="00746F67" w:rsidRPr="0016007F" w:rsidRDefault="00746F67" w:rsidP="008F3453">
      <w:pPr>
        <w:pStyle w:val="Normal1"/>
        <w:spacing w:line="240" w:lineRule="auto"/>
        <w:jc w:val="both"/>
        <w:rPr>
          <w:color w:val="auto"/>
        </w:rPr>
      </w:pPr>
    </w:p>
    <w:p w14:paraId="1A085E29" w14:textId="2A33210D" w:rsidR="00746F67" w:rsidRPr="0016007F" w:rsidRDefault="001B1048" w:rsidP="008F3453">
      <w:pPr>
        <w:pStyle w:val="Normal1"/>
        <w:spacing w:line="240" w:lineRule="auto"/>
        <w:ind w:firstLine="720"/>
        <w:jc w:val="both"/>
        <w:rPr>
          <w:color w:val="auto"/>
        </w:rPr>
      </w:pPr>
      <w:r w:rsidRPr="0016007F">
        <w:rPr>
          <w:color w:val="auto"/>
          <w:sz w:val="24"/>
          <w:szCs w:val="24"/>
        </w:rPr>
        <w:t xml:space="preserve">The chapter’s </w:t>
      </w:r>
      <w:r w:rsidR="006A645E" w:rsidRPr="0016007F">
        <w:rPr>
          <w:color w:val="auto"/>
          <w:sz w:val="24"/>
          <w:szCs w:val="24"/>
        </w:rPr>
        <w:t xml:space="preserve">closing </w:t>
      </w:r>
      <w:r w:rsidRPr="0016007F">
        <w:rPr>
          <w:color w:val="auto"/>
          <w:sz w:val="24"/>
          <w:szCs w:val="24"/>
        </w:rPr>
        <w:t xml:space="preserve">verses offer </w:t>
      </w:r>
      <w:r w:rsidR="00D00DF3" w:rsidRPr="0016007F">
        <w:rPr>
          <w:color w:val="auto"/>
          <w:sz w:val="24"/>
          <w:szCs w:val="24"/>
        </w:rPr>
        <w:t xml:space="preserve">Ezra’s </w:t>
      </w:r>
      <w:r w:rsidRPr="0016007F">
        <w:rPr>
          <w:color w:val="auto"/>
          <w:sz w:val="24"/>
          <w:szCs w:val="24"/>
        </w:rPr>
        <w:t xml:space="preserve">first-hand account. He thanks the Almighty for having inspired the king to beautify God’s home. He concludes by recognizing </w:t>
      </w:r>
      <w:r w:rsidR="000D441C" w:rsidRPr="0016007F">
        <w:rPr>
          <w:color w:val="auto"/>
          <w:sz w:val="24"/>
          <w:szCs w:val="24"/>
        </w:rPr>
        <w:t xml:space="preserve">God </w:t>
      </w:r>
      <w:r w:rsidRPr="0016007F">
        <w:rPr>
          <w:color w:val="auto"/>
          <w:sz w:val="24"/>
          <w:szCs w:val="24"/>
        </w:rPr>
        <w:t xml:space="preserve">for having granted him the strength to inspire </w:t>
      </w:r>
      <w:r w:rsidR="006A5F3E" w:rsidRPr="0016007F">
        <w:rPr>
          <w:color w:val="auto"/>
          <w:sz w:val="24"/>
          <w:szCs w:val="24"/>
        </w:rPr>
        <w:t xml:space="preserve">members of the communal leadership </w:t>
      </w:r>
      <w:r w:rsidRPr="0016007F">
        <w:rPr>
          <w:color w:val="auto"/>
          <w:sz w:val="24"/>
          <w:szCs w:val="24"/>
        </w:rPr>
        <w:t xml:space="preserve">to participate in the fateful journey. </w:t>
      </w:r>
    </w:p>
    <w:p w14:paraId="4E1103C4" w14:textId="77777777" w:rsidR="00746F67" w:rsidRPr="0016007F" w:rsidRDefault="00746F67" w:rsidP="008F3453">
      <w:pPr>
        <w:pStyle w:val="Normal1"/>
        <w:spacing w:line="240" w:lineRule="auto"/>
        <w:jc w:val="both"/>
        <w:rPr>
          <w:color w:val="auto"/>
        </w:rPr>
      </w:pPr>
    </w:p>
    <w:p w14:paraId="54A73097" w14:textId="07DA00AA" w:rsidR="00746F67" w:rsidRPr="00A05E54" w:rsidRDefault="0007520B" w:rsidP="008F3453">
      <w:pPr>
        <w:pStyle w:val="Normal1"/>
        <w:spacing w:line="240" w:lineRule="auto"/>
        <w:jc w:val="both"/>
        <w:rPr>
          <w:color w:val="auto"/>
        </w:rPr>
      </w:pPr>
      <w:r>
        <w:rPr>
          <w:b/>
          <w:color w:val="auto"/>
          <w:sz w:val="24"/>
          <w:szCs w:val="24"/>
        </w:rPr>
        <w:t>A</w:t>
      </w:r>
      <w:r w:rsidR="00894439">
        <w:rPr>
          <w:b/>
          <w:color w:val="auto"/>
          <w:sz w:val="24"/>
          <w:szCs w:val="24"/>
        </w:rPr>
        <w:t>n</w:t>
      </w:r>
      <w:r w:rsidR="001B1048" w:rsidRPr="00A05E54">
        <w:rPr>
          <w:b/>
          <w:color w:val="auto"/>
          <w:sz w:val="24"/>
          <w:szCs w:val="24"/>
        </w:rPr>
        <w:t xml:space="preserve"> Historical </w:t>
      </w:r>
      <w:r>
        <w:rPr>
          <w:b/>
          <w:color w:val="auto"/>
          <w:sz w:val="24"/>
          <w:szCs w:val="24"/>
        </w:rPr>
        <w:t>I</w:t>
      </w:r>
      <w:r w:rsidR="001B1048" w:rsidRPr="00A05E54">
        <w:rPr>
          <w:b/>
          <w:color w:val="auto"/>
          <w:sz w:val="24"/>
          <w:szCs w:val="24"/>
        </w:rPr>
        <w:t>ntroduction</w:t>
      </w:r>
    </w:p>
    <w:p w14:paraId="1C8EB759" w14:textId="77777777" w:rsidR="00A05E54" w:rsidRDefault="00A05E54" w:rsidP="008F3453">
      <w:pPr>
        <w:pStyle w:val="Normal1"/>
        <w:spacing w:line="240" w:lineRule="auto"/>
        <w:jc w:val="both"/>
        <w:rPr>
          <w:color w:val="auto"/>
          <w:sz w:val="24"/>
          <w:szCs w:val="24"/>
        </w:rPr>
      </w:pPr>
    </w:p>
    <w:p w14:paraId="2CFFFA22" w14:textId="53396013" w:rsidR="00746F67" w:rsidRPr="0016007F" w:rsidRDefault="001B1048" w:rsidP="008F3453">
      <w:pPr>
        <w:pStyle w:val="Normal1"/>
        <w:spacing w:line="240" w:lineRule="auto"/>
        <w:ind w:firstLine="720"/>
        <w:jc w:val="both"/>
        <w:rPr>
          <w:color w:val="auto"/>
        </w:rPr>
      </w:pPr>
      <w:r w:rsidRPr="0016007F">
        <w:rPr>
          <w:color w:val="auto"/>
          <w:sz w:val="24"/>
          <w:szCs w:val="24"/>
        </w:rPr>
        <w:t xml:space="preserve">The first point to consider is </w:t>
      </w:r>
      <w:r w:rsidR="00EA2CA6" w:rsidRPr="0016007F">
        <w:rPr>
          <w:color w:val="auto"/>
          <w:sz w:val="24"/>
          <w:szCs w:val="24"/>
        </w:rPr>
        <w:t xml:space="preserve">our story’s </w:t>
      </w:r>
      <w:r w:rsidRPr="0016007F">
        <w:rPr>
          <w:color w:val="auto"/>
          <w:sz w:val="24"/>
          <w:szCs w:val="24"/>
        </w:rPr>
        <w:t>timing and the meaning of the chapter’s opening words, “After these events.” The</w:t>
      </w:r>
      <w:r w:rsidR="0016007F">
        <w:rPr>
          <w:color w:val="auto"/>
          <w:sz w:val="24"/>
          <w:szCs w:val="24"/>
        </w:rPr>
        <w:t xml:space="preserve"> answer </w:t>
      </w:r>
      <w:r w:rsidRPr="0016007F">
        <w:rPr>
          <w:color w:val="auto"/>
          <w:sz w:val="24"/>
          <w:szCs w:val="24"/>
        </w:rPr>
        <w:t xml:space="preserve">hinges on the larger chronological controversy </w:t>
      </w:r>
      <w:r w:rsidR="0007520B">
        <w:rPr>
          <w:color w:val="auto"/>
          <w:sz w:val="24"/>
          <w:szCs w:val="24"/>
        </w:rPr>
        <w:t xml:space="preserve">that </w:t>
      </w:r>
      <w:r w:rsidRPr="0016007F">
        <w:rPr>
          <w:color w:val="auto"/>
          <w:sz w:val="24"/>
          <w:szCs w:val="24"/>
        </w:rPr>
        <w:t xml:space="preserve">we explored toward the beginning of the course. </w:t>
      </w:r>
      <w:r w:rsidR="0007520B">
        <w:rPr>
          <w:color w:val="auto"/>
          <w:sz w:val="24"/>
          <w:szCs w:val="24"/>
        </w:rPr>
        <w:t xml:space="preserve">The </w:t>
      </w:r>
      <w:r w:rsidRPr="00A05E54">
        <w:rPr>
          <w:i/>
          <w:iCs/>
          <w:color w:val="auto"/>
          <w:sz w:val="24"/>
          <w:szCs w:val="24"/>
        </w:rPr>
        <w:t>Malbim</w:t>
      </w:r>
      <w:r w:rsidRPr="0016007F">
        <w:rPr>
          <w:color w:val="auto"/>
          <w:sz w:val="24"/>
          <w:szCs w:val="24"/>
        </w:rPr>
        <w:t xml:space="preserve"> (7:1) neatly summarizes the issue as it applies to Ezra’s activities. According to the</w:t>
      </w:r>
      <w:r w:rsidR="00A060CD">
        <w:rPr>
          <w:color w:val="auto"/>
          <w:sz w:val="24"/>
          <w:szCs w:val="24"/>
        </w:rPr>
        <w:t xml:space="preserve"> traditional rabbinic chronology</w:t>
      </w:r>
      <w:r w:rsidRPr="0016007F">
        <w:rPr>
          <w:color w:val="auto"/>
          <w:sz w:val="24"/>
          <w:szCs w:val="24"/>
        </w:rPr>
        <w:t xml:space="preserve">, Darius and Artaxerxes are one and the same. On this view, Ezra’s </w:t>
      </w:r>
      <w:r w:rsidRPr="0016007F">
        <w:rPr>
          <w:i/>
          <w:color w:val="auto"/>
          <w:sz w:val="24"/>
          <w:szCs w:val="24"/>
        </w:rPr>
        <w:t>aliya</w:t>
      </w:r>
      <w:r w:rsidRPr="0016007F">
        <w:rPr>
          <w:color w:val="auto"/>
          <w:sz w:val="24"/>
          <w:szCs w:val="24"/>
        </w:rPr>
        <w:t xml:space="preserve"> transpire</w:t>
      </w:r>
      <w:r w:rsidR="0007520B">
        <w:rPr>
          <w:color w:val="auto"/>
          <w:sz w:val="24"/>
          <w:szCs w:val="24"/>
        </w:rPr>
        <w:t>d</w:t>
      </w:r>
      <w:r w:rsidRPr="0016007F">
        <w:rPr>
          <w:color w:val="auto"/>
          <w:sz w:val="24"/>
          <w:szCs w:val="24"/>
        </w:rPr>
        <w:t xml:space="preserve"> only one year after the conclusion of chapter </w:t>
      </w:r>
      <w:r w:rsidR="0007520B">
        <w:rPr>
          <w:color w:val="auto"/>
          <w:sz w:val="24"/>
          <w:szCs w:val="24"/>
        </w:rPr>
        <w:t>6</w:t>
      </w:r>
      <w:r w:rsidRPr="0016007F">
        <w:rPr>
          <w:color w:val="auto"/>
          <w:sz w:val="24"/>
          <w:szCs w:val="24"/>
        </w:rPr>
        <w:t>. According to Ba’al Ha-</w:t>
      </w:r>
      <w:r w:rsidR="0007520B">
        <w:rPr>
          <w:color w:val="auto"/>
          <w:sz w:val="24"/>
          <w:szCs w:val="24"/>
        </w:rPr>
        <w:t>M</w:t>
      </w:r>
      <w:r w:rsidRPr="0016007F">
        <w:rPr>
          <w:color w:val="auto"/>
          <w:sz w:val="24"/>
          <w:szCs w:val="24"/>
        </w:rPr>
        <w:t>aor and the scholarly consensus, however, Artaxerxes reigned from 465-422 BCE, dating Ezra to roughly fifty years after the Temple’s completion in 516 BCE. As</w:t>
      </w:r>
      <w:r w:rsidR="000637E1">
        <w:rPr>
          <w:color w:val="auto"/>
          <w:sz w:val="24"/>
          <w:szCs w:val="24"/>
        </w:rPr>
        <w:t xml:space="preserve"> before</w:t>
      </w:r>
      <w:r w:rsidRPr="0016007F">
        <w:rPr>
          <w:color w:val="auto"/>
          <w:sz w:val="24"/>
          <w:szCs w:val="24"/>
        </w:rPr>
        <w:t>, for the purpose of our discussion</w:t>
      </w:r>
      <w:r w:rsidR="0007520B">
        <w:rPr>
          <w:color w:val="auto"/>
          <w:sz w:val="24"/>
          <w:szCs w:val="24"/>
        </w:rPr>
        <w:t>,</w:t>
      </w:r>
      <w:r w:rsidRPr="0016007F">
        <w:rPr>
          <w:color w:val="auto"/>
          <w:sz w:val="24"/>
          <w:szCs w:val="24"/>
        </w:rPr>
        <w:t xml:space="preserve"> we will adopt the </w:t>
      </w:r>
      <w:r w:rsidR="0007520B">
        <w:rPr>
          <w:color w:val="auto"/>
          <w:sz w:val="24"/>
          <w:szCs w:val="24"/>
        </w:rPr>
        <w:t>latter view</w:t>
      </w:r>
      <w:r w:rsidRPr="0016007F">
        <w:rPr>
          <w:color w:val="auto"/>
          <w:sz w:val="24"/>
          <w:szCs w:val="24"/>
        </w:rPr>
        <w:t xml:space="preserve">. </w:t>
      </w:r>
    </w:p>
    <w:p w14:paraId="6C80721B" w14:textId="77777777" w:rsidR="00746F67" w:rsidRPr="0016007F" w:rsidRDefault="00746F67" w:rsidP="008F3453">
      <w:pPr>
        <w:pStyle w:val="Normal1"/>
        <w:spacing w:line="240" w:lineRule="auto"/>
        <w:jc w:val="both"/>
        <w:rPr>
          <w:color w:val="auto"/>
        </w:rPr>
      </w:pPr>
    </w:p>
    <w:p w14:paraId="0960B5FB" w14:textId="7324D1B0" w:rsidR="00746F67" w:rsidRPr="00A05E54" w:rsidRDefault="001B1048" w:rsidP="008F3453">
      <w:pPr>
        <w:pStyle w:val="Normal1"/>
        <w:spacing w:line="240" w:lineRule="auto"/>
        <w:jc w:val="both"/>
        <w:rPr>
          <w:color w:val="auto"/>
        </w:rPr>
      </w:pPr>
      <w:r w:rsidRPr="00A05E54">
        <w:rPr>
          <w:b/>
          <w:color w:val="auto"/>
          <w:sz w:val="24"/>
          <w:szCs w:val="24"/>
        </w:rPr>
        <w:lastRenderedPageBreak/>
        <w:t>Ezra</w:t>
      </w:r>
      <w:r w:rsidR="0040292D" w:rsidRPr="00A05E54">
        <w:rPr>
          <w:b/>
          <w:color w:val="auto"/>
          <w:sz w:val="24"/>
          <w:szCs w:val="24"/>
        </w:rPr>
        <w:t>: Character and Motif</w:t>
      </w:r>
    </w:p>
    <w:p w14:paraId="2A1C8077" w14:textId="77777777" w:rsidR="00A05E54" w:rsidRDefault="00A05E54" w:rsidP="008F3453">
      <w:pPr>
        <w:pStyle w:val="Normal1"/>
        <w:spacing w:line="240" w:lineRule="auto"/>
        <w:jc w:val="both"/>
        <w:rPr>
          <w:color w:val="auto"/>
          <w:sz w:val="24"/>
          <w:szCs w:val="24"/>
        </w:rPr>
      </w:pPr>
    </w:p>
    <w:p w14:paraId="5E321448" w14:textId="1D16928A" w:rsidR="00746F67" w:rsidRPr="0016007F" w:rsidRDefault="001B1048" w:rsidP="008F3453">
      <w:pPr>
        <w:pStyle w:val="Normal1"/>
        <w:spacing w:line="240" w:lineRule="auto"/>
        <w:ind w:firstLine="720"/>
        <w:jc w:val="both"/>
        <w:rPr>
          <w:color w:val="auto"/>
        </w:rPr>
      </w:pPr>
      <w:r>
        <w:rPr>
          <w:color w:val="auto"/>
          <w:sz w:val="24"/>
          <w:szCs w:val="24"/>
        </w:rPr>
        <w:t xml:space="preserve">Ezra’s </w:t>
      </w:r>
      <w:r w:rsidRPr="0016007F">
        <w:rPr>
          <w:color w:val="auto"/>
          <w:sz w:val="24"/>
          <w:szCs w:val="24"/>
        </w:rPr>
        <w:t xml:space="preserve">commitment to Torah </w:t>
      </w:r>
      <w:r>
        <w:rPr>
          <w:color w:val="auto"/>
          <w:sz w:val="24"/>
          <w:szCs w:val="24"/>
        </w:rPr>
        <w:t xml:space="preserve">is </w:t>
      </w:r>
      <w:r w:rsidR="002414B3">
        <w:rPr>
          <w:color w:val="auto"/>
          <w:sz w:val="24"/>
          <w:szCs w:val="24"/>
        </w:rPr>
        <w:t xml:space="preserve">clearly </w:t>
      </w:r>
      <w:r w:rsidRPr="0016007F">
        <w:rPr>
          <w:color w:val="auto"/>
          <w:sz w:val="24"/>
          <w:szCs w:val="24"/>
        </w:rPr>
        <w:t xml:space="preserve">the </w:t>
      </w:r>
      <w:r w:rsidR="002414B3">
        <w:rPr>
          <w:color w:val="auto"/>
          <w:sz w:val="24"/>
          <w:szCs w:val="24"/>
        </w:rPr>
        <w:t xml:space="preserve">chapter’s </w:t>
      </w:r>
      <w:r w:rsidRPr="0016007F">
        <w:rPr>
          <w:color w:val="auto"/>
          <w:sz w:val="24"/>
          <w:szCs w:val="24"/>
        </w:rPr>
        <w:t>dominant</w:t>
      </w:r>
      <w:r w:rsidR="00B624E7">
        <w:rPr>
          <w:color w:val="auto"/>
          <w:sz w:val="24"/>
          <w:szCs w:val="24"/>
        </w:rPr>
        <w:t xml:space="preserve"> motif</w:t>
      </w:r>
      <w:r w:rsidR="00FD3920">
        <w:rPr>
          <w:color w:val="auto"/>
          <w:sz w:val="24"/>
          <w:szCs w:val="24"/>
        </w:rPr>
        <w:t>. Although this theme is explicit</w:t>
      </w:r>
      <w:r w:rsidRPr="0016007F">
        <w:rPr>
          <w:color w:val="auto"/>
          <w:sz w:val="24"/>
          <w:szCs w:val="24"/>
        </w:rPr>
        <w:t xml:space="preserve">, almost insistent, throughout, </w:t>
      </w:r>
      <w:r w:rsidR="00C702A6">
        <w:rPr>
          <w:color w:val="auto"/>
          <w:sz w:val="24"/>
          <w:szCs w:val="24"/>
        </w:rPr>
        <w:t xml:space="preserve">the first verse already hints to </w:t>
      </w:r>
      <w:r w:rsidR="00944FEA">
        <w:rPr>
          <w:color w:val="auto"/>
          <w:sz w:val="24"/>
          <w:szCs w:val="24"/>
        </w:rPr>
        <w:t xml:space="preserve">it. </w:t>
      </w:r>
      <w:r w:rsidRPr="0016007F">
        <w:rPr>
          <w:color w:val="auto"/>
          <w:sz w:val="24"/>
          <w:szCs w:val="24"/>
        </w:rPr>
        <w:t xml:space="preserve">Chapter </w:t>
      </w:r>
      <w:r w:rsidR="0007520B">
        <w:rPr>
          <w:color w:val="auto"/>
          <w:sz w:val="24"/>
          <w:szCs w:val="24"/>
        </w:rPr>
        <w:t>7</w:t>
      </w:r>
      <w:r w:rsidR="00A30508">
        <w:rPr>
          <w:color w:val="auto"/>
          <w:sz w:val="24"/>
          <w:szCs w:val="24"/>
        </w:rPr>
        <w:t xml:space="preserve"> begins</w:t>
      </w:r>
      <w:r w:rsidR="00BA20C5">
        <w:rPr>
          <w:color w:val="auto"/>
          <w:sz w:val="24"/>
          <w:szCs w:val="24"/>
        </w:rPr>
        <w:t xml:space="preserve"> with the words</w:t>
      </w:r>
      <w:r w:rsidR="0007520B">
        <w:rPr>
          <w:color w:val="auto"/>
          <w:sz w:val="24"/>
          <w:szCs w:val="24"/>
        </w:rPr>
        <w:t>,</w:t>
      </w:r>
      <w:r w:rsidRPr="0016007F">
        <w:rPr>
          <w:color w:val="auto"/>
          <w:sz w:val="24"/>
          <w:szCs w:val="24"/>
        </w:rPr>
        <w:t xml:space="preserve"> “After these events,” as if a story is about to unfold. Instead, the </w:t>
      </w:r>
      <w:r w:rsidR="00AF3A3F">
        <w:rPr>
          <w:color w:val="auto"/>
          <w:sz w:val="24"/>
          <w:szCs w:val="24"/>
        </w:rPr>
        <w:t xml:space="preserve">text </w:t>
      </w:r>
      <w:r w:rsidRPr="0016007F">
        <w:rPr>
          <w:color w:val="auto"/>
          <w:sz w:val="24"/>
          <w:szCs w:val="24"/>
        </w:rPr>
        <w:t xml:space="preserve">simply proceeds to </w:t>
      </w:r>
      <w:r w:rsidR="003F262B">
        <w:rPr>
          <w:color w:val="auto"/>
          <w:sz w:val="24"/>
          <w:szCs w:val="24"/>
        </w:rPr>
        <w:t xml:space="preserve">summarize </w:t>
      </w:r>
      <w:r w:rsidRPr="0016007F">
        <w:rPr>
          <w:color w:val="auto"/>
          <w:sz w:val="24"/>
          <w:szCs w:val="24"/>
        </w:rPr>
        <w:t xml:space="preserve">Ezra’s lineage. It is as if Ezra’s very existence </w:t>
      </w:r>
      <w:r w:rsidRPr="0016007F">
        <w:rPr>
          <w:i/>
          <w:color w:val="auto"/>
          <w:sz w:val="24"/>
          <w:szCs w:val="24"/>
        </w:rPr>
        <w:t>is</w:t>
      </w:r>
      <w:r w:rsidRPr="0016007F">
        <w:rPr>
          <w:color w:val="auto"/>
          <w:sz w:val="24"/>
          <w:szCs w:val="24"/>
        </w:rPr>
        <w:t xml:space="preserve"> the </w:t>
      </w:r>
      <w:r w:rsidR="001F675C">
        <w:rPr>
          <w:color w:val="auto"/>
          <w:sz w:val="24"/>
          <w:szCs w:val="24"/>
        </w:rPr>
        <w:t xml:space="preserve">central subject of the sentence, and it ought be read: </w:t>
      </w:r>
      <w:r w:rsidRPr="0016007F">
        <w:rPr>
          <w:color w:val="auto"/>
          <w:sz w:val="24"/>
          <w:szCs w:val="24"/>
        </w:rPr>
        <w:t xml:space="preserve">“After these matters, there was a man by the name of Ezra.” The </w:t>
      </w:r>
      <w:r w:rsidR="007B5C1D">
        <w:rPr>
          <w:color w:val="auto"/>
          <w:sz w:val="24"/>
          <w:szCs w:val="24"/>
        </w:rPr>
        <w:t xml:space="preserve">arrival </w:t>
      </w:r>
      <w:r w:rsidRPr="0016007F">
        <w:rPr>
          <w:color w:val="auto"/>
          <w:sz w:val="24"/>
          <w:szCs w:val="24"/>
        </w:rPr>
        <w:t xml:space="preserve">of such an individual </w:t>
      </w:r>
      <w:r w:rsidR="007B5C1D">
        <w:rPr>
          <w:color w:val="auto"/>
          <w:sz w:val="24"/>
          <w:szCs w:val="24"/>
        </w:rPr>
        <w:t xml:space="preserve">on the scene </w:t>
      </w:r>
      <w:r w:rsidRPr="0016007F">
        <w:rPr>
          <w:color w:val="auto"/>
          <w:sz w:val="24"/>
          <w:szCs w:val="24"/>
        </w:rPr>
        <w:t>is news enough to be</w:t>
      </w:r>
      <w:r w:rsidR="007B5C1D">
        <w:rPr>
          <w:color w:val="auto"/>
          <w:sz w:val="24"/>
          <w:szCs w:val="24"/>
        </w:rPr>
        <w:t xml:space="preserve"> our chapter’s opening event</w:t>
      </w:r>
      <w:r w:rsidRPr="0016007F">
        <w:rPr>
          <w:color w:val="auto"/>
          <w:sz w:val="24"/>
          <w:szCs w:val="24"/>
        </w:rPr>
        <w:t xml:space="preserve">. </w:t>
      </w:r>
    </w:p>
    <w:p w14:paraId="4240ED8A" w14:textId="77777777" w:rsidR="00746F67" w:rsidRPr="0016007F" w:rsidRDefault="00746F67" w:rsidP="008F3453">
      <w:pPr>
        <w:pStyle w:val="Normal1"/>
        <w:spacing w:line="240" w:lineRule="auto"/>
        <w:jc w:val="both"/>
        <w:rPr>
          <w:color w:val="auto"/>
        </w:rPr>
      </w:pPr>
    </w:p>
    <w:p w14:paraId="4FE5A9BD" w14:textId="7ABA8696" w:rsidR="0007520B" w:rsidRPr="0016007F" w:rsidRDefault="00FF2808" w:rsidP="008F3453">
      <w:pPr>
        <w:pStyle w:val="Normal1"/>
        <w:spacing w:line="240" w:lineRule="auto"/>
        <w:ind w:firstLine="720"/>
        <w:jc w:val="both"/>
        <w:rPr>
          <w:color w:val="auto"/>
        </w:rPr>
      </w:pPr>
      <w:r>
        <w:rPr>
          <w:color w:val="auto"/>
          <w:sz w:val="24"/>
          <w:szCs w:val="24"/>
        </w:rPr>
        <w:t xml:space="preserve">Next, we encounter </w:t>
      </w:r>
      <w:r w:rsidR="001B1048" w:rsidRPr="0016007F">
        <w:rPr>
          <w:color w:val="auto"/>
          <w:sz w:val="24"/>
          <w:szCs w:val="24"/>
        </w:rPr>
        <w:t xml:space="preserve">Ezra’s </w:t>
      </w:r>
      <w:r w:rsidR="00273656">
        <w:rPr>
          <w:color w:val="auto"/>
          <w:sz w:val="24"/>
          <w:szCs w:val="24"/>
        </w:rPr>
        <w:t xml:space="preserve">extensive </w:t>
      </w:r>
      <w:r w:rsidR="001B1048" w:rsidRPr="0016007F">
        <w:rPr>
          <w:color w:val="auto"/>
          <w:sz w:val="24"/>
          <w:szCs w:val="24"/>
        </w:rPr>
        <w:t xml:space="preserve">lineage. No other individual </w:t>
      </w:r>
      <w:r w:rsidR="0007520B">
        <w:rPr>
          <w:color w:val="auto"/>
          <w:sz w:val="24"/>
          <w:szCs w:val="24"/>
        </w:rPr>
        <w:t>B</w:t>
      </w:r>
      <w:r w:rsidR="001B1048" w:rsidRPr="0016007F">
        <w:rPr>
          <w:color w:val="auto"/>
          <w:sz w:val="24"/>
          <w:szCs w:val="24"/>
        </w:rPr>
        <w:t>iblical character is introduced with such fanfare.</w:t>
      </w:r>
      <w:r w:rsidR="0007520B" w:rsidRPr="0016007F">
        <w:rPr>
          <w:color w:val="auto"/>
          <w:sz w:val="24"/>
          <w:szCs w:val="24"/>
          <w:vertAlign w:val="superscript"/>
        </w:rPr>
        <w:footnoteReference w:id="1"/>
      </w:r>
      <w:r w:rsidR="0007520B" w:rsidRPr="0016007F">
        <w:rPr>
          <w:color w:val="auto"/>
          <w:sz w:val="24"/>
          <w:szCs w:val="24"/>
        </w:rPr>
        <w:t xml:space="preserve"> His </w:t>
      </w:r>
      <w:r w:rsidR="0007520B">
        <w:rPr>
          <w:color w:val="auto"/>
          <w:sz w:val="24"/>
          <w:szCs w:val="24"/>
        </w:rPr>
        <w:t xml:space="preserve">genealogy </w:t>
      </w:r>
      <w:r w:rsidR="0007520B" w:rsidRPr="0016007F">
        <w:rPr>
          <w:color w:val="auto"/>
          <w:sz w:val="24"/>
          <w:szCs w:val="24"/>
        </w:rPr>
        <w:t xml:space="preserve">is traced for </w:t>
      </w:r>
      <w:r w:rsidR="0007520B" w:rsidRPr="0016007F">
        <w:rPr>
          <w:i/>
          <w:color w:val="auto"/>
          <w:sz w:val="24"/>
          <w:szCs w:val="24"/>
        </w:rPr>
        <w:t>seventeen generations</w:t>
      </w:r>
      <w:r w:rsidR="0007520B">
        <w:rPr>
          <w:iCs/>
          <w:color w:val="auto"/>
          <w:sz w:val="24"/>
          <w:szCs w:val="24"/>
        </w:rPr>
        <w:t>,</w:t>
      </w:r>
      <w:r w:rsidR="0007520B" w:rsidRPr="0016007F">
        <w:rPr>
          <w:color w:val="auto"/>
          <w:sz w:val="24"/>
          <w:szCs w:val="24"/>
        </w:rPr>
        <w:t xml:space="preserve"> go</w:t>
      </w:r>
      <w:r w:rsidR="0007520B">
        <w:rPr>
          <w:color w:val="auto"/>
          <w:sz w:val="24"/>
          <w:szCs w:val="24"/>
        </w:rPr>
        <w:t>ing back to Aa</w:t>
      </w:r>
      <w:r w:rsidR="0007520B" w:rsidRPr="0016007F">
        <w:rPr>
          <w:color w:val="auto"/>
          <w:sz w:val="24"/>
          <w:szCs w:val="24"/>
        </w:rPr>
        <w:t>ron the high priest.</w:t>
      </w:r>
      <w:r w:rsidR="0007520B" w:rsidRPr="0016007F">
        <w:rPr>
          <w:color w:val="auto"/>
          <w:sz w:val="24"/>
          <w:szCs w:val="24"/>
          <w:vertAlign w:val="superscript"/>
        </w:rPr>
        <w:footnoteReference w:id="2"/>
      </w:r>
      <w:r w:rsidR="0007520B" w:rsidRPr="0016007F">
        <w:rPr>
          <w:color w:val="auto"/>
          <w:sz w:val="24"/>
          <w:szCs w:val="24"/>
        </w:rPr>
        <w:t xml:space="preserve"> The lengthy list grants Ezra an air of authenticity.</w:t>
      </w:r>
    </w:p>
    <w:p w14:paraId="38AD9300" w14:textId="77777777" w:rsidR="0007520B" w:rsidRPr="0016007F" w:rsidRDefault="0007520B" w:rsidP="008F3453">
      <w:pPr>
        <w:pStyle w:val="Normal1"/>
        <w:spacing w:line="240" w:lineRule="auto"/>
        <w:jc w:val="both"/>
        <w:rPr>
          <w:color w:val="auto"/>
        </w:rPr>
      </w:pPr>
    </w:p>
    <w:p w14:paraId="75ED2A95" w14:textId="4D5ECCAF" w:rsidR="0007520B" w:rsidRPr="0016007F" w:rsidRDefault="0007520B" w:rsidP="008F3453">
      <w:pPr>
        <w:pStyle w:val="Normal1"/>
        <w:spacing w:line="240" w:lineRule="auto"/>
        <w:ind w:firstLine="720"/>
        <w:jc w:val="both"/>
        <w:rPr>
          <w:color w:val="auto"/>
        </w:rPr>
      </w:pPr>
      <w:r>
        <w:rPr>
          <w:color w:val="auto"/>
          <w:sz w:val="24"/>
          <w:szCs w:val="24"/>
        </w:rPr>
        <w:t xml:space="preserve">The repetition of </w:t>
      </w:r>
      <w:r w:rsidRPr="0016007F">
        <w:rPr>
          <w:color w:val="auto"/>
          <w:sz w:val="24"/>
          <w:szCs w:val="24"/>
        </w:rPr>
        <w:t>Ezra’s name bears similar testimony to his</w:t>
      </w:r>
      <w:r>
        <w:rPr>
          <w:color w:val="auto"/>
          <w:sz w:val="24"/>
          <w:szCs w:val="24"/>
        </w:rPr>
        <w:t xml:space="preserve"> stature</w:t>
      </w:r>
      <w:r w:rsidRPr="0016007F">
        <w:rPr>
          <w:color w:val="auto"/>
          <w:sz w:val="24"/>
          <w:szCs w:val="24"/>
        </w:rPr>
        <w:t xml:space="preserve">. The word Ezra appears seven times in our chapter. As Martin Buber </w:t>
      </w:r>
      <w:r>
        <w:rPr>
          <w:color w:val="auto"/>
          <w:sz w:val="24"/>
          <w:szCs w:val="24"/>
        </w:rPr>
        <w:t xml:space="preserve">first </w:t>
      </w:r>
      <w:r w:rsidRPr="0016007F">
        <w:rPr>
          <w:color w:val="auto"/>
          <w:sz w:val="24"/>
          <w:szCs w:val="24"/>
        </w:rPr>
        <w:t xml:space="preserve">noted, a seven-fold repetition </w:t>
      </w:r>
      <w:r>
        <w:rPr>
          <w:color w:val="auto"/>
          <w:sz w:val="24"/>
          <w:szCs w:val="24"/>
        </w:rPr>
        <w:t>with</w:t>
      </w:r>
      <w:r w:rsidRPr="0016007F">
        <w:rPr>
          <w:color w:val="auto"/>
          <w:sz w:val="24"/>
          <w:szCs w:val="24"/>
        </w:rPr>
        <w:t>in a un</w:t>
      </w:r>
      <w:r>
        <w:rPr>
          <w:color w:val="auto"/>
          <w:sz w:val="24"/>
          <w:szCs w:val="24"/>
        </w:rPr>
        <w:t xml:space="preserve">it of </w:t>
      </w:r>
      <w:r>
        <w:rPr>
          <w:i/>
          <w:iCs/>
          <w:color w:val="auto"/>
          <w:sz w:val="24"/>
          <w:szCs w:val="24"/>
        </w:rPr>
        <w:t>Tanak</w:t>
      </w:r>
      <w:r w:rsidRPr="0007520B">
        <w:rPr>
          <w:i/>
          <w:iCs/>
          <w:color w:val="auto"/>
          <w:sz w:val="24"/>
          <w:szCs w:val="24"/>
        </w:rPr>
        <w:t>h</w:t>
      </w:r>
      <w:r>
        <w:rPr>
          <w:color w:val="auto"/>
          <w:sz w:val="24"/>
          <w:szCs w:val="24"/>
        </w:rPr>
        <w:t xml:space="preserve"> is indicative of a phrase</w:t>
      </w:r>
      <w:r w:rsidRPr="0016007F">
        <w:rPr>
          <w:color w:val="auto"/>
          <w:sz w:val="24"/>
          <w:szCs w:val="24"/>
        </w:rPr>
        <w:t>’s</w:t>
      </w:r>
      <w:r>
        <w:rPr>
          <w:color w:val="auto"/>
          <w:sz w:val="24"/>
          <w:szCs w:val="24"/>
        </w:rPr>
        <w:t xml:space="preserve"> importance</w:t>
      </w:r>
      <w:r w:rsidRPr="0016007F">
        <w:rPr>
          <w:color w:val="auto"/>
          <w:sz w:val="24"/>
          <w:szCs w:val="24"/>
        </w:rPr>
        <w:t>.</w:t>
      </w:r>
    </w:p>
    <w:p w14:paraId="26879030" w14:textId="77777777" w:rsidR="0007520B" w:rsidRPr="0016007F" w:rsidRDefault="0007520B" w:rsidP="008F3453">
      <w:pPr>
        <w:pStyle w:val="Normal1"/>
        <w:spacing w:line="240" w:lineRule="auto"/>
        <w:jc w:val="both"/>
        <w:rPr>
          <w:color w:val="auto"/>
        </w:rPr>
      </w:pPr>
    </w:p>
    <w:p w14:paraId="39B3573B" w14:textId="2A9D380B" w:rsidR="0007520B" w:rsidRPr="0016007F" w:rsidRDefault="0007520B" w:rsidP="008F3453">
      <w:pPr>
        <w:pStyle w:val="Normal1"/>
        <w:spacing w:line="240" w:lineRule="auto"/>
        <w:ind w:firstLine="720"/>
        <w:jc w:val="both"/>
        <w:rPr>
          <w:color w:val="auto"/>
        </w:rPr>
      </w:pPr>
      <w:r w:rsidRPr="0016007F">
        <w:rPr>
          <w:color w:val="auto"/>
          <w:sz w:val="24"/>
          <w:szCs w:val="24"/>
        </w:rPr>
        <w:t xml:space="preserve">Further </w:t>
      </w:r>
      <w:r>
        <w:rPr>
          <w:color w:val="auto"/>
          <w:sz w:val="24"/>
          <w:szCs w:val="24"/>
        </w:rPr>
        <w:t xml:space="preserve">underscoring </w:t>
      </w:r>
      <w:r w:rsidRPr="0016007F">
        <w:rPr>
          <w:color w:val="auto"/>
          <w:sz w:val="24"/>
          <w:szCs w:val="24"/>
        </w:rPr>
        <w:t>Ezra’s stature, he is described as a “</w:t>
      </w:r>
      <w:r w:rsidRPr="004A4C78">
        <w:rPr>
          <w:i/>
          <w:color w:val="auto"/>
          <w:sz w:val="24"/>
          <w:szCs w:val="24"/>
        </w:rPr>
        <w:t>sofer</w:t>
      </w:r>
      <w:r w:rsidRPr="0016007F">
        <w:rPr>
          <w:color w:val="auto"/>
          <w:sz w:val="24"/>
          <w:szCs w:val="24"/>
        </w:rPr>
        <w:t>,” which, according to most commentaries, refers not to a scribe</w:t>
      </w:r>
      <w:r>
        <w:rPr>
          <w:color w:val="auto"/>
          <w:sz w:val="24"/>
          <w:szCs w:val="24"/>
        </w:rPr>
        <w:t>,</w:t>
      </w:r>
      <w:r w:rsidRPr="0016007F">
        <w:rPr>
          <w:color w:val="auto"/>
          <w:sz w:val="24"/>
          <w:szCs w:val="24"/>
        </w:rPr>
        <w:t xml:space="preserve"> but to a scholar who is expert in Moshe’s Torah.</w:t>
      </w:r>
      <w:r>
        <w:rPr>
          <w:rStyle w:val="FootnoteReference"/>
          <w:color w:val="auto"/>
          <w:sz w:val="24"/>
          <w:szCs w:val="24"/>
        </w:rPr>
        <w:footnoteReference w:id="3"/>
      </w:r>
      <w:r>
        <w:rPr>
          <w:color w:val="auto"/>
          <w:sz w:val="24"/>
          <w:szCs w:val="24"/>
        </w:rPr>
        <w:t xml:space="preserve"> The reference to Moshe Rabbei</w:t>
      </w:r>
      <w:r w:rsidRPr="0016007F">
        <w:rPr>
          <w:color w:val="auto"/>
          <w:sz w:val="24"/>
          <w:szCs w:val="24"/>
        </w:rPr>
        <w:t>nu is especially significant; Ezra is viewed by man</w:t>
      </w:r>
      <w:r>
        <w:rPr>
          <w:color w:val="auto"/>
          <w:sz w:val="24"/>
          <w:szCs w:val="24"/>
        </w:rPr>
        <w:t>y as a contemporary Moshe</w:t>
      </w:r>
      <w:r w:rsidRPr="0016007F">
        <w:rPr>
          <w:color w:val="auto"/>
          <w:sz w:val="24"/>
          <w:szCs w:val="24"/>
        </w:rPr>
        <w:t xml:space="preserve">. The rabbis </w:t>
      </w:r>
      <w:r>
        <w:rPr>
          <w:color w:val="auto"/>
          <w:sz w:val="24"/>
          <w:szCs w:val="24"/>
        </w:rPr>
        <w:t>emphasized this</w:t>
      </w:r>
      <w:r w:rsidRPr="0016007F">
        <w:rPr>
          <w:color w:val="auto"/>
          <w:sz w:val="24"/>
          <w:szCs w:val="24"/>
        </w:rPr>
        <w:t xml:space="preserve"> point, suggesting that </w:t>
      </w:r>
      <w:r>
        <w:rPr>
          <w:color w:val="auto"/>
          <w:sz w:val="24"/>
          <w:szCs w:val="24"/>
        </w:rPr>
        <w:t xml:space="preserve">had not </w:t>
      </w:r>
      <w:r w:rsidR="00894439">
        <w:rPr>
          <w:color w:val="auto"/>
          <w:sz w:val="24"/>
          <w:szCs w:val="24"/>
        </w:rPr>
        <w:t xml:space="preserve">Moshe </w:t>
      </w:r>
      <w:r w:rsidRPr="0016007F">
        <w:rPr>
          <w:color w:val="auto"/>
          <w:sz w:val="24"/>
          <w:szCs w:val="24"/>
        </w:rPr>
        <w:t>preceded him, Ezra would have been fit to give the Torah (</w:t>
      </w:r>
      <w:r w:rsidRPr="0016007F">
        <w:rPr>
          <w:i/>
          <w:color w:val="auto"/>
          <w:sz w:val="24"/>
          <w:szCs w:val="24"/>
        </w:rPr>
        <w:t xml:space="preserve">Sanhedrin </w:t>
      </w:r>
      <w:r w:rsidRPr="0016007F">
        <w:rPr>
          <w:color w:val="auto"/>
          <w:sz w:val="24"/>
          <w:szCs w:val="24"/>
        </w:rPr>
        <w:t>21b). The Talmud goes on to cite</w:t>
      </w:r>
      <w:r>
        <w:rPr>
          <w:color w:val="auto"/>
          <w:sz w:val="24"/>
          <w:szCs w:val="24"/>
        </w:rPr>
        <w:t xml:space="preserve"> numerous</w:t>
      </w:r>
      <w:r w:rsidRPr="0016007F">
        <w:rPr>
          <w:color w:val="auto"/>
          <w:sz w:val="24"/>
          <w:szCs w:val="24"/>
        </w:rPr>
        <w:t xml:space="preserve"> parallels between our chapter and </w:t>
      </w:r>
      <w:r>
        <w:rPr>
          <w:color w:val="auto"/>
          <w:sz w:val="24"/>
          <w:szCs w:val="24"/>
        </w:rPr>
        <w:t xml:space="preserve">verses </w:t>
      </w:r>
      <w:r w:rsidRPr="0016007F">
        <w:rPr>
          <w:color w:val="auto"/>
          <w:sz w:val="24"/>
          <w:szCs w:val="24"/>
        </w:rPr>
        <w:t>that appear in relation to Moshe. The similarities, which become even more pronounced in</w:t>
      </w:r>
      <w:r>
        <w:rPr>
          <w:color w:val="auto"/>
          <w:sz w:val="24"/>
          <w:szCs w:val="24"/>
        </w:rPr>
        <w:t xml:space="preserve"> chapter 8 of</w:t>
      </w:r>
      <w:r w:rsidRPr="0016007F">
        <w:rPr>
          <w:color w:val="auto"/>
          <w:sz w:val="24"/>
          <w:szCs w:val="24"/>
        </w:rPr>
        <w:t xml:space="preserve"> </w:t>
      </w:r>
      <w:r w:rsidRPr="005C438E">
        <w:rPr>
          <w:i/>
          <w:color w:val="auto"/>
          <w:sz w:val="24"/>
          <w:szCs w:val="24"/>
        </w:rPr>
        <w:t>Nechemia</w:t>
      </w:r>
      <w:r w:rsidRPr="0016007F">
        <w:rPr>
          <w:color w:val="auto"/>
          <w:sz w:val="24"/>
          <w:szCs w:val="24"/>
        </w:rPr>
        <w:t>,</w:t>
      </w:r>
      <w:r>
        <w:rPr>
          <w:color w:val="auto"/>
          <w:sz w:val="24"/>
          <w:szCs w:val="24"/>
        </w:rPr>
        <w:t xml:space="preserve"> further highlight Ezra’s towering stature</w:t>
      </w:r>
      <w:r w:rsidRPr="0016007F">
        <w:rPr>
          <w:color w:val="auto"/>
          <w:sz w:val="24"/>
          <w:szCs w:val="24"/>
        </w:rPr>
        <w:t xml:space="preserve">. </w:t>
      </w:r>
    </w:p>
    <w:p w14:paraId="30264B73" w14:textId="77777777" w:rsidR="0007520B" w:rsidRPr="0016007F" w:rsidRDefault="0007520B" w:rsidP="008F3453">
      <w:pPr>
        <w:pStyle w:val="Normal1"/>
        <w:spacing w:line="240" w:lineRule="auto"/>
        <w:jc w:val="both"/>
        <w:rPr>
          <w:color w:val="auto"/>
        </w:rPr>
      </w:pPr>
    </w:p>
    <w:p w14:paraId="48294C86" w14:textId="0BA961CB" w:rsidR="0007520B" w:rsidRPr="00A05E54" w:rsidRDefault="0007520B" w:rsidP="008F3453">
      <w:pPr>
        <w:pStyle w:val="Normal1"/>
        <w:spacing w:line="240" w:lineRule="auto"/>
        <w:jc w:val="both"/>
        <w:rPr>
          <w:color w:val="auto"/>
        </w:rPr>
      </w:pPr>
      <w:r w:rsidRPr="00A05E54">
        <w:rPr>
          <w:b/>
          <w:color w:val="auto"/>
          <w:sz w:val="24"/>
          <w:szCs w:val="24"/>
        </w:rPr>
        <w:t>Priest and Scholar</w:t>
      </w:r>
    </w:p>
    <w:p w14:paraId="22791260" w14:textId="77777777" w:rsidR="0007520B" w:rsidRDefault="0007520B" w:rsidP="008F3453">
      <w:pPr>
        <w:pStyle w:val="Normal1"/>
        <w:spacing w:line="240" w:lineRule="auto"/>
        <w:jc w:val="both"/>
        <w:rPr>
          <w:color w:val="auto"/>
          <w:sz w:val="24"/>
          <w:szCs w:val="24"/>
        </w:rPr>
      </w:pPr>
    </w:p>
    <w:p w14:paraId="73699109" w14:textId="61996B55" w:rsidR="0007520B" w:rsidRPr="0016007F" w:rsidRDefault="0007520B" w:rsidP="008D5569">
      <w:pPr>
        <w:pStyle w:val="Normal1"/>
        <w:spacing w:line="240" w:lineRule="auto"/>
        <w:ind w:firstLine="720"/>
        <w:jc w:val="both"/>
        <w:rPr>
          <w:color w:val="auto"/>
        </w:rPr>
      </w:pPr>
      <w:r w:rsidRPr="0016007F">
        <w:rPr>
          <w:color w:val="auto"/>
          <w:sz w:val="24"/>
          <w:szCs w:val="24"/>
        </w:rPr>
        <w:t xml:space="preserve">Another theme emerges from the verses’ introduction of Ezra. Upon describing his lineage, the </w:t>
      </w:r>
      <w:r w:rsidR="008D5569">
        <w:rPr>
          <w:color w:val="auto"/>
          <w:sz w:val="24"/>
          <w:szCs w:val="24"/>
        </w:rPr>
        <w:t>verse</w:t>
      </w:r>
      <w:bookmarkStart w:id="0" w:name="_GoBack"/>
      <w:bookmarkEnd w:id="0"/>
      <w:r w:rsidRPr="0016007F">
        <w:rPr>
          <w:color w:val="auto"/>
          <w:sz w:val="24"/>
          <w:szCs w:val="24"/>
        </w:rPr>
        <w:t xml:space="preserve"> refers to Ezra as both priest and scholar. The fusion of priesthood and scholarship is not new; Moshe Rabbeinu already referred to the Levites’ role as teachers (</w:t>
      </w:r>
      <w:r w:rsidRPr="0016007F">
        <w:rPr>
          <w:i/>
          <w:color w:val="auto"/>
          <w:sz w:val="24"/>
          <w:szCs w:val="24"/>
        </w:rPr>
        <w:t xml:space="preserve">Devarim </w:t>
      </w:r>
      <w:r w:rsidRPr="0016007F">
        <w:rPr>
          <w:color w:val="auto"/>
          <w:sz w:val="24"/>
          <w:szCs w:val="24"/>
        </w:rPr>
        <w:t xml:space="preserve">49:10). But there is particular </w:t>
      </w:r>
      <w:r w:rsidRPr="0016007F">
        <w:rPr>
          <w:color w:val="auto"/>
          <w:sz w:val="24"/>
          <w:szCs w:val="24"/>
        </w:rPr>
        <w:lastRenderedPageBreak/>
        <w:t xml:space="preserve">emphasis on the role of priestly teacher in the works of </w:t>
      </w:r>
      <w:r w:rsidRPr="0016007F">
        <w:rPr>
          <w:i/>
          <w:color w:val="auto"/>
          <w:sz w:val="24"/>
          <w:szCs w:val="24"/>
        </w:rPr>
        <w:t xml:space="preserve">Shivat </w:t>
      </w:r>
      <w:r>
        <w:rPr>
          <w:i/>
          <w:color w:val="auto"/>
          <w:sz w:val="24"/>
          <w:szCs w:val="24"/>
        </w:rPr>
        <w:t>Tzion</w:t>
      </w:r>
      <w:r>
        <w:rPr>
          <w:color w:val="auto"/>
          <w:sz w:val="24"/>
          <w:szCs w:val="24"/>
        </w:rPr>
        <w:t>. Zek</w:t>
      </w:r>
      <w:r w:rsidRPr="0016007F">
        <w:rPr>
          <w:color w:val="auto"/>
          <w:sz w:val="24"/>
          <w:szCs w:val="24"/>
        </w:rPr>
        <w:t xml:space="preserve">haria relates that the angel instructs Yeshua the High Priest to “walk in God’s path, observe his laws and properly instruct his household” (3:7). Chapter </w:t>
      </w:r>
      <w:r>
        <w:rPr>
          <w:color w:val="auto"/>
          <w:sz w:val="24"/>
          <w:szCs w:val="24"/>
        </w:rPr>
        <w:t>2</w:t>
      </w:r>
      <w:r w:rsidRPr="0016007F">
        <w:rPr>
          <w:color w:val="auto"/>
          <w:sz w:val="24"/>
          <w:szCs w:val="24"/>
        </w:rPr>
        <w:t xml:space="preserve"> of </w:t>
      </w:r>
      <w:r w:rsidRPr="0007520B">
        <w:rPr>
          <w:i/>
          <w:iCs/>
          <w:color w:val="auto"/>
          <w:sz w:val="24"/>
          <w:szCs w:val="24"/>
        </w:rPr>
        <w:t>Malakhi</w:t>
      </w:r>
      <w:r w:rsidRPr="0016007F">
        <w:rPr>
          <w:color w:val="auto"/>
          <w:sz w:val="24"/>
          <w:szCs w:val="24"/>
        </w:rPr>
        <w:t xml:space="preserve"> stresses the priests’ dual sacerdo</w:t>
      </w:r>
      <w:r>
        <w:rPr>
          <w:color w:val="auto"/>
          <w:sz w:val="24"/>
          <w:szCs w:val="24"/>
        </w:rPr>
        <w:t>tal and scholarly responsibilities</w:t>
      </w:r>
      <w:r w:rsidRPr="0016007F">
        <w:rPr>
          <w:color w:val="auto"/>
          <w:sz w:val="24"/>
          <w:szCs w:val="24"/>
        </w:rPr>
        <w:t>, reaming out the priests for having abandoned both stations. This represents a larger shift away from charismatic priestly and prophetic roles toward an emphasis on Torah and, in the case of Nech</w:t>
      </w:r>
      <w:r>
        <w:rPr>
          <w:color w:val="auto"/>
          <w:sz w:val="24"/>
          <w:szCs w:val="24"/>
        </w:rPr>
        <w:t>emia, political leadership. The fact that</w:t>
      </w:r>
      <w:r w:rsidRPr="0016007F">
        <w:rPr>
          <w:color w:val="auto"/>
          <w:sz w:val="24"/>
          <w:szCs w:val="24"/>
        </w:rPr>
        <w:t xml:space="preserve"> Ezra is identified as a priest without reference to the Temple service</w:t>
      </w:r>
      <w:r>
        <w:rPr>
          <w:color w:val="auto"/>
          <w:sz w:val="24"/>
          <w:szCs w:val="24"/>
        </w:rPr>
        <w:t xml:space="preserve"> accentuates</w:t>
      </w:r>
      <w:r w:rsidRPr="0016007F">
        <w:rPr>
          <w:color w:val="auto"/>
          <w:sz w:val="24"/>
          <w:szCs w:val="24"/>
        </w:rPr>
        <w:t xml:space="preserve"> the transition underway. </w:t>
      </w:r>
    </w:p>
    <w:p w14:paraId="33EDF6BD" w14:textId="77777777" w:rsidR="0007520B" w:rsidRPr="0016007F" w:rsidRDefault="0007520B" w:rsidP="008F3453">
      <w:pPr>
        <w:pStyle w:val="Normal1"/>
        <w:spacing w:line="240" w:lineRule="auto"/>
        <w:jc w:val="both"/>
        <w:rPr>
          <w:color w:val="auto"/>
        </w:rPr>
      </w:pPr>
    </w:p>
    <w:p w14:paraId="4B1F7CDD" w14:textId="54A35D87" w:rsidR="0007520B" w:rsidRPr="0016007F" w:rsidRDefault="0007520B" w:rsidP="008F3453">
      <w:pPr>
        <w:pStyle w:val="Normal1"/>
        <w:spacing w:line="240" w:lineRule="auto"/>
        <w:ind w:firstLine="720"/>
        <w:jc w:val="both"/>
        <w:rPr>
          <w:color w:val="auto"/>
        </w:rPr>
      </w:pPr>
      <w:r w:rsidRPr="0016007F">
        <w:rPr>
          <w:color w:val="auto"/>
          <w:sz w:val="24"/>
          <w:szCs w:val="24"/>
        </w:rPr>
        <w:t>In this light</w:t>
      </w:r>
      <w:r>
        <w:rPr>
          <w:color w:val="auto"/>
          <w:sz w:val="24"/>
          <w:szCs w:val="24"/>
        </w:rPr>
        <w:t>,</w:t>
      </w:r>
      <w:r w:rsidRPr="0016007F">
        <w:rPr>
          <w:color w:val="auto"/>
          <w:sz w:val="24"/>
          <w:szCs w:val="24"/>
        </w:rPr>
        <w:t xml:space="preserve"> we may more fully appreciate the</w:t>
      </w:r>
      <w:r>
        <w:rPr>
          <w:color w:val="auto"/>
          <w:sz w:val="24"/>
          <w:szCs w:val="24"/>
        </w:rPr>
        <w:t xml:space="preserve"> Talmud’s</w:t>
      </w:r>
      <w:r w:rsidRPr="0016007F">
        <w:rPr>
          <w:color w:val="auto"/>
          <w:sz w:val="24"/>
          <w:szCs w:val="24"/>
        </w:rPr>
        <w:t xml:space="preserve"> curious identification of Ezra with Malakhi (</w:t>
      </w:r>
      <w:r w:rsidRPr="0016007F">
        <w:rPr>
          <w:i/>
          <w:color w:val="auto"/>
          <w:sz w:val="24"/>
          <w:szCs w:val="24"/>
        </w:rPr>
        <w:t xml:space="preserve">Rosh Hashana </w:t>
      </w:r>
      <w:r w:rsidRPr="0016007F">
        <w:rPr>
          <w:color w:val="auto"/>
          <w:sz w:val="24"/>
          <w:szCs w:val="24"/>
        </w:rPr>
        <w:t xml:space="preserve">3b). What motivates the rabbis to draw this surprising connection? Central to both works is this emphasis on Torah teaching and </w:t>
      </w:r>
      <w:r>
        <w:rPr>
          <w:color w:val="auto"/>
          <w:sz w:val="24"/>
          <w:szCs w:val="24"/>
        </w:rPr>
        <w:t xml:space="preserve">Torah </w:t>
      </w:r>
      <w:r w:rsidRPr="0016007F">
        <w:rPr>
          <w:color w:val="auto"/>
          <w:sz w:val="24"/>
          <w:szCs w:val="24"/>
        </w:rPr>
        <w:t xml:space="preserve">law. Furthermore, although it is </w:t>
      </w:r>
      <w:r>
        <w:rPr>
          <w:color w:val="auto"/>
          <w:sz w:val="24"/>
          <w:szCs w:val="24"/>
        </w:rPr>
        <w:t xml:space="preserve">unclear whether </w:t>
      </w:r>
      <w:r w:rsidRPr="0016007F">
        <w:rPr>
          <w:color w:val="auto"/>
          <w:sz w:val="24"/>
          <w:szCs w:val="24"/>
        </w:rPr>
        <w:t xml:space="preserve">Malakhi </w:t>
      </w:r>
      <w:r>
        <w:rPr>
          <w:color w:val="auto"/>
          <w:sz w:val="24"/>
          <w:szCs w:val="24"/>
        </w:rPr>
        <w:t xml:space="preserve">himself </w:t>
      </w:r>
      <w:r w:rsidRPr="0016007F">
        <w:rPr>
          <w:color w:val="auto"/>
          <w:sz w:val="24"/>
          <w:szCs w:val="24"/>
        </w:rPr>
        <w:t xml:space="preserve">was a priest, he took a significant interest in the </w:t>
      </w:r>
      <w:r>
        <w:rPr>
          <w:color w:val="auto"/>
          <w:sz w:val="24"/>
          <w:szCs w:val="24"/>
        </w:rPr>
        <w:t xml:space="preserve">their </w:t>
      </w:r>
      <w:r w:rsidRPr="0016007F">
        <w:rPr>
          <w:color w:val="auto"/>
          <w:sz w:val="24"/>
          <w:szCs w:val="24"/>
        </w:rPr>
        <w:t>roles and responsibilities. Th</w:t>
      </w:r>
      <w:r>
        <w:rPr>
          <w:color w:val="auto"/>
          <w:sz w:val="24"/>
          <w:szCs w:val="24"/>
        </w:rPr>
        <w:t>e fact that</w:t>
      </w:r>
      <w:r w:rsidRPr="0016007F">
        <w:rPr>
          <w:color w:val="auto"/>
          <w:sz w:val="24"/>
          <w:szCs w:val="24"/>
        </w:rPr>
        <w:t xml:space="preserve"> </w:t>
      </w:r>
      <w:r>
        <w:rPr>
          <w:color w:val="auto"/>
          <w:sz w:val="24"/>
          <w:szCs w:val="24"/>
        </w:rPr>
        <w:t xml:space="preserve">both </w:t>
      </w:r>
      <w:r w:rsidRPr="00523B46">
        <w:rPr>
          <w:i/>
          <w:color w:val="auto"/>
          <w:sz w:val="24"/>
          <w:szCs w:val="24"/>
        </w:rPr>
        <w:t xml:space="preserve">Ezra </w:t>
      </w:r>
      <w:r w:rsidRPr="0016007F">
        <w:rPr>
          <w:color w:val="auto"/>
          <w:sz w:val="24"/>
          <w:szCs w:val="24"/>
        </w:rPr>
        <w:t xml:space="preserve">and </w:t>
      </w:r>
      <w:r w:rsidRPr="00523B46">
        <w:rPr>
          <w:i/>
          <w:color w:val="auto"/>
          <w:sz w:val="24"/>
          <w:szCs w:val="24"/>
        </w:rPr>
        <w:t xml:space="preserve">Malakhi </w:t>
      </w:r>
      <w:r>
        <w:rPr>
          <w:color w:val="auto"/>
          <w:sz w:val="24"/>
          <w:szCs w:val="24"/>
        </w:rPr>
        <w:t xml:space="preserve">perceive the </w:t>
      </w:r>
      <w:r w:rsidRPr="0016007F">
        <w:rPr>
          <w:color w:val="auto"/>
          <w:sz w:val="24"/>
          <w:szCs w:val="24"/>
        </w:rPr>
        <w:t xml:space="preserve">priestly and scholarly roles </w:t>
      </w:r>
      <w:r>
        <w:rPr>
          <w:color w:val="auto"/>
          <w:sz w:val="24"/>
          <w:szCs w:val="24"/>
        </w:rPr>
        <w:t xml:space="preserve">as intertwined </w:t>
      </w:r>
      <w:r w:rsidRPr="0016007F">
        <w:rPr>
          <w:color w:val="auto"/>
          <w:sz w:val="24"/>
          <w:szCs w:val="24"/>
        </w:rPr>
        <w:t>likely</w:t>
      </w:r>
      <w:r>
        <w:rPr>
          <w:color w:val="auto"/>
          <w:sz w:val="24"/>
          <w:szCs w:val="24"/>
        </w:rPr>
        <w:t xml:space="preserve"> influenced the rabbis’ conflation of the two personas</w:t>
      </w:r>
      <w:r w:rsidRPr="0016007F">
        <w:rPr>
          <w:color w:val="auto"/>
          <w:sz w:val="24"/>
          <w:szCs w:val="24"/>
        </w:rPr>
        <w:t xml:space="preserve">. </w:t>
      </w:r>
    </w:p>
    <w:p w14:paraId="1205F9B6" w14:textId="77777777" w:rsidR="0007520B" w:rsidRPr="0016007F" w:rsidRDefault="0007520B" w:rsidP="008F3453">
      <w:pPr>
        <w:pStyle w:val="Normal1"/>
        <w:spacing w:line="240" w:lineRule="auto"/>
        <w:jc w:val="both"/>
        <w:rPr>
          <w:color w:val="auto"/>
        </w:rPr>
      </w:pPr>
    </w:p>
    <w:p w14:paraId="0A498347" w14:textId="315E4B64" w:rsidR="0007520B" w:rsidRPr="0016007F" w:rsidRDefault="0007520B" w:rsidP="008D5569">
      <w:pPr>
        <w:pStyle w:val="Normal1"/>
        <w:spacing w:line="240" w:lineRule="auto"/>
        <w:ind w:firstLine="720"/>
        <w:jc w:val="both"/>
        <w:rPr>
          <w:color w:val="auto"/>
        </w:rPr>
      </w:pPr>
      <w:r w:rsidRPr="0016007F">
        <w:rPr>
          <w:color w:val="auto"/>
          <w:sz w:val="24"/>
          <w:szCs w:val="24"/>
        </w:rPr>
        <w:t xml:space="preserve">Even the gentile king </w:t>
      </w:r>
      <w:proofErr w:type="spellStart"/>
      <w:r w:rsidR="008D5569" w:rsidRPr="008D5569">
        <w:rPr>
          <w:sz w:val="24"/>
          <w:szCs w:val="24"/>
          <w:shd w:val="clear" w:color="auto" w:fill="FFFFFF"/>
        </w:rPr>
        <w:t>Artaxerxes</w:t>
      </w:r>
      <w:proofErr w:type="spellEnd"/>
      <w:r w:rsidRPr="0016007F">
        <w:rPr>
          <w:color w:val="auto"/>
          <w:sz w:val="24"/>
          <w:szCs w:val="24"/>
        </w:rPr>
        <w:t xml:space="preserve"> repeatedly emphasizes Ezra’s expansive rabbinic abilities and newfound responsibilities. The letter is</w:t>
      </w:r>
      <w:r>
        <w:rPr>
          <w:color w:val="auto"/>
          <w:sz w:val="24"/>
          <w:szCs w:val="24"/>
        </w:rPr>
        <w:t xml:space="preserve"> addressed</w:t>
      </w:r>
      <w:r w:rsidRPr="0016007F">
        <w:rPr>
          <w:color w:val="auto"/>
          <w:sz w:val="24"/>
          <w:szCs w:val="24"/>
        </w:rPr>
        <w:t xml:space="preserve"> to “Ezra the priest-scribe, a scholar in matters concern</w:t>
      </w:r>
      <w:r>
        <w:rPr>
          <w:color w:val="auto"/>
          <w:sz w:val="24"/>
          <w:szCs w:val="24"/>
        </w:rPr>
        <w:t>ing the commandments of the Lord</w:t>
      </w:r>
      <w:r w:rsidRPr="0016007F">
        <w:rPr>
          <w:color w:val="auto"/>
          <w:sz w:val="24"/>
          <w:szCs w:val="24"/>
        </w:rPr>
        <w:t xml:space="preserve"> and His laws to Israel” (7:11). Ezra is “commissioned </w:t>
      </w:r>
      <w:r>
        <w:rPr>
          <w:color w:val="auto"/>
          <w:sz w:val="24"/>
          <w:szCs w:val="24"/>
        </w:rPr>
        <w:t>by the king and his seven adviso</w:t>
      </w:r>
      <w:r w:rsidRPr="0016007F">
        <w:rPr>
          <w:color w:val="auto"/>
          <w:sz w:val="24"/>
          <w:szCs w:val="24"/>
        </w:rPr>
        <w:t>rs to regulate Judah and Jerusalem according to the law of your God, which is in your care” (7:14). Ezra</w:t>
      </w:r>
      <w:r>
        <w:rPr>
          <w:color w:val="auto"/>
          <w:sz w:val="24"/>
          <w:szCs w:val="24"/>
        </w:rPr>
        <w:t xml:space="preserve"> is empowered to</w:t>
      </w:r>
      <w:r w:rsidRPr="0016007F">
        <w:rPr>
          <w:color w:val="auto"/>
          <w:sz w:val="24"/>
          <w:szCs w:val="24"/>
        </w:rPr>
        <w:t>, “by the divine wisdom [he] posses</w:t>
      </w:r>
      <w:r w:rsidR="00894439">
        <w:rPr>
          <w:color w:val="auto"/>
          <w:sz w:val="24"/>
          <w:szCs w:val="24"/>
        </w:rPr>
        <w:t>s</w:t>
      </w:r>
      <w:r w:rsidRPr="0016007F">
        <w:rPr>
          <w:color w:val="auto"/>
          <w:sz w:val="24"/>
          <w:szCs w:val="24"/>
        </w:rPr>
        <w:t xml:space="preserve">[es], appoint magistrates and judges to judge all the people in the province of Beyond the River who know the laws of the God, and to teach those who do not know them” (7:26). </w:t>
      </w:r>
    </w:p>
    <w:p w14:paraId="413DEB32" w14:textId="77777777" w:rsidR="0007520B" w:rsidRPr="0016007F" w:rsidRDefault="0007520B" w:rsidP="008F3453">
      <w:pPr>
        <w:pStyle w:val="Normal1"/>
        <w:spacing w:line="240" w:lineRule="auto"/>
        <w:jc w:val="both"/>
        <w:rPr>
          <w:color w:val="auto"/>
        </w:rPr>
      </w:pPr>
    </w:p>
    <w:p w14:paraId="7F74C409" w14:textId="77777777" w:rsidR="0007520B" w:rsidRPr="0016007F" w:rsidRDefault="0007520B" w:rsidP="008F3453">
      <w:pPr>
        <w:pStyle w:val="Normal1"/>
        <w:spacing w:line="240" w:lineRule="auto"/>
        <w:ind w:firstLine="720"/>
        <w:jc w:val="both"/>
        <w:rPr>
          <w:color w:val="auto"/>
        </w:rPr>
      </w:pPr>
      <w:r w:rsidRPr="0016007F">
        <w:rPr>
          <w:color w:val="auto"/>
          <w:sz w:val="24"/>
          <w:szCs w:val="24"/>
        </w:rPr>
        <w:t xml:space="preserve">Indeed, the king goes on to explicitly spell out his reverence for the Judean God, exclaiming that if his decree is not carried out, God’s wrath will descend upon him and his sons (7:23). It is almost as if Artaxerxes has been touched by Ezra’s personal piety, embracing the legitimacy of Ezra’s mission and profound religious commitment. </w:t>
      </w:r>
    </w:p>
    <w:p w14:paraId="3D919C88" w14:textId="77777777" w:rsidR="0007520B" w:rsidRPr="0016007F" w:rsidRDefault="0007520B" w:rsidP="008F3453">
      <w:pPr>
        <w:pStyle w:val="Normal1"/>
        <w:spacing w:line="240" w:lineRule="auto"/>
        <w:jc w:val="both"/>
        <w:rPr>
          <w:color w:val="auto"/>
        </w:rPr>
      </w:pPr>
    </w:p>
    <w:p w14:paraId="162EF2A3" w14:textId="2F9E6E6F" w:rsidR="0007520B" w:rsidRPr="0016007F" w:rsidRDefault="0007520B" w:rsidP="008F3453">
      <w:pPr>
        <w:pStyle w:val="Normal1"/>
        <w:spacing w:line="240" w:lineRule="auto"/>
        <w:ind w:firstLine="720"/>
        <w:jc w:val="both"/>
        <w:rPr>
          <w:color w:val="auto"/>
        </w:rPr>
      </w:pPr>
      <w:r w:rsidRPr="0016007F">
        <w:rPr>
          <w:color w:val="auto"/>
          <w:sz w:val="24"/>
          <w:szCs w:val="24"/>
        </w:rPr>
        <w:t>One familiar word further underscore</w:t>
      </w:r>
      <w:r>
        <w:rPr>
          <w:color w:val="auto"/>
          <w:sz w:val="24"/>
          <w:szCs w:val="24"/>
        </w:rPr>
        <w:t>s</w:t>
      </w:r>
      <w:r w:rsidRPr="0016007F">
        <w:rPr>
          <w:color w:val="auto"/>
          <w:sz w:val="24"/>
          <w:szCs w:val="24"/>
        </w:rPr>
        <w:t xml:space="preserve"> the importance of Ezra’s religious commitment. Ezra is described as having been “</w:t>
      </w:r>
      <w:r w:rsidRPr="0016007F">
        <w:rPr>
          <w:i/>
          <w:color w:val="auto"/>
          <w:sz w:val="24"/>
          <w:szCs w:val="24"/>
        </w:rPr>
        <w:t>doresh</w:t>
      </w:r>
      <w:r w:rsidRPr="0016007F">
        <w:rPr>
          <w:color w:val="auto"/>
          <w:sz w:val="24"/>
          <w:szCs w:val="24"/>
        </w:rPr>
        <w:t>,” sought after, God’s Torah (7:10). This term evokes the Jews who</w:t>
      </w:r>
      <w:r>
        <w:rPr>
          <w:color w:val="auto"/>
          <w:sz w:val="24"/>
          <w:szCs w:val="24"/>
        </w:rPr>
        <w:t xml:space="preserve">, in the previous chapter, offered the Pesach sacrifice and </w:t>
      </w:r>
      <w:r w:rsidRPr="0016007F">
        <w:rPr>
          <w:color w:val="auto"/>
          <w:sz w:val="24"/>
          <w:szCs w:val="24"/>
        </w:rPr>
        <w:t xml:space="preserve">are </w:t>
      </w:r>
      <w:r>
        <w:rPr>
          <w:color w:val="auto"/>
          <w:sz w:val="24"/>
          <w:szCs w:val="24"/>
        </w:rPr>
        <w:t xml:space="preserve">similarly </w:t>
      </w:r>
      <w:r w:rsidRPr="0016007F">
        <w:rPr>
          <w:color w:val="auto"/>
          <w:sz w:val="24"/>
          <w:szCs w:val="24"/>
        </w:rPr>
        <w:t>described as seek</w:t>
      </w:r>
      <w:r>
        <w:rPr>
          <w:color w:val="auto"/>
          <w:sz w:val="24"/>
          <w:szCs w:val="24"/>
        </w:rPr>
        <w:t>ing</w:t>
      </w:r>
      <w:r w:rsidRPr="0016007F">
        <w:rPr>
          <w:color w:val="auto"/>
          <w:sz w:val="24"/>
          <w:szCs w:val="24"/>
        </w:rPr>
        <w:t xml:space="preserve"> God (6:21). The shift in meaning in the term “</w:t>
      </w:r>
      <w:r w:rsidRPr="0016007F">
        <w:rPr>
          <w:i/>
          <w:color w:val="auto"/>
          <w:sz w:val="24"/>
          <w:szCs w:val="24"/>
        </w:rPr>
        <w:t>doresh</w:t>
      </w:r>
      <w:r w:rsidRPr="0016007F">
        <w:rPr>
          <w:color w:val="auto"/>
          <w:sz w:val="24"/>
          <w:szCs w:val="24"/>
        </w:rPr>
        <w:t xml:space="preserve">” is telling. Whereas in the opening section of </w:t>
      </w:r>
      <w:r w:rsidRPr="0016007F">
        <w:rPr>
          <w:i/>
          <w:color w:val="auto"/>
          <w:sz w:val="24"/>
          <w:szCs w:val="24"/>
        </w:rPr>
        <w:t>Ezra</w:t>
      </w:r>
      <w:r w:rsidRPr="0016007F">
        <w:rPr>
          <w:color w:val="auto"/>
          <w:sz w:val="24"/>
          <w:szCs w:val="24"/>
        </w:rPr>
        <w:t xml:space="preserve">, the only form of worship practiced by the Jews is that of sacrifice, Ezra </w:t>
      </w:r>
      <w:r>
        <w:rPr>
          <w:color w:val="auto"/>
          <w:sz w:val="24"/>
          <w:szCs w:val="24"/>
        </w:rPr>
        <w:t xml:space="preserve">ushers in </w:t>
      </w:r>
      <w:r w:rsidRPr="0016007F">
        <w:rPr>
          <w:color w:val="auto"/>
          <w:sz w:val="24"/>
          <w:szCs w:val="24"/>
        </w:rPr>
        <w:t xml:space="preserve">a new emphasis on Torah study and observance. This </w:t>
      </w:r>
      <w:r>
        <w:rPr>
          <w:color w:val="auto"/>
          <w:sz w:val="24"/>
          <w:szCs w:val="24"/>
        </w:rPr>
        <w:t>shift foreshadows the</w:t>
      </w:r>
      <w:r w:rsidRPr="0016007F">
        <w:rPr>
          <w:color w:val="auto"/>
          <w:sz w:val="24"/>
          <w:szCs w:val="24"/>
        </w:rPr>
        <w:t xml:space="preserve"> revolution on which Ezra </w:t>
      </w:r>
      <w:r>
        <w:rPr>
          <w:color w:val="auto"/>
          <w:sz w:val="24"/>
          <w:szCs w:val="24"/>
        </w:rPr>
        <w:t xml:space="preserve">was about </w:t>
      </w:r>
      <w:r w:rsidRPr="0016007F">
        <w:rPr>
          <w:color w:val="auto"/>
          <w:sz w:val="24"/>
          <w:szCs w:val="24"/>
        </w:rPr>
        <w:t>to embark.</w:t>
      </w:r>
      <w:r w:rsidRPr="0016007F">
        <w:rPr>
          <w:color w:val="auto"/>
          <w:sz w:val="24"/>
          <w:szCs w:val="24"/>
          <w:vertAlign w:val="superscript"/>
        </w:rPr>
        <w:footnoteReference w:id="4"/>
      </w:r>
      <w:r w:rsidRPr="0016007F">
        <w:rPr>
          <w:color w:val="auto"/>
          <w:sz w:val="24"/>
          <w:szCs w:val="24"/>
        </w:rPr>
        <w:t xml:space="preserve"> </w:t>
      </w:r>
    </w:p>
    <w:p w14:paraId="221F19E7" w14:textId="77777777" w:rsidR="0007520B" w:rsidRPr="0016007F" w:rsidRDefault="0007520B" w:rsidP="008F3453">
      <w:pPr>
        <w:pStyle w:val="Normal1"/>
        <w:spacing w:line="240" w:lineRule="auto"/>
        <w:jc w:val="both"/>
        <w:rPr>
          <w:color w:val="auto"/>
        </w:rPr>
      </w:pPr>
    </w:p>
    <w:p w14:paraId="1E317FB9" w14:textId="51E15B3B" w:rsidR="0007520B" w:rsidRPr="00F83EF9" w:rsidRDefault="0007520B" w:rsidP="008F3453">
      <w:pPr>
        <w:pStyle w:val="Normal1"/>
        <w:spacing w:line="240" w:lineRule="auto"/>
        <w:ind w:firstLine="720"/>
        <w:jc w:val="both"/>
        <w:rPr>
          <w:color w:val="auto"/>
          <w:sz w:val="24"/>
          <w:szCs w:val="24"/>
        </w:rPr>
      </w:pPr>
      <w:r w:rsidRPr="0016007F">
        <w:rPr>
          <w:color w:val="auto"/>
          <w:sz w:val="24"/>
          <w:szCs w:val="24"/>
        </w:rPr>
        <w:lastRenderedPageBreak/>
        <w:t xml:space="preserve">It is worth noting as well the need for a scholar of the caliber of Ezra to be “shipped” from Babylonia to Israel. As will become evident throughout </w:t>
      </w:r>
      <w:r>
        <w:rPr>
          <w:color w:val="auto"/>
          <w:sz w:val="24"/>
          <w:szCs w:val="24"/>
        </w:rPr>
        <w:t xml:space="preserve">his </w:t>
      </w:r>
      <w:r w:rsidRPr="0016007F">
        <w:rPr>
          <w:color w:val="auto"/>
          <w:sz w:val="24"/>
          <w:szCs w:val="24"/>
        </w:rPr>
        <w:t xml:space="preserve">book, the </w:t>
      </w:r>
      <w:r>
        <w:rPr>
          <w:color w:val="auto"/>
          <w:sz w:val="24"/>
          <w:szCs w:val="24"/>
        </w:rPr>
        <w:t xml:space="preserve">Judean </w:t>
      </w:r>
      <w:r w:rsidRPr="0016007F">
        <w:rPr>
          <w:color w:val="auto"/>
          <w:sz w:val="24"/>
          <w:szCs w:val="24"/>
        </w:rPr>
        <w:t>Jewish community was not only lacking in</w:t>
      </w:r>
      <w:r>
        <w:rPr>
          <w:color w:val="auto"/>
          <w:sz w:val="24"/>
          <w:szCs w:val="24"/>
        </w:rPr>
        <w:t xml:space="preserve"> scholarly leadership, but also, for the most part</w:t>
      </w:r>
      <w:r w:rsidRPr="0016007F">
        <w:rPr>
          <w:color w:val="auto"/>
          <w:sz w:val="24"/>
          <w:szCs w:val="24"/>
        </w:rPr>
        <w:t xml:space="preserve">, </w:t>
      </w:r>
      <w:r>
        <w:rPr>
          <w:color w:val="auto"/>
          <w:sz w:val="24"/>
          <w:szCs w:val="24"/>
        </w:rPr>
        <w:t xml:space="preserve">was </w:t>
      </w:r>
      <w:r w:rsidRPr="0016007F">
        <w:rPr>
          <w:color w:val="auto"/>
          <w:sz w:val="24"/>
          <w:szCs w:val="24"/>
        </w:rPr>
        <w:t xml:space="preserve">utterly ignorant. </w:t>
      </w:r>
      <w:r>
        <w:rPr>
          <w:color w:val="auto"/>
          <w:sz w:val="24"/>
          <w:szCs w:val="24"/>
        </w:rPr>
        <w:t>In contemporary terms</w:t>
      </w:r>
      <w:r w:rsidRPr="0016007F">
        <w:rPr>
          <w:color w:val="auto"/>
          <w:sz w:val="24"/>
          <w:szCs w:val="24"/>
        </w:rPr>
        <w:t>, one can argue that with the exception of the period of the Mishnah</w:t>
      </w:r>
      <w:r>
        <w:rPr>
          <w:color w:val="auto"/>
          <w:sz w:val="24"/>
          <w:szCs w:val="24"/>
        </w:rPr>
        <w:t xml:space="preserve"> and the early Amoraic period</w:t>
      </w:r>
      <w:r w:rsidRPr="0016007F">
        <w:rPr>
          <w:color w:val="auto"/>
          <w:sz w:val="24"/>
          <w:szCs w:val="24"/>
        </w:rPr>
        <w:t xml:space="preserve">, ours is the first era in some 2,500 years during which Israel is the center of Torah life. </w:t>
      </w:r>
      <w:r>
        <w:rPr>
          <w:color w:val="auto"/>
          <w:sz w:val="24"/>
          <w:szCs w:val="24"/>
        </w:rPr>
        <w:t>Indeed, t</w:t>
      </w:r>
      <w:r w:rsidRPr="0016007F">
        <w:rPr>
          <w:color w:val="auto"/>
          <w:sz w:val="24"/>
          <w:szCs w:val="24"/>
        </w:rPr>
        <w:t xml:space="preserve">he </w:t>
      </w:r>
      <w:r>
        <w:rPr>
          <w:color w:val="auto"/>
          <w:sz w:val="24"/>
          <w:szCs w:val="24"/>
        </w:rPr>
        <w:t>unfortunate religious realities</w:t>
      </w:r>
      <w:r w:rsidRPr="0016007F">
        <w:rPr>
          <w:color w:val="auto"/>
          <w:sz w:val="24"/>
          <w:szCs w:val="24"/>
        </w:rPr>
        <w:t xml:space="preserve"> </w:t>
      </w:r>
      <w:r>
        <w:rPr>
          <w:color w:val="auto"/>
          <w:sz w:val="24"/>
          <w:szCs w:val="24"/>
        </w:rPr>
        <w:t>during Ezra’s life enable us to appreciate the unique</w:t>
      </w:r>
      <w:r w:rsidRPr="0016007F">
        <w:rPr>
          <w:color w:val="auto"/>
          <w:sz w:val="24"/>
          <w:szCs w:val="24"/>
        </w:rPr>
        <w:t xml:space="preserve"> flourishing of Torah in Israel </w:t>
      </w:r>
      <w:r>
        <w:rPr>
          <w:color w:val="auto"/>
          <w:sz w:val="24"/>
          <w:szCs w:val="24"/>
        </w:rPr>
        <w:t xml:space="preserve">in </w:t>
      </w:r>
      <w:r w:rsidRPr="0016007F">
        <w:rPr>
          <w:color w:val="auto"/>
          <w:sz w:val="24"/>
          <w:szCs w:val="24"/>
        </w:rPr>
        <w:t xml:space="preserve">modern times. </w:t>
      </w:r>
    </w:p>
    <w:p w14:paraId="6BFD96A6" w14:textId="77777777" w:rsidR="0007520B" w:rsidRPr="0016007F" w:rsidRDefault="0007520B" w:rsidP="008F3453">
      <w:pPr>
        <w:pStyle w:val="Normal1"/>
        <w:spacing w:line="240" w:lineRule="auto"/>
        <w:jc w:val="both"/>
        <w:rPr>
          <w:color w:val="auto"/>
        </w:rPr>
      </w:pPr>
    </w:p>
    <w:p w14:paraId="7A895237" w14:textId="5E966631" w:rsidR="0007520B" w:rsidRPr="0007520B" w:rsidRDefault="0007520B" w:rsidP="008F3453">
      <w:pPr>
        <w:pStyle w:val="Normal1"/>
        <w:spacing w:line="240" w:lineRule="auto"/>
        <w:jc w:val="both"/>
        <w:rPr>
          <w:i/>
          <w:iCs/>
          <w:color w:val="auto"/>
        </w:rPr>
      </w:pPr>
      <w:r w:rsidRPr="0007520B">
        <w:rPr>
          <w:b/>
          <w:i/>
          <w:iCs/>
          <w:color w:val="auto"/>
          <w:sz w:val="24"/>
          <w:szCs w:val="24"/>
        </w:rPr>
        <w:t>Yad Elokav Ha-Tova</w:t>
      </w:r>
    </w:p>
    <w:p w14:paraId="01240830" w14:textId="77777777" w:rsidR="0007520B" w:rsidRPr="0016007F" w:rsidRDefault="0007520B" w:rsidP="008F3453">
      <w:pPr>
        <w:pStyle w:val="Normal1"/>
        <w:spacing w:line="240" w:lineRule="auto"/>
        <w:jc w:val="both"/>
        <w:rPr>
          <w:color w:val="auto"/>
        </w:rPr>
      </w:pPr>
    </w:p>
    <w:p w14:paraId="5E5AC4D2" w14:textId="7D252794" w:rsidR="0007520B" w:rsidRPr="0016007F" w:rsidRDefault="0007520B" w:rsidP="008F3453">
      <w:pPr>
        <w:pStyle w:val="Normal1"/>
        <w:spacing w:line="240" w:lineRule="auto"/>
        <w:ind w:firstLine="720"/>
        <w:jc w:val="both"/>
        <w:rPr>
          <w:color w:val="auto"/>
        </w:rPr>
      </w:pPr>
      <w:r>
        <w:rPr>
          <w:color w:val="auto"/>
          <w:sz w:val="24"/>
          <w:szCs w:val="24"/>
        </w:rPr>
        <w:t>It is worth noting that i</w:t>
      </w:r>
      <w:r w:rsidRPr="0016007F">
        <w:rPr>
          <w:color w:val="auto"/>
          <w:sz w:val="24"/>
          <w:szCs w:val="24"/>
        </w:rPr>
        <w:t xml:space="preserve">n addition to Ezra’s name and title, one phrase </w:t>
      </w:r>
      <w:r>
        <w:rPr>
          <w:color w:val="auto"/>
          <w:sz w:val="24"/>
          <w:szCs w:val="24"/>
        </w:rPr>
        <w:t xml:space="preserve">appears repeatedly </w:t>
      </w:r>
      <w:r w:rsidRPr="0016007F">
        <w:rPr>
          <w:color w:val="auto"/>
          <w:sz w:val="24"/>
          <w:szCs w:val="24"/>
        </w:rPr>
        <w:t>in our chapter and the</w:t>
      </w:r>
      <w:r>
        <w:rPr>
          <w:color w:val="auto"/>
          <w:sz w:val="24"/>
          <w:szCs w:val="24"/>
        </w:rPr>
        <w:t xml:space="preserve"> next</w:t>
      </w:r>
      <w:r w:rsidRPr="0016007F">
        <w:rPr>
          <w:color w:val="auto"/>
          <w:sz w:val="24"/>
          <w:szCs w:val="24"/>
        </w:rPr>
        <w:t xml:space="preserve">: </w:t>
      </w:r>
      <w:r w:rsidRPr="0016007F">
        <w:rPr>
          <w:i/>
          <w:color w:val="auto"/>
          <w:sz w:val="24"/>
          <w:szCs w:val="24"/>
        </w:rPr>
        <w:t>“ke-yad Elokav ha-tova</w:t>
      </w:r>
      <w:r w:rsidRPr="0016007F">
        <w:rPr>
          <w:color w:val="auto"/>
          <w:sz w:val="24"/>
          <w:szCs w:val="24"/>
        </w:rPr>
        <w:t>, thanks to the benevolen</w:t>
      </w:r>
      <w:r>
        <w:rPr>
          <w:color w:val="auto"/>
          <w:sz w:val="24"/>
          <w:szCs w:val="24"/>
        </w:rPr>
        <w:t>ce of the Lord’s hand [toward Ezra]</w:t>
      </w:r>
      <w:r w:rsidRPr="0016007F">
        <w:rPr>
          <w:color w:val="auto"/>
          <w:sz w:val="24"/>
          <w:szCs w:val="24"/>
        </w:rPr>
        <w:t xml:space="preserve">” (7:6, 7:28, 8:18, 8:22, 8:31). In these words, Ezra deflects credit from himself toward God. This theme of </w:t>
      </w:r>
      <w:r w:rsidRPr="0016007F">
        <w:rPr>
          <w:i/>
          <w:color w:val="auto"/>
          <w:sz w:val="24"/>
          <w:szCs w:val="24"/>
        </w:rPr>
        <w:t>hashgacha</w:t>
      </w:r>
      <w:r>
        <w:rPr>
          <w:i/>
          <w:color w:val="auto"/>
          <w:sz w:val="24"/>
          <w:szCs w:val="24"/>
        </w:rPr>
        <w:t xml:space="preserve"> –</w:t>
      </w:r>
      <w:r>
        <w:rPr>
          <w:color w:val="auto"/>
          <w:sz w:val="24"/>
          <w:szCs w:val="24"/>
        </w:rPr>
        <w:t xml:space="preserve"> </w:t>
      </w:r>
      <w:r w:rsidRPr="0016007F">
        <w:rPr>
          <w:color w:val="auto"/>
          <w:sz w:val="24"/>
          <w:szCs w:val="24"/>
        </w:rPr>
        <w:t xml:space="preserve">that while God no longer performs open miracles, He nonetheless </w:t>
      </w:r>
      <w:r>
        <w:rPr>
          <w:color w:val="auto"/>
          <w:sz w:val="24"/>
          <w:szCs w:val="24"/>
        </w:rPr>
        <w:t>profoundly influences world events –</w:t>
      </w:r>
      <w:r w:rsidRPr="0016007F">
        <w:rPr>
          <w:color w:val="auto"/>
          <w:sz w:val="24"/>
          <w:szCs w:val="24"/>
        </w:rPr>
        <w:t xml:space="preserve"> pervades the literature of </w:t>
      </w:r>
      <w:r w:rsidRPr="0016007F">
        <w:rPr>
          <w:i/>
          <w:color w:val="auto"/>
          <w:sz w:val="24"/>
          <w:szCs w:val="24"/>
        </w:rPr>
        <w:t xml:space="preserve">Shivat </w:t>
      </w:r>
      <w:r>
        <w:rPr>
          <w:i/>
          <w:color w:val="auto"/>
          <w:sz w:val="24"/>
          <w:szCs w:val="24"/>
        </w:rPr>
        <w:t>Tzion</w:t>
      </w:r>
      <w:r w:rsidRPr="0016007F">
        <w:rPr>
          <w:color w:val="auto"/>
          <w:sz w:val="24"/>
          <w:szCs w:val="24"/>
        </w:rPr>
        <w:t>. Just as prophecy may be waning but divine inspiration remains, so too God continues</w:t>
      </w:r>
      <w:r>
        <w:rPr>
          <w:color w:val="auto"/>
          <w:sz w:val="24"/>
          <w:szCs w:val="24"/>
        </w:rPr>
        <w:t xml:space="preserve"> to</w:t>
      </w:r>
      <w:r w:rsidRPr="0016007F">
        <w:rPr>
          <w:color w:val="auto"/>
          <w:sz w:val="24"/>
          <w:szCs w:val="24"/>
        </w:rPr>
        <w:t xml:space="preserve"> guide earthly events. </w:t>
      </w:r>
      <w:r w:rsidRPr="0016007F">
        <w:rPr>
          <w:i/>
          <w:color w:val="auto"/>
          <w:sz w:val="24"/>
          <w:szCs w:val="24"/>
        </w:rPr>
        <w:t>Ezra</w:t>
      </w:r>
      <w:r w:rsidRPr="0016007F">
        <w:rPr>
          <w:color w:val="auto"/>
          <w:sz w:val="24"/>
          <w:szCs w:val="24"/>
        </w:rPr>
        <w:t xml:space="preserve"> 5:5 records that “God’s eyes watched over the elders of the Jews,” allowing them to continue building the Temple even after a complaint had </w:t>
      </w:r>
      <w:r>
        <w:rPr>
          <w:color w:val="auto"/>
          <w:sz w:val="24"/>
          <w:szCs w:val="24"/>
        </w:rPr>
        <w:t>been registered with Darius. Zek</w:t>
      </w:r>
      <w:r w:rsidRPr="0016007F">
        <w:rPr>
          <w:color w:val="auto"/>
          <w:sz w:val="24"/>
          <w:szCs w:val="24"/>
        </w:rPr>
        <w:t>haria similarly accounts for the symbolism of his famed seven-branch candelabra as</w:t>
      </w:r>
      <w:r>
        <w:rPr>
          <w:color w:val="auto"/>
          <w:sz w:val="24"/>
          <w:szCs w:val="24"/>
        </w:rPr>
        <w:t xml:space="preserve"> representing</w:t>
      </w:r>
      <w:r w:rsidRPr="0016007F">
        <w:rPr>
          <w:color w:val="auto"/>
          <w:sz w:val="24"/>
          <w:szCs w:val="24"/>
        </w:rPr>
        <w:t xml:space="preserve"> “the seven eyes of the Lord, ranging over the whole earth” (4:10). </w:t>
      </w:r>
    </w:p>
    <w:p w14:paraId="5B3D8CA6" w14:textId="77777777" w:rsidR="0007520B" w:rsidRPr="0016007F" w:rsidRDefault="0007520B" w:rsidP="008F3453">
      <w:pPr>
        <w:pStyle w:val="Normal1"/>
        <w:spacing w:line="240" w:lineRule="auto"/>
        <w:jc w:val="both"/>
        <w:rPr>
          <w:color w:val="auto"/>
        </w:rPr>
      </w:pPr>
    </w:p>
    <w:p w14:paraId="634991DF" w14:textId="75CE90CB" w:rsidR="0007520B" w:rsidRPr="0016007F" w:rsidRDefault="0007520B" w:rsidP="008F3453">
      <w:pPr>
        <w:pStyle w:val="Normal1"/>
        <w:spacing w:line="240" w:lineRule="auto"/>
        <w:ind w:firstLine="720"/>
        <w:jc w:val="both"/>
        <w:rPr>
          <w:color w:val="auto"/>
        </w:rPr>
      </w:pPr>
      <w:r w:rsidRPr="0016007F">
        <w:rPr>
          <w:color w:val="auto"/>
          <w:sz w:val="24"/>
          <w:szCs w:val="24"/>
        </w:rPr>
        <w:t xml:space="preserve">It is also </w:t>
      </w:r>
      <w:r>
        <w:rPr>
          <w:color w:val="auto"/>
          <w:sz w:val="24"/>
          <w:szCs w:val="24"/>
        </w:rPr>
        <w:t xml:space="preserve">interesting </w:t>
      </w:r>
      <w:r w:rsidRPr="0016007F">
        <w:rPr>
          <w:color w:val="auto"/>
          <w:sz w:val="24"/>
          <w:szCs w:val="24"/>
        </w:rPr>
        <w:t xml:space="preserve">that this phrase, which occurs predominantly in </w:t>
      </w:r>
      <w:r w:rsidRPr="0016007F">
        <w:rPr>
          <w:i/>
          <w:color w:val="auto"/>
          <w:sz w:val="24"/>
          <w:szCs w:val="24"/>
        </w:rPr>
        <w:t>Ezra</w:t>
      </w:r>
      <w:r w:rsidRPr="0016007F">
        <w:rPr>
          <w:color w:val="auto"/>
          <w:sz w:val="24"/>
          <w:szCs w:val="24"/>
        </w:rPr>
        <w:t xml:space="preserve">, appears in </w:t>
      </w:r>
      <w:r w:rsidRPr="005F2EEB">
        <w:rPr>
          <w:i/>
          <w:color w:val="auto"/>
          <w:sz w:val="24"/>
          <w:szCs w:val="24"/>
        </w:rPr>
        <w:t>Nechemia</w:t>
      </w:r>
      <w:r w:rsidRPr="0016007F">
        <w:rPr>
          <w:color w:val="auto"/>
          <w:sz w:val="24"/>
          <w:szCs w:val="24"/>
        </w:rPr>
        <w:t xml:space="preserve"> (2:10) as well. This recurrence touches on the larger relationship between the two books. </w:t>
      </w:r>
      <w:r>
        <w:rPr>
          <w:color w:val="auto"/>
          <w:sz w:val="24"/>
          <w:szCs w:val="24"/>
        </w:rPr>
        <w:t>As we will explore more extensively later in our series, the fact that this</w:t>
      </w:r>
      <w:r w:rsidRPr="0016007F">
        <w:rPr>
          <w:color w:val="auto"/>
          <w:sz w:val="24"/>
          <w:szCs w:val="24"/>
        </w:rPr>
        <w:t xml:space="preserve"> </w:t>
      </w:r>
      <w:r>
        <w:rPr>
          <w:color w:val="auto"/>
          <w:sz w:val="24"/>
          <w:szCs w:val="24"/>
        </w:rPr>
        <w:t>term</w:t>
      </w:r>
      <w:r w:rsidRPr="0016007F">
        <w:rPr>
          <w:color w:val="auto"/>
          <w:sz w:val="24"/>
          <w:szCs w:val="24"/>
        </w:rPr>
        <w:t xml:space="preserve"> appears in both </w:t>
      </w:r>
      <w:r w:rsidRPr="00924A23">
        <w:rPr>
          <w:i/>
          <w:color w:val="auto"/>
          <w:sz w:val="24"/>
          <w:szCs w:val="24"/>
        </w:rPr>
        <w:t xml:space="preserve">Ezra </w:t>
      </w:r>
      <w:r w:rsidRPr="0016007F">
        <w:rPr>
          <w:color w:val="auto"/>
          <w:sz w:val="24"/>
          <w:szCs w:val="24"/>
        </w:rPr>
        <w:t xml:space="preserve">and </w:t>
      </w:r>
      <w:r w:rsidRPr="00924A23">
        <w:rPr>
          <w:i/>
          <w:color w:val="auto"/>
          <w:sz w:val="24"/>
          <w:szCs w:val="24"/>
        </w:rPr>
        <w:t>Nechemia</w:t>
      </w:r>
      <w:r>
        <w:rPr>
          <w:color w:val="auto"/>
          <w:sz w:val="24"/>
          <w:szCs w:val="24"/>
        </w:rPr>
        <w:t xml:space="preserve"> but nowhere else in the Bible</w:t>
      </w:r>
      <w:r w:rsidRPr="0016007F">
        <w:rPr>
          <w:color w:val="auto"/>
          <w:sz w:val="24"/>
          <w:szCs w:val="24"/>
        </w:rPr>
        <w:t xml:space="preserve"> </w:t>
      </w:r>
      <w:r>
        <w:rPr>
          <w:color w:val="auto"/>
          <w:sz w:val="24"/>
          <w:szCs w:val="24"/>
        </w:rPr>
        <w:t xml:space="preserve">points to </w:t>
      </w:r>
      <w:r w:rsidRPr="0016007F">
        <w:rPr>
          <w:color w:val="auto"/>
          <w:sz w:val="24"/>
          <w:szCs w:val="24"/>
        </w:rPr>
        <w:t xml:space="preserve">the </w:t>
      </w:r>
      <w:r>
        <w:rPr>
          <w:color w:val="auto"/>
          <w:sz w:val="24"/>
          <w:szCs w:val="24"/>
        </w:rPr>
        <w:t xml:space="preserve">unique </w:t>
      </w:r>
      <w:r w:rsidRPr="0016007F">
        <w:rPr>
          <w:color w:val="auto"/>
          <w:sz w:val="24"/>
          <w:szCs w:val="24"/>
        </w:rPr>
        <w:t>relationship between the two</w:t>
      </w:r>
      <w:r>
        <w:rPr>
          <w:color w:val="auto"/>
          <w:sz w:val="24"/>
          <w:szCs w:val="24"/>
        </w:rPr>
        <w:t xml:space="preserve"> works</w:t>
      </w:r>
      <w:r w:rsidRPr="0016007F">
        <w:rPr>
          <w:color w:val="auto"/>
          <w:sz w:val="24"/>
          <w:szCs w:val="24"/>
        </w:rPr>
        <w:t xml:space="preserve">. </w:t>
      </w:r>
    </w:p>
    <w:p w14:paraId="186E027D" w14:textId="77777777" w:rsidR="0007520B" w:rsidRPr="0016007F" w:rsidRDefault="0007520B" w:rsidP="008F3453">
      <w:pPr>
        <w:pStyle w:val="Normal1"/>
        <w:spacing w:line="240" w:lineRule="auto"/>
        <w:jc w:val="both"/>
        <w:rPr>
          <w:color w:val="auto"/>
        </w:rPr>
      </w:pPr>
    </w:p>
    <w:p w14:paraId="046B36C5" w14:textId="77777777" w:rsidR="0007520B" w:rsidRPr="00A05E54" w:rsidRDefault="0007520B" w:rsidP="008F3453">
      <w:pPr>
        <w:pStyle w:val="Normal1"/>
        <w:spacing w:line="240" w:lineRule="auto"/>
        <w:jc w:val="both"/>
        <w:rPr>
          <w:color w:val="auto"/>
        </w:rPr>
      </w:pPr>
      <w:r w:rsidRPr="00A05E54">
        <w:rPr>
          <w:b/>
          <w:color w:val="auto"/>
          <w:sz w:val="24"/>
          <w:szCs w:val="24"/>
        </w:rPr>
        <w:t>A Closing Personal Reflection</w:t>
      </w:r>
    </w:p>
    <w:p w14:paraId="2020D1E0" w14:textId="77777777" w:rsidR="0007520B" w:rsidRPr="0016007F" w:rsidRDefault="0007520B" w:rsidP="008F3453">
      <w:pPr>
        <w:pStyle w:val="Normal1"/>
        <w:spacing w:line="240" w:lineRule="auto"/>
        <w:jc w:val="both"/>
        <w:rPr>
          <w:color w:val="auto"/>
        </w:rPr>
      </w:pPr>
    </w:p>
    <w:p w14:paraId="26203B98" w14:textId="7728E12A" w:rsidR="00746F67" w:rsidRPr="0016007F" w:rsidRDefault="0007520B" w:rsidP="008F3453">
      <w:pPr>
        <w:pStyle w:val="Normal1"/>
        <w:spacing w:line="240" w:lineRule="auto"/>
        <w:ind w:firstLine="720"/>
        <w:jc w:val="both"/>
        <w:rPr>
          <w:color w:val="auto"/>
        </w:rPr>
      </w:pPr>
      <w:r w:rsidRPr="0016007F">
        <w:rPr>
          <w:color w:val="auto"/>
          <w:sz w:val="24"/>
          <w:szCs w:val="24"/>
        </w:rPr>
        <w:t>Ezra concludes our chapter with personal thanks to God for having inspired the king to beautify the Temple, granting Ezra favor in the eyes of the king</w:t>
      </w:r>
      <w:r>
        <w:rPr>
          <w:color w:val="auto"/>
          <w:sz w:val="24"/>
          <w:szCs w:val="24"/>
        </w:rPr>
        <w:t>,</w:t>
      </w:r>
      <w:r w:rsidRPr="0016007F">
        <w:rPr>
          <w:color w:val="auto"/>
          <w:sz w:val="24"/>
          <w:szCs w:val="24"/>
        </w:rPr>
        <w:t xml:space="preserve"> and </w:t>
      </w:r>
      <w:r>
        <w:rPr>
          <w:color w:val="auto"/>
          <w:sz w:val="24"/>
          <w:szCs w:val="24"/>
        </w:rPr>
        <w:t>enabling Ezra to successfully recruit</w:t>
      </w:r>
      <w:r w:rsidRPr="0016007F">
        <w:rPr>
          <w:color w:val="auto"/>
          <w:sz w:val="24"/>
          <w:szCs w:val="24"/>
        </w:rPr>
        <w:t xml:space="preserve"> other leaders to</w:t>
      </w:r>
      <w:r>
        <w:rPr>
          <w:color w:val="auto"/>
          <w:sz w:val="24"/>
          <w:szCs w:val="24"/>
        </w:rPr>
        <w:t xml:space="preserve"> travel with him</w:t>
      </w:r>
      <w:r w:rsidRPr="0016007F">
        <w:rPr>
          <w:color w:val="auto"/>
          <w:sz w:val="24"/>
          <w:szCs w:val="24"/>
        </w:rPr>
        <w:t xml:space="preserve">. Ezra continues to speak in the first-person singular throughout chapters </w:t>
      </w:r>
      <w:r>
        <w:rPr>
          <w:color w:val="auto"/>
          <w:sz w:val="24"/>
          <w:szCs w:val="24"/>
        </w:rPr>
        <w:t xml:space="preserve">8 and 9. </w:t>
      </w:r>
      <w:r w:rsidRPr="0016007F">
        <w:rPr>
          <w:color w:val="auto"/>
          <w:sz w:val="24"/>
          <w:szCs w:val="24"/>
        </w:rPr>
        <w:t xml:space="preserve">The usage of the first person is unusual in </w:t>
      </w:r>
      <w:r>
        <w:rPr>
          <w:color w:val="auto"/>
          <w:sz w:val="24"/>
          <w:szCs w:val="24"/>
        </w:rPr>
        <w:t xml:space="preserve">the Bible, </w:t>
      </w:r>
      <w:r w:rsidRPr="0016007F">
        <w:rPr>
          <w:color w:val="auto"/>
          <w:sz w:val="24"/>
          <w:szCs w:val="24"/>
        </w:rPr>
        <w:t xml:space="preserve">but common </w:t>
      </w:r>
      <w:r>
        <w:rPr>
          <w:color w:val="auto"/>
          <w:sz w:val="24"/>
          <w:szCs w:val="24"/>
        </w:rPr>
        <w:t xml:space="preserve">in </w:t>
      </w:r>
      <w:r w:rsidRPr="00FD027E">
        <w:rPr>
          <w:i/>
          <w:color w:val="auto"/>
          <w:sz w:val="24"/>
          <w:szCs w:val="24"/>
        </w:rPr>
        <w:t>Ezra</w:t>
      </w:r>
      <w:r>
        <w:rPr>
          <w:iCs/>
          <w:color w:val="auto"/>
          <w:sz w:val="24"/>
          <w:szCs w:val="24"/>
        </w:rPr>
        <w:t>,</w:t>
      </w:r>
      <w:r w:rsidRPr="00FD027E">
        <w:rPr>
          <w:i/>
          <w:color w:val="auto"/>
          <w:sz w:val="24"/>
          <w:szCs w:val="24"/>
        </w:rPr>
        <w:t xml:space="preserve"> </w:t>
      </w:r>
      <w:r w:rsidRPr="0016007F">
        <w:rPr>
          <w:color w:val="auto"/>
          <w:sz w:val="24"/>
          <w:szCs w:val="24"/>
        </w:rPr>
        <w:t>and especially</w:t>
      </w:r>
      <w:r>
        <w:rPr>
          <w:color w:val="auto"/>
          <w:sz w:val="24"/>
          <w:szCs w:val="24"/>
        </w:rPr>
        <w:t xml:space="preserve"> in</w:t>
      </w:r>
      <w:r w:rsidRPr="0016007F">
        <w:rPr>
          <w:color w:val="auto"/>
          <w:sz w:val="24"/>
          <w:szCs w:val="24"/>
        </w:rPr>
        <w:t xml:space="preserve"> </w:t>
      </w:r>
      <w:r w:rsidRPr="00FD027E">
        <w:rPr>
          <w:i/>
          <w:color w:val="auto"/>
          <w:sz w:val="24"/>
          <w:szCs w:val="24"/>
        </w:rPr>
        <w:t>Nechemia</w:t>
      </w:r>
      <w:r w:rsidRPr="0016007F">
        <w:rPr>
          <w:color w:val="auto"/>
          <w:sz w:val="24"/>
          <w:szCs w:val="24"/>
        </w:rPr>
        <w:t>, which is writte</w:t>
      </w:r>
      <w:r>
        <w:rPr>
          <w:color w:val="auto"/>
          <w:sz w:val="24"/>
          <w:szCs w:val="24"/>
        </w:rPr>
        <w:t>n entirely in the first person. This gives</w:t>
      </w:r>
      <w:r w:rsidRPr="0016007F">
        <w:rPr>
          <w:color w:val="auto"/>
          <w:sz w:val="24"/>
          <w:szCs w:val="24"/>
        </w:rPr>
        <w:t xml:space="preserve"> our books the feel of semi-autobiographical memoirs. While any explanation of the significance of this literary feature is conjectural, it seems fair to hypothesize that the memoir style is part of the larger transition we have identified. </w:t>
      </w:r>
      <w:r w:rsidRPr="0016007F">
        <w:rPr>
          <w:i/>
          <w:color w:val="auto"/>
          <w:sz w:val="24"/>
          <w:szCs w:val="24"/>
        </w:rPr>
        <w:t>Ezra-Nechemia</w:t>
      </w:r>
      <w:r w:rsidRPr="0016007F">
        <w:rPr>
          <w:color w:val="auto"/>
          <w:sz w:val="24"/>
          <w:szCs w:val="24"/>
        </w:rPr>
        <w:t>, like Kohelet’s struggle for personal enlightenment</w:t>
      </w:r>
      <w:r>
        <w:rPr>
          <w:color w:val="auto"/>
          <w:sz w:val="24"/>
          <w:szCs w:val="24"/>
        </w:rPr>
        <w:t>,</w:t>
      </w:r>
      <w:r w:rsidRPr="0016007F">
        <w:rPr>
          <w:color w:val="auto"/>
          <w:sz w:val="24"/>
          <w:szCs w:val="24"/>
          <w:vertAlign w:val="superscript"/>
        </w:rPr>
        <w:footnoteReference w:id="5"/>
      </w:r>
      <w:r w:rsidR="001B1048" w:rsidRPr="0016007F">
        <w:rPr>
          <w:color w:val="auto"/>
          <w:sz w:val="24"/>
          <w:szCs w:val="24"/>
        </w:rPr>
        <w:t xml:space="preserve"> represents a more </w:t>
      </w:r>
      <w:r w:rsidR="001B1048" w:rsidRPr="0016007F">
        <w:rPr>
          <w:color w:val="auto"/>
          <w:sz w:val="24"/>
          <w:szCs w:val="24"/>
        </w:rPr>
        <w:lastRenderedPageBreak/>
        <w:t>personal, non-prophetic journey. Absolute divine clarity is</w:t>
      </w:r>
      <w:r w:rsidR="00CD30E5">
        <w:rPr>
          <w:color w:val="auto"/>
          <w:sz w:val="24"/>
          <w:szCs w:val="24"/>
        </w:rPr>
        <w:t xml:space="preserve"> declining</w:t>
      </w:r>
      <w:r w:rsidR="001B1048" w:rsidRPr="0016007F">
        <w:rPr>
          <w:color w:val="auto"/>
          <w:sz w:val="24"/>
          <w:szCs w:val="24"/>
        </w:rPr>
        <w:t xml:space="preserve">. In that vacuum, divinely-inspired </w:t>
      </w:r>
      <w:r w:rsidR="00CD30E5">
        <w:rPr>
          <w:color w:val="auto"/>
          <w:sz w:val="24"/>
          <w:szCs w:val="24"/>
        </w:rPr>
        <w:t xml:space="preserve">personal </w:t>
      </w:r>
      <w:r w:rsidR="001B1048" w:rsidRPr="0016007F">
        <w:rPr>
          <w:color w:val="auto"/>
          <w:sz w:val="24"/>
          <w:szCs w:val="24"/>
        </w:rPr>
        <w:t xml:space="preserve">reminisces rise to the fore. </w:t>
      </w:r>
    </w:p>
    <w:sectPr w:rsidR="00746F67" w:rsidRPr="0016007F" w:rsidSect="008F3453">
      <w:footnotePr>
        <w:pos w:val="beneathText"/>
      </w:footnotePr>
      <w:endnotePr>
        <w:numFmt w:val="decimal"/>
      </w:end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5ED67" w14:textId="77777777" w:rsidR="001B1048" w:rsidRDefault="001B1048">
      <w:pPr>
        <w:spacing w:line="240" w:lineRule="auto"/>
      </w:pPr>
      <w:r>
        <w:separator/>
      </w:r>
    </w:p>
  </w:endnote>
  <w:endnote w:type="continuationSeparator" w:id="0">
    <w:p w14:paraId="6584FAB2" w14:textId="77777777" w:rsidR="001B1048" w:rsidRDefault="001B1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AF90E" w14:textId="77777777" w:rsidR="001B1048" w:rsidRDefault="001B1048">
      <w:pPr>
        <w:spacing w:line="240" w:lineRule="auto"/>
      </w:pPr>
      <w:r>
        <w:separator/>
      </w:r>
    </w:p>
  </w:footnote>
  <w:footnote w:type="continuationSeparator" w:id="0">
    <w:p w14:paraId="372F3F38" w14:textId="77777777" w:rsidR="001B1048" w:rsidRDefault="001B1048">
      <w:pPr>
        <w:spacing w:line="240" w:lineRule="auto"/>
      </w:pPr>
      <w:r>
        <w:continuationSeparator/>
      </w:r>
    </w:p>
  </w:footnote>
  <w:footnote w:id="1">
    <w:p w14:paraId="5CD65E5B" w14:textId="6D13A8CA" w:rsidR="0007520B" w:rsidRDefault="0007520B" w:rsidP="0007520B">
      <w:pPr>
        <w:pStyle w:val="Normal1"/>
        <w:spacing w:line="240" w:lineRule="auto"/>
        <w:jc w:val="both"/>
      </w:pPr>
      <w:r>
        <w:rPr>
          <w:vertAlign w:val="superscript"/>
        </w:rPr>
        <w:footnoteRef/>
      </w:r>
      <w:r>
        <w:rPr>
          <w:sz w:val="20"/>
          <w:szCs w:val="20"/>
        </w:rPr>
        <w:t xml:space="preserve"> Among the </w:t>
      </w:r>
      <w:r>
        <w:rPr>
          <w:i/>
          <w:sz w:val="20"/>
          <w:szCs w:val="20"/>
        </w:rPr>
        <w:t>Nevi’m Rishonim</w:t>
      </w:r>
      <w:r>
        <w:rPr>
          <w:sz w:val="20"/>
          <w:szCs w:val="20"/>
        </w:rPr>
        <w:t xml:space="preserve"> and</w:t>
      </w:r>
      <w:r>
        <w:rPr>
          <w:i/>
          <w:sz w:val="20"/>
          <w:szCs w:val="20"/>
        </w:rPr>
        <w:t xml:space="preserve"> Nevi’im Acharonim</w:t>
      </w:r>
      <w:r>
        <w:rPr>
          <w:sz w:val="20"/>
          <w:szCs w:val="20"/>
        </w:rPr>
        <w:t xml:space="preserve">, the respective lineages of Tzefania and Zekharia are traced for four generations. No other prophet’s lineage is traced for more than one generation. </w:t>
      </w:r>
      <w:r>
        <w:rPr>
          <w:i/>
          <w:sz w:val="20"/>
          <w:szCs w:val="20"/>
        </w:rPr>
        <w:t>Rut</w:t>
      </w:r>
      <w:r w:rsidRPr="00C96AD9">
        <w:rPr>
          <w:i/>
          <w:sz w:val="20"/>
          <w:szCs w:val="20"/>
        </w:rPr>
        <w:t xml:space="preserve"> </w:t>
      </w:r>
      <w:r>
        <w:rPr>
          <w:sz w:val="20"/>
          <w:szCs w:val="20"/>
        </w:rPr>
        <w:t>does conclude by tracing the generations from Boaz and Rut to David, but that is forward-looking rather than backward, and in any case does not appear in reference to a prophet. The one rough similarity we do find to such an introduction is Pinchas, who is similarly described as the “son of Elazar, son of Aharon the priest” (</w:t>
      </w:r>
      <w:r>
        <w:rPr>
          <w:i/>
          <w:sz w:val="20"/>
          <w:szCs w:val="20"/>
        </w:rPr>
        <w:t xml:space="preserve">Bamidbar </w:t>
      </w:r>
      <w:r>
        <w:rPr>
          <w:sz w:val="20"/>
          <w:szCs w:val="20"/>
        </w:rPr>
        <w:t xml:space="preserve">25:11). Still, the sheer number of generations necessary to trace Ezra back to Aharon renders this case </w:t>
      </w:r>
      <w:r w:rsidRPr="00C75965">
        <w:rPr>
          <w:i/>
          <w:sz w:val="20"/>
          <w:szCs w:val="20"/>
        </w:rPr>
        <w:t>sui generis</w:t>
      </w:r>
      <w:r>
        <w:rPr>
          <w:sz w:val="20"/>
          <w:szCs w:val="20"/>
        </w:rPr>
        <w:t xml:space="preserve">. </w:t>
      </w:r>
    </w:p>
  </w:footnote>
  <w:footnote w:id="2">
    <w:p w14:paraId="26EEBAF4" w14:textId="1D0ABF50" w:rsidR="0007520B" w:rsidRDefault="0007520B" w:rsidP="0007520B">
      <w:pPr>
        <w:pStyle w:val="Normal1"/>
        <w:spacing w:line="240" w:lineRule="auto"/>
        <w:jc w:val="both"/>
      </w:pPr>
      <w:r>
        <w:rPr>
          <w:vertAlign w:val="superscript"/>
        </w:rPr>
        <w:footnoteRef/>
      </w:r>
      <w:r>
        <w:rPr>
          <w:sz w:val="20"/>
          <w:szCs w:val="20"/>
        </w:rPr>
        <w:t xml:space="preserve"> </w:t>
      </w:r>
      <w:r>
        <w:rPr>
          <w:color w:val="222222"/>
          <w:sz w:val="20"/>
          <w:szCs w:val="20"/>
        </w:rPr>
        <w:t xml:space="preserve">A close examination of </w:t>
      </w:r>
      <w:r>
        <w:rPr>
          <w:i/>
          <w:color w:val="222222"/>
          <w:sz w:val="20"/>
          <w:szCs w:val="20"/>
        </w:rPr>
        <w:t>Divrei Ha-Yamim</w:t>
      </w:r>
      <w:r>
        <w:rPr>
          <w:color w:val="222222"/>
          <w:sz w:val="20"/>
          <w:szCs w:val="20"/>
        </w:rPr>
        <w:t xml:space="preserve"> </w:t>
      </w:r>
      <w:r w:rsidRPr="0007520B">
        <w:rPr>
          <w:i/>
          <w:iCs/>
          <w:color w:val="222222"/>
          <w:sz w:val="20"/>
          <w:szCs w:val="20"/>
        </w:rPr>
        <w:t>I</w:t>
      </w:r>
      <w:r>
        <w:rPr>
          <w:color w:val="222222"/>
          <w:sz w:val="20"/>
          <w:szCs w:val="20"/>
        </w:rPr>
        <w:t xml:space="preserve"> 5:27-41 further reveals that six additional generations have been omitted from Ezra’s lineage, perhaps for the sake of convenience. </w:t>
      </w:r>
    </w:p>
  </w:footnote>
  <w:footnote w:id="3">
    <w:p w14:paraId="4D8A409B" w14:textId="6B0217AA" w:rsidR="0007520B" w:rsidRPr="00407893" w:rsidRDefault="0007520B" w:rsidP="00A05E54">
      <w:pPr>
        <w:pStyle w:val="FootnoteText"/>
        <w:jc w:val="both"/>
        <w:rPr>
          <w:sz w:val="20"/>
          <w:szCs w:val="20"/>
        </w:rPr>
      </w:pPr>
      <w:r w:rsidRPr="00407893">
        <w:rPr>
          <w:rStyle w:val="FootnoteReference"/>
          <w:sz w:val="20"/>
          <w:szCs w:val="20"/>
        </w:rPr>
        <w:footnoteRef/>
      </w:r>
      <w:r w:rsidRPr="00407893">
        <w:rPr>
          <w:sz w:val="20"/>
          <w:szCs w:val="20"/>
        </w:rPr>
        <w:t xml:space="preserve"> </w:t>
      </w:r>
      <w:r w:rsidRPr="00407893">
        <w:rPr>
          <w:i/>
          <w:sz w:val="20"/>
          <w:szCs w:val="20"/>
        </w:rPr>
        <w:t xml:space="preserve">Da’at Mikra </w:t>
      </w:r>
      <w:r>
        <w:rPr>
          <w:sz w:val="20"/>
          <w:szCs w:val="20"/>
        </w:rPr>
        <w:t>to 7:6 with footnote 7. S</w:t>
      </w:r>
      <w:r w:rsidRPr="00407893">
        <w:rPr>
          <w:sz w:val="20"/>
          <w:szCs w:val="20"/>
        </w:rPr>
        <w:t xml:space="preserve">ee, however, </w:t>
      </w:r>
      <w:r w:rsidRPr="008F3453">
        <w:rPr>
          <w:i/>
          <w:iCs/>
          <w:sz w:val="20"/>
          <w:szCs w:val="20"/>
        </w:rPr>
        <w:t>Targum</w:t>
      </w:r>
      <w:r w:rsidRPr="008F3453">
        <w:rPr>
          <w:i/>
          <w:sz w:val="20"/>
          <w:szCs w:val="20"/>
        </w:rPr>
        <w:t xml:space="preserve"> </w:t>
      </w:r>
      <w:r w:rsidRPr="00407893">
        <w:rPr>
          <w:sz w:val="20"/>
          <w:szCs w:val="20"/>
        </w:rPr>
        <w:t xml:space="preserve">and </w:t>
      </w:r>
      <w:r w:rsidRPr="0007520B">
        <w:rPr>
          <w:iCs/>
          <w:sz w:val="20"/>
          <w:szCs w:val="20"/>
        </w:rPr>
        <w:t>Ibn Ezra</w:t>
      </w:r>
      <w:r w:rsidRPr="00407893">
        <w:rPr>
          <w:sz w:val="20"/>
          <w:szCs w:val="20"/>
        </w:rPr>
        <w:t>.</w:t>
      </w:r>
    </w:p>
  </w:footnote>
  <w:footnote w:id="4">
    <w:p w14:paraId="2F86D9B7" w14:textId="25F0016D" w:rsidR="0007520B" w:rsidRDefault="0007520B" w:rsidP="00A05E54">
      <w:pPr>
        <w:pStyle w:val="Normal1"/>
        <w:spacing w:line="240" w:lineRule="auto"/>
        <w:jc w:val="both"/>
      </w:pPr>
      <w:r>
        <w:rPr>
          <w:vertAlign w:val="superscript"/>
        </w:rPr>
        <w:footnoteRef/>
      </w:r>
      <w:r>
        <w:rPr>
          <w:sz w:val="20"/>
          <w:szCs w:val="20"/>
        </w:rPr>
        <w:t xml:space="preserve"> For a discussion of the centrality of Torah scholarship in </w:t>
      </w:r>
      <w:r>
        <w:rPr>
          <w:i/>
          <w:sz w:val="20"/>
          <w:szCs w:val="20"/>
        </w:rPr>
        <w:t>Ezra</w:t>
      </w:r>
      <w:r>
        <w:rPr>
          <w:sz w:val="20"/>
          <w:szCs w:val="20"/>
        </w:rPr>
        <w:t xml:space="preserve">, see Joshua Berman, </w:t>
      </w:r>
      <w:r>
        <w:rPr>
          <w:i/>
          <w:sz w:val="20"/>
          <w:szCs w:val="20"/>
        </w:rPr>
        <w:t>Created Equal: How the Bible Broke with Ancient Political Thought</w:t>
      </w:r>
      <w:r>
        <w:rPr>
          <w:sz w:val="20"/>
          <w:szCs w:val="20"/>
        </w:rPr>
        <w:t xml:space="preserve">, p. 128 with footnote 89. </w:t>
      </w:r>
    </w:p>
  </w:footnote>
  <w:footnote w:id="5">
    <w:p w14:paraId="635B085C" w14:textId="3DA3126C" w:rsidR="0007520B" w:rsidRDefault="0007520B" w:rsidP="0007520B">
      <w:pPr>
        <w:pStyle w:val="Normal1"/>
        <w:spacing w:line="240" w:lineRule="auto"/>
        <w:jc w:val="both"/>
      </w:pPr>
      <w:r>
        <w:rPr>
          <w:vertAlign w:val="superscript"/>
        </w:rPr>
        <w:footnoteRef/>
      </w:r>
      <w:r>
        <w:rPr>
          <w:sz w:val="20"/>
          <w:szCs w:val="20"/>
        </w:rPr>
        <w:t xml:space="preserve"> </w:t>
      </w:r>
      <w:r>
        <w:rPr>
          <w:color w:val="222222"/>
          <w:sz w:val="20"/>
          <w:szCs w:val="20"/>
        </w:rPr>
        <w:t xml:space="preserve">Significantly, </w:t>
      </w:r>
      <w:r>
        <w:rPr>
          <w:i/>
          <w:color w:val="222222"/>
          <w:sz w:val="20"/>
          <w:szCs w:val="20"/>
        </w:rPr>
        <w:t>Kohelet</w:t>
      </w:r>
      <w:r>
        <w:rPr>
          <w:color w:val="222222"/>
          <w:sz w:val="20"/>
          <w:szCs w:val="20"/>
        </w:rPr>
        <w:t xml:space="preserve"> is the only other Biblical work written in the first person. It would appear that </w:t>
      </w:r>
      <w:r>
        <w:rPr>
          <w:i/>
          <w:color w:val="222222"/>
          <w:sz w:val="20"/>
          <w:szCs w:val="20"/>
        </w:rPr>
        <w:t>Kohelet</w:t>
      </w:r>
      <w:r>
        <w:rPr>
          <w:color w:val="222222"/>
          <w:sz w:val="20"/>
          <w:szCs w:val="20"/>
        </w:rPr>
        <w:t xml:space="preserve"> is analogous to</w:t>
      </w:r>
      <w:r>
        <w:rPr>
          <w:i/>
          <w:color w:val="222222"/>
          <w:sz w:val="20"/>
          <w:szCs w:val="20"/>
        </w:rPr>
        <w:t xml:space="preserve"> Ezra-Nechemia</w:t>
      </w:r>
      <w:r>
        <w:rPr>
          <w:color w:val="222222"/>
          <w:sz w:val="20"/>
          <w:szCs w:val="20"/>
        </w:rPr>
        <w:t xml:space="preserve">. Grasping for the true meaning of life, the king turns to philosophical brooding to try and pinpoint life’s ultimate meaning. His eventual answer – observe the commandments and fear God – emanates not from divine revelation, but from intellectual analysis and hard-earned life lessons. It is precisely in these contexts where the biblical text shifts from its classic third-person narrative to the first person. In many ways, this is also what </w:t>
      </w:r>
      <w:r>
        <w:rPr>
          <w:i/>
          <w:color w:val="222222"/>
          <w:sz w:val="20"/>
          <w:szCs w:val="20"/>
        </w:rPr>
        <w:t>Ezra-Nechemia</w:t>
      </w:r>
      <w:r>
        <w:rPr>
          <w:color w:val="222222"/>
          <w:sz w:val="20"/>
          <w:szCs w:val="20"/>
        </w:rPr>
        <w:t>, in particular beginning</w:t>
      </w:r>
      <w:r w:rsidR="001C0D81">
        <w:rPr>
          <w:color w:val="222222"/>
          <w:sz w:val="20"/>
          <w:szCs w:val="20"/>
        </w:rPr>
        <w:t xml:space="preserve"> with</w:t>
      </w:r>
      <w:r>
        <w:rPr>
          <w:color w:val="222222"/>
          <w:sz w:val="20"/>
          <w:szCs w:val="20"/>
        </w:rPr>
        <w:t xml:space="preserve"> </w:t>
      </w:r>
      <w:r>
        <w:rPr>
          <w:i/>
          <w:color w:val="222222"/>
          <w:sz w:val="20"/>
          <w:szCs w:val="20"/>
        </w:rPr>
        <w:t>Ezra</w:t>
      </w:r>
      <w:r>
        <w:rPr>
          <w:color w:val="222222"/>
          <w:sz w:val="20"/>
          <w:szCs w:val="20"/>
        </w:rPr>
        <w:t xml:space="preserve"> chapter 7, are all about: in the absence of prophetic revelation, it is up to us to use God’s Torah as a blueprint for making our own way. </w:t>
      </w:r>
    </w:p>
    <w:p w14:paraId="365CAB2E" w14:textId="77777777" w:rsidR="0007520B" w:rsidRDefault="0007520B" w:rsidP="00A05E54">
      <w:pPr>
        <w:pStyle w:val="Normal1"/>
        <w:spacing w:line="240" w:lineRule="auto"/>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
  <w:rsids>
    <w:rsidRoot w:val="00746F67"/>
    <w:rsid w:val="0002631B"/>
    <w:rsid w:val="0005045F"/>
    <w:rsid w:val="0005757B"/>
    <w:rsid w:val="000637E1"/>
    <w:rsid w:val="0007520B"/>
    <w:rsid w:val="000919C6"/>
    <w:rsid w:val="000A548B"/>
    <w:rsid w:val="000B6146"/>
    <w:rsid w:val="000C79C9"/>
    <w:rsid w:val="000D0369"/>
    <w:rsid w:val="000D441C"/>
    <w:rsid w:val="0010791B"/>
    <w:rsid w:val="00115DFE"/>
    <w:rsid w:val="001326B5"/>
    <w:rsid w:val="0016007F"/>
    <w:rsid w:val="0016206A"/>
    <w:rsid w:val="001A5323"/>
    <w:rsid w:val="001B1048"/>
    <w:rsid w:val="001C0D81"/>
    <w:rsid w:val="001C4400"/>
    <w:rsid w:val="001E35A6"/>
    <w:rsid w:val="001F5F6F"/>
    <w:rsid w:val="001F675C"/>
    <w:rsid w:val="00212C78"/>
    <w:rsid w:val="00213710"/>
    <w:rsid w:val="00213AAB"/>
    <w:rsid w:val="00232500"/>
    <w:rsid w:val="00236F29"/>
    <w:rsid w:val="002414B3"/>
    <w:rsid w:val="00241526"/>
    <w:rsid w:val="00252D20"/>
    <w:rsid w:val="002734C3"/>
    <w:rsid w:val="00273656"/>
    <w:rsid w:val="002D52F2"/>
    <w:rsid w:val="00341ECD"/>
    <w:rsid w:val="003957D5"/>
    <w:rsid w:val="003B538A"/>
    <w:rsid w:val="003F262B"/>
    <w:rsid w:val="0040292D"/>
    <w:rsid w:val="00407893"/>
    <w:rsid w:val="00414187"/>
    <w:rsid w:val="00484B4B"/>
    <w:rsid w:val="004A4C78"/>
    <w:rsid w:val="004D56B7"/>
    <w:rsid w:val="00523B46"/>
    <w:rsid w:val="00563152"/>
    <w:rsid w:val="00582E4C"/>
    <w:rsid w:val="00583EC3"/>
    <w:rsid w:val="00592316"/>
    <w:rsid w:val="005C438E"/>
    <w:rsid w:val="005E2286"/>
    <w:rsid w:val="005F2EEB"/>
    <w:rsid w:val="00607AE8"/>
    <w:rsid w:val="006210E4"/>
    <w:rsid w:val="0064168B"/>
    <w:rsid w:val="0067390A"/>
    <w:rsid w:val="00692A27"/>
    <w:rsid w:val="006978F0"/>
    <w:rsid w:val="006A5F3E"/>
    <w:rsid w:val="006A645E"/>
    <w:rsid w:val="006F6838"/>
    <w:rsid w:val="007048F8"/>
    <w:rsid w:val="007054E3"/>
    <w:rsid w:val="00741257"/>
    <w:rsid w:val="00746F67"/>
    <w:rsid w:val="007729F9"/>
    <w:rsid w:val="00773304"/>
    <w:rsid w:val="0078034C"/>
    <w:rsid w:val="007917B9"/>
    <w:rsid w:val="007B09D2"/>
    <w:rsid w:val="007B5C1D"/>
    <w:rsid w:val="007D28D2"/>
    <w:rsid w:val="007D5D69"/>
    <w:rsid w:val="007E2CF0"/>
    <w:rsid w:val="007F5BA3"/>
    <w:rsid w:val="008010C9"/>
    <w:rsid w:val="00843209"/>
    <w:rsid w:val="00847F9C"/>
    <w:rsid w:val="00854052"/>
    <w:rsid w:val="0086152D"/>
    <w:rsid w:val="008806F4"/>
    <w:rsid w:val="00891C58"/>
    <w:rsid w:val="00894439"/>
    <w:rsid w:val="00894509"/>
    <w:rsid w:val="008B1555"/>
    <w:rsid w:val="008B337D"/>
    <w:rsid w:val="008B34D0"/>
    <w:rsid w:val="008D5569"/>
    <w:rsid w:val="008F3453"/>
    <w:rsid w:val="0091070F"/>
    <w:rsid w:val="009139A6"/>
    <w:rsid w:val="00924A23"/>
    <w:rsid w:val="00924C53"/>
    <w:rsid w:val="00932F0B"/>
    <w:rsid w:val="00936488"/>
    <w:rsid w:val="00944FEA"/>
    <w:rsid w:val="0095189F"/>
    <w:rsid w:val="009A1AAD"/>
    <w:rsid w:val="009C1EAA"/>
    <w:rsid w:val="009F2C17"/>
    <w:rsid w:val="009F40E7"/>
    <w:rsid w:val="009F52F5"/>
    <w:rsid w:val="009F6636"/>
    <w:rsid w:val="009F6750"/>
    <w:rsid w:val="00A05E54"/>
    <w:rsid w:val="00A060CD"/>
    <w:rsid w:val="00A208C0"/>
    <w:rsid w:val="00A30508"/>
    <w:rsid w:val="00A64CA5"/>
    <w:rsid w:val="00A95558"/>
    <w:rsid w:val="00A95EA8"/>
    <w:rsid w:val="00AB148B"/>
    <w:rsid w:val="00AB4385"/>
    <w:rsid w:val="00AC38F7"/>
    <w:rsid w:val="00AD7BF1"/>
    <w:rsid w:val="00AF3A3F"/>
    <w:rsid w:val="00AF4CB8"/>
    <w:rsid w:val="00AF5247"/>
    <w:rsid w:val="00AF60A3"/>
    <w:rsid w:val="00B066A1"/>
    <w:rsid w:val="00B375FD"/>
    <w:rsid w:val="00B624E7"/>
    <w:rsid w:val="00B70354"/>
    <w:rsid w:val="00B738C6"/>
    <w:rsid w:val="00B87660"/>
    <w:rsid w:val="00BA20C5"/>
    <w:rsid w:val="00BB4457"/>
    <w:rsid w:val="00BC3D31"/>
    <w:rsid w:val="00C03305"/>
    <w:rsid w:val="00C101A4"/>
    <w:rsid w:val="00C26A68"/>
    <w:rsid w:val="00C347CD"/>
    <w:rsid w:val="00C3786E"/>
    <w:rsid w:val="00C4166D"/>
    <w:rsid w:val="00C702A6"/>
    <w:rsid w:val="00C75965"/>
    <w:rsid w:val="00C91C18"/>
    <w:rsid w:val="00C96AD9"/>
    <w:rsid w:val="00CB237A"/>
    <w:rsid w:val="00CD30E5"/>
    <w:rsid w:val="00CE32E2"/>
    <w:rsid w:val="00CF0FBD"/>
    <w:rsid w:val="00D004DD"/>
    <w:rsid w:val="00D00DF3"/>
    <w:rsid w:val="00D31202"/>
    <w:rsid w:val="00DA2591"/>
    <w:rsid w:val="00DA72EE"/>
    <w:rsid w:val="00DD4C19"/>
    <w:rsid w:val="00DD759E"/>
    <w:rsid w:val="00DF65D1"/>
    <w:rsid w:val="00E138C2"/>
    <w:rsid w:val="00E221BE"/>
    <w:rsid w:val="00E23246"/>
    <w:rsid w:val="00EA2CA6"/>
    <w:rsid w:val="00EB76A4"/>
    <w:rsid w:val="00EC692A"/>
    <w:rsid w:val="00ED07B3"/>
    <w:rsid w:val="00ED57B7"/>
    <w:rsid w:val="00ED653F"/>
    <w:rsid w:val="00EE6116"/>
    <w:rsid w:val="00F02780"/>
    <w:rsid w:val="00F25893"/>
    <w:rsid w:val="00F431CA"/>
    <w:rsid w:val="00F624C6"/>
    <w:rsid w:val="00F83EF9"/>
    <w:rsid w:val="00F94AC1"/>
    <w:rsid w:val="00FA7229"/>
    <w:rsid w:val="00FC6C72"/>
    <w:rsid w:val="00FD027E"/>
    <w:rsid w:val="00FD08C7"/>
    <w:rsid w:val="00FD3920"/>
    <w:rsid w:val="00FF2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E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unhideWhenUsed/>
    <w:rsid w:val="00407893"/>
    <w:pPr>
      <w:spacing w:line="240" w:lineRule="auto"/>
    </w:pPr>
    <w:rPr>
      <w:sz w:val="24"/>
      <w:szCs w:val="24"/>
    </w:rPr>
  </w:style>
  <w:style w:type="character" w:customStyle="1" w:styleId="EndnoteTextChar">
    <w:name w:val="Endnote Text Char"/>
    <w:basedOn w:val="DefaultParagraphFont"/>
    <w:link w:val="EndnoteText"/>
    <w:uiPriority w:val="99"/>
    <w:rsid w:val="00407893"/>
    <w:rPr>
      <w:sz w:val="24"/>
      <w:szCs w:val="24"/>
    </w:rPr>
  </w:style>
  <w:style w:type="character" w:styleId="EndnoteReference">
    <w:name w:val="endnote reference"/>
    <w:basedOn w:val="DefaultParagraphFont"/>
    <w:uiPriority w:val="99"/>
    <w:unhideWhenUsed/>
    <w:rsid w:val="00407893"/>
    <w:rPr>
      <w:vertAlign w:val="superscript"/>
    </w:rPr>
  </w:style>
  <w:style w:type="paragraph" w:styleId="FootnoteText">
    <w:name w:val="footnote text"/>
    <w:basedOn w:val="Normal"/>
    <w:link w:val="FootnoteTextChar"/>
    <w:uiPriority w:val="99"/>
    <w:semiHidden/>
    <w:unhideWhenUsed/>
    <w:rsid w:val="00407893"/>
    <w:pPr>
      <w:spacing w:line="240" w:lineRule="auto"/>
    </w:pPr>
    <w:rPr>
      <w:sz w:val="24"/>
      <w:szCs w:val="24"/>
    </w:rPr>
  </w:style>
  <w:style w:type="character" w:customStyle="1" w:styleId="FootnoteTextChar">
    <w:name w:val="Footnote Text Char"/>
    <w:basedOn w:val="DefaultParagraphFont"/>
    <w:link w:val="FootnoteText"/>
    <w:uiPriority w:val="99"/>
    <w:semiHidden/>
    <w:rsid w:val="00407893"/>
    <w:rPr>
      <w:sz w:val="24"/>
      <w:szCs w:val="24"/>
    </w:rPr>
  </w:style>
  <w:style w:type="character" w:styleId="FootnoteReference">
    <w:name w:val="footnote reference"/>
    <w:basedOn w:val="DefaultParagraphFont"/>
    <w:uiPriority w:val="99"/>
    <w:semiHidden/>
    <w:unhideWhenUsed/>
    <w:rsid w:val="00407893"/>
    <w:rPr>
      <w:vertAlign w:val="superscript"/>
    </w:rPr>
  </w:style>
  <w:style w:type="paragraph" w:styleId="BalloonText">
    <w:name w:val="Balloon Text"/>
    <w:basedOn w:val="Normal"/>
    <w:link w:val="BalloonTextChar"/>
    <w:uiPriority w:val="99"/>
    <w:semiHidden/>
    <w:unhideWhenUsed/>
    <w:rsid w:val="008944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43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unhideWhenUsed/>
    <w:rsid w:val="00407893"/>
    <w:pPr>
      <w:spacing w:line="240" w:lineRule="auto"/>
    </w:pPr>
    <w:rPr>
      <w:sz w:val="24"/>
      <w:szCs w:val="24"/>
    </w:rPr>
  </w:style>
  <w:style w:type="character" w:customStyle="1" w:styleId="EndnoteTextChar">
    <w:name w:val="Endnote Text Char"/>
    <w:basedOn w:val="DefaultParagraphFont"/>
    <w:link w:val="EndnoteText"/>
    <w:uiPriority w:val="99"/>
    <w:rsid w:val="00407893"/>
    <w:rPr>
      <w:sz w:val="24"/>
      <w:szCs w:val="24"/>
    </w:rPr>
  </w:style>
  <w:style w:type="character" w:styleId="EndnoteReference">
    <w:name w:val="endnote reference"/>
    <w:basedOn w:val="DefaultParagraphFont"/>
    <w:uiPriority w:val="99"/>
    <w:unhideWhenUsed/>
    <w:rsid w:val="00407893"/>
    <w:rPr>
      <w:vertAlign w:val="superscript"/>
    </w:rPr>
  </w:style>
  <w:style w:type="paragraph" w:styleId="FootnoteText">
    <w:name w:val="footnote text"/>
    <w:basedOn w:val="Normal"/>
    <w:link w:val="FootnoteTextChar"/>
    <w:uiPriority w:val="99"/>
    <w:semiHidden/>
    <w:unhideWhenUsed/>
    <w:rsid w:val="00407893"/>
    <w:pPr>
      <w:spacing w:line="240" w:lineRule="auto"/>
    </w:pPr>
    <w:rPr>
      <w:sz w:val="24"/>
      <w:szCs w:val="24"/>
    </w:rPr>
  </w:style>
  <w:style w:type="character" w:customStyle="1" w:styleId="FootnoteTextChar">
    <w:name w:val="Footnote Text Char"/>
    <w:basedOn w:val="DefaultParagraphFont"/>
    <w:link w:val="FootnoteText"/>
    <w:uiPriority w:val="99"/>
    <w:semiHidden/>
    <w:rsid w:val="00407893"/>
    <w:rPr>
      <w:sz w:val="24"/>
      <w:szCs w:val="24"/>
    </w:rPr>
  </w:style>
  <w:style w:type="character" w:styleId="FootnoteReference">
    <w:name w:val="footnote reference"/>
    <w:basedOn w:val="DefaultParagraphFont"/>
    <w:uiPriority w:val="99"/>
    <w:semiHidden/>
    <w:unhideWhenUsed/>
    <w:rsid w:val="00407893"/>
    <w:rPr>
      <w:vertAlign w:val="superscript"/>
    </w:rPr>
  </w:style>
  <w:style w:type="paragraph" w:styleId="BalloonText">
    <w:name w:val="Balloon Text"/>
    <w:basedOn w:val="Normal"/>
    <w:link w:val="BalloonTextChar"/>
    <w:uiPriority w:val="99"/>
    <w:semiHidden/>
    <w:unhideWhenUsed/>
    <w:rsid w:val="008944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4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3635-F4A4-488C-BA05-6C36D587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2017-01-24T09:07:00Z</dcterms:created>
  <dcterms:modified xsi:type="dcterms:W3CDTF">2017-08-22T07:32:00Z</dcterms:modified>
</cp:coreProperties>
</file>