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23C" w:rsidRPr="0014188A" w:rsidRDefault="0058123C" w:rsidP="00C24F73">
      <w:pPr>
        <w:pStyle w:val="CC"/>
        <w:keepLines w:val="0"/>
        <w:tabs>
          <w:tab w:val="left" w:pos="720"/>
        </w:tabs>
        <w:spacing w:after="0"/>
        <w:ind w:left="0" w:firstLine="0"/>
        <w:jc w:val="center"/>
        <w:rPr>
          <w:rFonts w:asciiTheme="minorBidi" w:hAnsiTheme="minorBidi" w:cstheme="minorBidi"/>
          <w:sz w:val="24"/>
          <w:szCs w:val="24"/>
          <w:lang w:val="de-DE"/>
        </w:rPr>
      </w:pPr>
      <w:r w:rsidRPr="0014188A">
        <w:rPr>
          <w:rFonts w:asciiTheme="minorBidi" w:hAnsiTheme="minorBidi" w:cstheme="minorBidi"/>
          <w:sz w:val="24"/>
          <w:szCs w:val="24"/>
          <w:lang w:val="de-DE"/>
        </w:rPr>
        <w:t>YESHIVAT HAR ETZION</w:t>
      </w:r>
    </w:p>
    <w:p w:rsidR="0058123C" w:rsidRPr="0014188A" w:rsidRDefault="0058123C" w:rsidP="00C24F73">
      <w:pPr>
        <w:pStyle w:val="CC"/>
        <w:keepLines w:val="0"/>
        <w:tabs>
          <w:tab w:val="left" w:pos="720"/>
        </w:tabs>
        <w:spacing w:after="0"/>
        <w:ind w:left="0" w:firstLine="0"/>
        <w:jc w:val="center"/>
        <w:rPr>
          <w:rFonts w:asciiTheme="minorBidi" w:hAnsiTheme="minorBidi" w:cstheme="minorBidi"/>
          <w:sz w:val="24"/>
          <w:szCs w:val="24"/>
          <w:lang w:val="de-DE"/>
        </w:rPr>
      </w:pPr>
      <w:r w:rsidRPr="0014188A">
        <w:rPr>
          <w:rFonts w:asciiTheme="minorBidi" w:hAnsiTheme="minorBidi" w:cstheme="minorBidi"/>
          <w:sz w:val="24"/>
          <w:szCs w:val="24"/>
          <w:lang w:val="de-DE"/>
        </w:rPr>
        <w:t>ISRAEL KOSCHITZKY VIRTUAL BEIT MIDRASH (VBM)</w:t>
      </w:r>
    </w:p>
    <w:p w:rsidR="0058123C" w:rsidRPr="0014188A" w:rsidRDefault="0058123C" w:rsidP="00C24F73">
      <w:pPr>
        <w:pStyle w:val="CC"/>
        <w:keepLines w:val="0"/>
        <w:tabs>
          <w:tab w:val="left" w:pos="720"/>
        </w:tabs>
        <w:spacing w:after="0"/>
        <w:ind w:left="0" w:firstLine="0"/>
        <w:jc w:val="center"/>
        <w:rPr>
          <w:rFonts w:asciiTheme="minorBidi" w:hAnsiTheme="minorBidi" w:cstheme="minorBidi"/>
          <w:sz w:val="24"/>
          <w:szCs w:val="24"/>
          <w:lang w:val="en-GB"/>
        </w:rPr>
      </w:pPr>
      <w:r w:rsidRPr="0014188A">
        <w:rPr>
          <w:rFonts w:asciiTheme="minorBidi" w:hAnsiTheme="minorBidi" w:cstheme="minorBidi"/>
          <w:sz w:val="24"/>
          <w:szCs w:val="24"/>
          <w:lang w:val="en-GB"/>
        </w:rPr>
        <w:t>*********************************************************</w:t>
      </w:r>
    </w:p>
    <w:p w:rsidR="0058123C" w:rsidRPr="0014188A" w:rsidRDefault="0058123C" w:rsidP="00C24F73">
      <w:pPr>
        <w:pStyle w:val="CC"/>
        <w:keepLines w:val="0"/>
        <w:tabs>
          <w:tab w:val="left" w:pos="720"/>
        </w:tabs>
        <w:spacing w:after="0"/>
        <w:ind w:left="0" w:firstLine="0"/>
        <w:jc w:val="center"/>
        <w:rPr>
          <w:rFonts w:asciiTheme="minorBidi" w:hAnsiTheme="minorBidi" w:cstheme="minorBidi"/>
          <w:sz w:val="24"/>
          <w:szCs w:val="24"/>
        </w:rPr>
      </w:pPr>
    </w:p>
    <w:p w:rsidR="0058123C" w:rsidRPr="0014188A" w:rsidRDefault="0058123C" w:rsidP="00C24F73">
      <w:pPr>
        <w:pStyle w:val="CC"/>
        <w:keepLines w:val="0"/>
        <w:tabs>
          <w:tab w:val="left" w:pos="720"/>
        </w:tabs>
        <w:spacing w:after="0"/>
        <w:ind w:left="0" w:firstLine="0"/>
        <w:jc w:val="center"/>
        <w:rPr>
          <w:rFonts w:asciiTheme="minorBidi" w:hAnsiTheme="minorBidi" w:cstheme="minorBidi"/>
          <w:sz w:val="24"/>
          <w:szCs w:val="24"/>
        </w:rPr>
      </w:pPr>
      <w:r w:rsidRPr="0014188A">
        <w:rPr>
          <w:rFonts w:asciiTheme="minorBidi" w:hAnsiTheme="minorBidi" w:cstheme="minorBidi"/>
          <w:sz w:val="24"/>
          <w:szCs w:val="24"/>
          <w:lang w:val="en-GB"/>
        </w:rPr>
        <w:t>GEOGRAPHY IN THE PARASHA</w:t>
      </w:r>
    </w:p>
    <w:p w:rsidR="0058123C" w:rsidRDefault="0058123C" w:rsidP="00C24F73">
      <w:pPr>
        <w:pStyle w:val="CC"/>
        <w:keepLines w:val="0"/>
        <w:tabs>
          <w:tab w:val="left" w:pos="720"/>
        </w:tabs>
        <w:spacing w:after="0"/>
        <w:ind w:left="0" w:firstLine="0"/>
        <w:jc w:val="center"/>
        <w:rPr>
          <w:rFonts w:asciiTheme="minorBidi" w:hAnsiTheme="minorBidi" w:cstheme="minorBidi"/>
          <w:sz w:val="24"/>
          <w:szCs w:val="24"/>
        </w:rPr>
      </w:pPr>
    </w:p>
    <w:p w:rsidR="00973CDF" w:rsidRPr="0014188A" w:rsidRDefault="00973CDF" w:rsidP="00C24F73">
      <w:pPr>
        <w:pStyle w:val="CC"/>
        <w:keepLines w:val="0"/>
        <w:tabs>
          <w:tab w:val="left" w:pos="720"/>
        </w:tabs>
        <w:spacing w:after="0"/>
        <w:ind w:left="0" w:firstLine="0"/>
        <w:jc w:val="center"/>
        <w:rPr>
          <w:rFonts w:asciiTheme="minorBidi" w:hAnsiTheme="minorBidi" w:cstheme="minorBidi"/>
          <w:sz w:val="24"/>
          <w:szCs w:val="24"/>
        </w:rPr>
      </w:pPr>
    </w:p>
    <w:p w:rsidR="00973CDF" w:rsidRPr="00973CDF" w:rsidRDefault="00973CDF" w:rsidP="00973CDF">
      <w:pPr>
        <w:spacing w:after="0" w:line="240" w:lineRule="auto"/>
        <w:jc w:val="center"/>
        <w:rPr>
          <w:rFonts w:asciiTheme="minorBidi" w:eastAsia="Calibri" w:hAnsiTheme="minorBidi"/>
          <w:bCs/>
          <w:sz w:val="24"/>
          <w:szCs w:val="24"/>
          <w:lang w:val="en-GB"/>
        </w:rPr>
      </w:pPr>
      <w:r w:rsidRPr="00973CDF">
        <w:rPr>
          <w:rFonts w:asciiTheme="minorBidi" w:eastAsia="Calibri" w:hAnsiTheme="minorBidi"/>
          <w:bCs/>
          <w:sz w:val="24"/>
          <w:szCs w:val="24"/>
          <w:lang w:val="en-GB"/>
        </w:rPr>
        <w:t>***************************************************************</w:t>
      </w:r>
    </w:p>
    <w:p w:rsidR="00973CDF" w:rsidRPr="00973CDF" w:rsidRDefault="00973CDF" w:rsidP="00973CDF">
      <w:pPr>
        <w:spacing w:after="0" w:line="240" w:lineRule="auto"/>
        <w:jc w:val="center"/>
        <w:rPr>
          <w:rFonts w:asciiTheme="minorBidi" w:eastAsia="Calibri" w:hAnsiTheme="minorBidi"/>
          <w:bCs/>
          <w:sz w:val="24"/>
          <w:szCs w:val="24"/>
          <w:lang w:val="en-GB"/>
        </w:rPr>
      </w:pPr>
      <w:r w:rsidRPr="00973CDF">
        <w:rPr>
          <w:rFonts w:asciiTheme="minorBidi" w:eastAsia="Calibri" w:hAnsiTheme="minorBidi"/>
          <w:bCs/>
          <w:sz w:val="24"/>
          <w:szCs w:val="24"/>
          <w:lang w:val="en-GB"/>
        </w:rPr>
        <w:t>In memory of Pinhas ben Shalom (Paul) Cymbalista z”l</w:t>
      </w:r>
    </w:p>
    <w:p w:rsidR="00973CDF" w:rsidRPr="00973CDF" w:rsidRDefault="00973CDF" w:rsidP="00973CDF">
      <w:pPr>
        <w:spacing w:after="0" w:line="240" w:lineRule="auto"/>
        <w:jc w:val="center"/>
        <w:rPr>
          <w:rFonts w:asciiTheme="minorBidi" w:eastAsia="Calibri" w:hAnsiTheme="minorBidi"/>
          <w:bCs/>
          <w:sz w:val="24"/>
          <w:szCs w:val="24"/>
          <w:lang w:val="en-GB"/>
        </w:rPr>
      </w:pPr>
      <w:r w:rsidRPr="00973CDF">
        <w:rPr>
          <w:rFonts w:asciiTheme="minorBidi" w:eastAsia="Calibri" w:hAnsiTheme="minorBidi"/>
          <w:bCs/>
          <w:sz w:val="24"/>
          <w:szCs w:val="24"/>
          <w:lang w:val="en-GB"/>
        </w:rPr>
        <w:t>Niftar 20 Nissan 5752. Dedicated by his family.</w:t>
      </w:r>
    </w:p>
    <w:p w:rsidR="00973CDF" w:rsidRPr="00973CDF" w:rsidRDefault="00973CDF" w:rsidP="00973CDF">
      <w:pPr>
        <w:spacing w:after="0" w:line="240" w:lineRule="auto"/>
        <w:jc w:val="center"/>
        <w:rPr>
          <w:rFonts w:asciiTheme="minorBidi" w:eastAsia="Calibri" w:hAnsiTheme="minorBidi"/>
          <w:bCs/>
          <w:sz w:val="24"/>
          <w:szCs w:val="24"/>
          <w:lang w:val="en-GB"/>
        </w:rPr>
      </w:pPr>
      <w:r w:rsidRPr="00973CDF">
        <w:rPr>
          <w:rFonts w:asciiTheme="minorBidi" w:eastAsia="Calibri" w:hAnsiTheme="minorBidi"/>
          <w:bCs/>
          <w:sz w:val="24"/>
          <w:szCs w:val="24"/>
          <w:lang w:val="en-GB"/>
        </w:rPr>
        <w:t>***************************************************************</w:t>
      </w:r>
    </w:p>
    <w:p w:rsidR="00973CDF" w:rsidRPr="00973CDF" w:rsidRDefault="00973CDF" w:rsidP="00973CDF">
      <w:pPr>
        <w:spacing w:after="0" w:line="240" w:lineRule="auto"/>
        <w:jc w:val="center"/>
        <w:rPr>
          <w:rFonts w:asciiTheme="minorBidi" w:eastAsia="Calibri" w:hAnsiTheme="minorBidi"/>
          <w:bCs/>
          <w:sz w:val="24"/>
          <w:szCs w:val="24"/>
          <w:lang w:val="en-GB"/>
        </w:rPr>
      </w:pPr>
      <w:r w:rsidRPr="00973CDF">
        <w:rPr>
          <w:rFonts w:asciiTheme="minorBidi" w:eastAsia="Calibri" w:hAnsiTheme="minorBidi"/>
          <w:bCs/>
          <w:sz w:val="24"/>
          <w:szCs w:val="24"/>
          <w:lang w:val="en-GB"/>
        </w:rPr>
        <w:t>These Pesach Shiurim are dedicated in memory of Sidney Gontownik z"l,</w:t>
      </w:r>
    </w:p>
    <w:p w:rsidR="00973CDF" w:rsidRPr="00973CDF" w:rsidRDefault="00973CDF" w:rsidP="00973CDF">
      <w:pPr>
        <w:spacing w:after="0" w:line="240" w:lineRule="auto"/>
        <w:jc w:val="center"/>
        <w:rPr>
          <w:rFonts w:asciiTheme="minorBidi" w:eastAsia="Calibri" w:hAnsiTheme="minorBidi"/>
          <w:bCs/>
          <w:sz w:val="24"/>
          <w:szCs w:val="24"/>
          <w:lang w:val="en-GB"/>
        </w:rPr>
      </w:pPr>
      <w:r w:rsidRPr="00973CDF">
        <w:rPr>
          <w:rFonts w:asciiTheme="minorBidi" w:eastAsia="Calibri" w:hAnsiTheme="minorBidi"/>
          <w:bCs/>
          <w:sz w:val="24"/>
          <w:szCs w:val="24"/>
          <w:lang w:val="en-GB"/>
        </w:rPr>
        <w:t>brother of Jerry Gontownik, on the occasion of Sidney's upcoming eleventh Yahrzeit, on the 24th of Nissan. May his memory be for a blessing.</w:t>
      </w:r>
    </w:p>
    <w:p w:rsidR="00973CDF" w:rsidRPr="00973CDF" w:rsidRDefault="00973CDF" w:rsidP="00973CDF">
      <w:pPr>
        <w:spacing w:after="0" w:line="240" w:lineRule="auto"/>
        <w:jc w:val="center"/>
        <w:rPr>
          <w:rFonts w:asciiTheme="minorBidi" w:eastAsia="Calibri" w:hAnsiTheme="minorBidi"/>
          <w:bCs/>
          <w:sz w:val="24"/>
          <w:szCs w:val="24"/>
          <w:lang w:val="en-GB"/>
        </w:rPr>
      </w:pPr>
      <w:r w:rsidRPr="00973CDF">
        <w:rPr>
          <w:rFonts w:asciiTheme="minorBidi" w:eastAsia="Calibri" w:hAnsiTheme="minorBidi"/>
          <w:bCs/>
          <w:sz w:val="24"/>
          <w:szCs w:val="24"/>
          <w:lang w:val="en-GB"/>
        </w:rPr>
        <w:t>The Gontownik Family</w:t>
      </w:r>
    </w:p>
    <w:p w:rsidR="00973CDF" w:rsidRPr="00973CDF" w:rsidRDefault="00973CDF" w:rsidP="00973CDF">
      <w:pPr>
        <w:spacing w:after="0" w:line="240" w:lineRule="auto"/>
        <w:jc w:val="center"/>
        <w:rPr>
          <w:rFonts w:asciiTheme="minorBidi" w:eastAsia="Calibri" w:hAnsiTheme="minorBidi"/>
          <w:bCs/>
          <w:sz w:val="24"/>
          <w:szCs w:val="24"/>
          <w:lang w:val="en-GB"/>
        </w:rPr>
      </w:pPr>
      <w:r w:rsidRPr="00973CDF">
        <w:rPr>
          <w:rFonts w:asciiTheme="minorBidi" w:eastAsia="Calibri" w:hAnsiTheme="minorBidi"/>
          <w:bCs/>
          <w:sz w:val="24"/>
          <w:szCs w:val="24"/>
          <w:lang w:val="en-GB"/>
        </w:rPr>
        <w:t>***************************************************************</w:t>
      </w:r>
    </w:p>
    <w:p w:rsidR="00973CDF" w:rsidRPr="00973CDF" w:rsidRDefault="00973CDF" w:rsidP="00973CDF">
      <w:pPr>
        <w:spacing w:after="0" w:line="240" w:lineRule="auto"/>
        <w:jc w:val="center"/>
        <w:rPr>
          <w:rFonts w:asciiTheme="minorBidi" w:eastAsia="Calibri" w:hAnsiTheme="minorBidi"/>
          <w:bCs/>
          <w:sz w:val="24"/>
          <w:szCs w:val="24"/>
          <w:lang w:val="en-GB"/>
        </w:rPr>
      </w:pPr>
      <w:r w:rsidRPr="00973CDF">
        <w:rPr>
          <w:rFonts w:asciiTheme="minorBidi" w:eastAsia="Calibri" w:hAnsiTheme="minorBidi"/>
          <w:bCs/>
          <w:sz w:val="24"/>
          <w:szCs w:val="24"/>
          <w:lang w:val="en-GB"/>
        </w:rPr>
        <w:t>Dedicated in memory of HaRav HaGaon R. Chaim Heller zt"l,</w:t>
      </w:r>
    </w:p>
    <w:p w:rsidR="00973CDF" w:rsidRPr="00973CDF" w:rsidRDefault="00973CDF" w:rsidP="00973CDF">
      <w:pPr>
        <w:spacing w:after="0" w:line="240" w:lineRule="auto"/>
        <w:jc w:val="center"/>
        <w:rPr>
          <w:rFonts w:asciiTheme="minorBidi" w:eastAsia="Calibri" w:hAnsiTheme="minorBidi"/>
          <w:bCs/>
          <w:sz w:val="24"/>
          <w:szCs w:val="24"/>
          <w:lang w:val="en-GB"/>
        </w:rPr>
      </w:pPr>
      <w:r w:rsidRPr="00973CDF">
        <w:rPr>
          <w:rFonts w:asciiTheme="minorBidi" w:eastAsia="Calibri" w:hAnsiTheme="minorBidi"/>
          <w:bCs/>
          <w:sz w:val="24"/>
          <w:szCs w:val="24"/>
          <w:lang w:val="en-GB"/>
        </w:rPr>
        <w:t>whose yahrzeit falls on the 14th of Nissan, by Vivian S. Singer.</w:t>
      </w:r>
    </w:p>
    <w:p w:rsidR="0058123C" w:rsidRPr="00C64527" w:rsidRDefault="00973CDF" w:rsidP="00973CDF">
      <w:pPr>
        <w:spacing w:after="0" w:line="240" w:lineRule="auto"/>
        <w:jc w:val="center"/>
        <w:rPr>
          <w:rFonts w:asciiTheme="minorBidi" w:hAnsiTheme="minorBidi"/>
          <w:sz w:val="24"/>
          <w:szCs w:val="24"/>
          <w:lang w:val="en-GB"/>
        </w:rPr>
      </w:pPr>
      <w:r w:rsidRPr="00973CDF">
        <w:rPr>
          <w:rFonts w:asciiTheme="minorBidi" w:eastAsia="Calibri" w:hAnsiTheme="minorBidi"/>
          <w:bCs/>
          <w:sz w:val="24"/>
          <w:szCs w:val="24"/>
          <w:lang w:val="en-GB"/>
        </w:rPr>
        <w:t>***************************************************************</w:t>
      </w:r>
    </w:p>
    <w:p w:rsidR="00973CDF" w:rsidRDefault="00973CDF" w:rsidP="00C24F73">
      <w:pPr>
        <w:spacing w:after="0" w:line="240" w:lineRule="auto"/>
        <w:jc w:val="center"/>
        <w:rPr>
          <w:rFonts w:asciiTheme="minorBidi" w:hAnsiTheme="minorBidi"/>
          <w:b/>
          <w:bCs/>
          <w:i/>
          <w:iCs/>
          <w:sz w:val="24"/>
          <w:szCs w:val="24"/>
        </w:rPr>
      </w:pPr>
    </w:p>
    <w:p w:rsidR="0058123C" w:rsidRPr="0065597C" w:rsidRDefault="0058123C" w:rsidP="00C24F73">
      <w:pPr>
        <w:spacing w:after="0" w:line="240" w:lineRule="auto"/>
        <w:jc w:val="center"/>
        <w:rPr>
          <w:rFonts w:asciiTheme="minorBidi" w:hAnsiTheme="minorBidi"/>
          <w:b/>
          <w:bCs/>
          <w:sz w:val="24"/>
          <w:szCs w:val="24"/>
        </w:rPr>
      </w:pPr>
      <w:r w:rsidRPr="0014188A">
        <w:rPr>
          <w:rFonts w:asciiTheme="minorBidi" w:hAnsiTheme="minorBidi"/>
          <w:b/>
          <w:bCs/>
          <w:i/>
          <w:iCs/>
          <w:sz w:val="24"/>
          <w:szCs w:val="24"/>
        </w:rPr>
        <w:t xml:space="preserve">PARASHAT </w:t>
      </w:r>
      <w:r w:rsidR="00533472">
        <w:rPr>
          <w:rFonts w:asciiTheme="minorBidi" w:hAnsiTheme="minorBidi"/>
          <w:b/>
          <w:bCs/>
          <w:i/>
          <w:iCs/>
          <w:sz w:val="24"/>
          <w:szCs w:val="24"/>
        </w:rPr>
        <w:t>SHEMOT</w:t>
      </w:r>
    </w:p>
    <w:p w:rsidR="004A6EF7" w:rsidRPr="00FC7BF8" w:rsidRDefault="004A6EF7" w:rsidP="00C24F73">
      <w:pPr>
        <w:spacing w:after="0" w:line="240" w:lineRule="auto"/>
        <w:jc w:val="center"/>
        <w:rPr>
          <w:rFonts w:asciiTheme="minorBidi" w:hAnsiTheme="minorBidi"/>
          <w:sz w:val="24"/>
          <w:szCs w:val="24"/>
        </w:rPr>
      </w:pPr>
    </w:p>
    <w:p w:rsidR="004A6EF7" w:rsidRPr="0058123C" w:rsidRDefault="00793664" w:rsidP="00C24F73">
      <w:pPr>
        <w:spacing w:after="0" w:line="240" w:lineRule="auto"/>
        <w:jc w:val="center"/>
        <w:rPr>
          <w:rFonts w:asciiTheme="minorBidi" w:hAnsiTheme="minorBidi"/>
          <w:b/>
          <w:bCs/>
          <w:sz w:val="24"/>
          <w:szCs w:val="24"/>
        </w:rPr>
      </w:pPr>
      <w:r>
        <w:rPr>
          <w:rFonts w:asciiTheme="minorBidi" w:hAnsiTheme="minorBidi"/>
          <w:b/>
          <w:bCs/>
          <w:sz w:val="24"/>
          <w:szCs w:val="24"/>
        </w:rPr>
        <w:t>Ramesses</w:t>
      </w:r>
      <w:r w:rsidR="00B2249B">
        <w:rPr>
          <w:rFonts w:asciiTheme="minorBidi" w:hAnsiTheme="minorBidi"/>
          <w:b/>
          <w:bCs/>
          <w:sz w:val="24"/>
          <w:szCs w:val="24"/>
        </w:rPr>
        <w:t xml:space="preserve"> and the Question of Dating the Exodus</w:t>
      </w:r>
    </w:p>
    <w:p w:rsidR="00F7770D" w:rsidRPr="0058123C" w:rsidRDefault="00F7770D" w:rsidP="00C24F73">
      <w:pPr>
        <w:spacing w:after="0" w:line="240" w:lineRule="auto"/>
        <w:jc w:val="center"/>
        <w:rPr>
          <w:rFonts w:asciiTheme="minorBidi" w:hAnsiTheme="minorBidi"/>
          <w:b/>
          <w:bCs/>
          <w:sz w:val="24"/>
          <w:szCs w:val="24"/>
        </w:rPr>
      </w:pPr>
      <w:r w:rsidRPr="0058123C">
        <w:rPr>
          <w:rFonts w:asciiTheme="minorBidi" w:hAnsiTheme="minorBidi"/>
          <w:b/>
          <w:bCs/>
          <w:sz w:val="24"/>
          <w:szCs w:val="24"/>
        </w:rPr>
        <w:t xml:space="preserve">By </w:t>
      </w:r>
      <w:r w:rsidR="00B2249B">
        <w:rPr>
          <w:rFonts w:asciiTheme="minorBidi" w:hAnsiTheme="minorBidi"/>
          <w:b/>
          <w:bCs/>
          <w:sz w:val="24"/>
          <w:szCs w:val="24"/>
        </w:rPr>
        <w:t xml:space="preserve">Prof. </w:t>
      </w:r>
      <w:r w:rsidRPr="0058123C">
        <w:rPr>
          <w:rFonts w:asciiTheme="minorBidi" w:hAnsiTheme="minorBidi"/>
          <w:b/>
          <w:bCs/>
          <w:sz w:val="24"/>
          <w:szCs w:val="24"/>
        </w:rPr>
        <w:t>Yoel Elitzur</w:t>
      </w:r>
    </w:p>
    <w:p w:rsidR="00041E7F" w:rsidRDefault="00041E7F" w:rsidP="00C24F73">
      <w:pPr>
        <w:spacing w:after="0" w:line="240" w:lineRule="auto"/>
        <w:jc w:val="center"/>
        <w:rPr>
          <w:rFonts w:asciiTheme="minorBidi" w:hAnsiTheme="minorBidi"/>
          <w:sz w:val="24"/>
          <w:szCs w:val="24"/>
        </w:rPr>
      </w:pPr>
    </w:p>
    <w:p w:rsidR="00973CDF" w:rsidRPr="00FC7BF8" w:rsidRDefault="00973CDF" w:rsidP="00C24F73">
      <w:pPr>
        <w:spacing w:after="0" w:line="240" w:lineRule="auto"/>
        <w:jc w:val="center"/>
        <w:rPr>
          <w:rFonts w:asciiTheme="minorBidi" w:hAnsiTheme="minorBidi"/>
          <w:sz w:val="24"/>
          <w:szCs w:val="24"/>
        </w:rPr>
      </w:pPr>
    </w:p>
    <w:p w:rsidR="008C5424" w:rsidRDefault="00B2249B" w:rsidP="00C24F73">
      <w:pPr>
        <w:spacing w:after="0" w:line="240" w:lineRule="auto"/>
        <w:jc w:val="both"/>
        <w:rPr>
          <w:rFonts w:asciiTheme="minorBidi" w:hAnsiTheme="minorBidi"/>
          <w:b/>
          <w:bCs/>
          <w:sz w:val="24"/>
          <w:szCs w:val="24"/>
        </w:rPr>
      </w:pPr>
      <w:r>
        <w:rPr>
          <w:rFonts w:asciiTheme="minorBidi" w:hAnsiTheme="minorBidi"/>
          <w:b/>
          <w:bCs/>
          <w:sz w:val="24"/>
          <w:szCs w:val="24"/>
        </w:rPr>
        <w:t xml:space="preserve">Identifying Pithom and </w:t>
      </w:r>
      <w:r w:rsidR="00793664">
        <w:rPr>
          <w:rFonts w:asciiTheme="minorBidi" w:hAnsiTheme="minorBidi"/>
          <w:b/>
          <w:bCs/>
          <w:sz w:val="24"/>
          <w:szCs w:val="24"/>
        </w:rPr>
        <w:t>Ramesses</w:t>
      </w:r>
      <w:r w:rsidR="00973CDF">
        <w:rPr>
          <w:rStyle w:val="ac"/>
          <w:rFonts w:asciiTheme="minorBidi" w:hAnsiTheme="minorBidi"/>
          <w:b/>
          <w:bCs/>
          <w:sz w:val="24"/>
          <w:szCs w:val="24"/>
        </w:rPr>
        <w:footnoteReference w:id="1"/>
      </w:r>
    </w:p>
    <w:p w:rsidR="00763697" w:rsidRDefault="00763697" w:rsidP="00C24F73">
      <w:pPr>
        <w:spacing w:after="0" w:line="240" w:lineRule="auto"/>
        <w:jc w:val="both"/>
        <w:rPr>
          <w:rFonts w:asciiTheme="minorBidi" w:hAnsiTheme="minorBidi"/>
          <w:b/>
          <w:bCs/>
          <w:sz w:val="24"/>
          <w:szCs w:val="24"/>
        </w:rPr>
      </w:pPr>
    </w:p>
    <w:p w:rsidR="007D0F6E" w:rsidRDefault="00AA6616" w:rsidP="00C24F73">
      <w:pPr>
        <w:spacing w:after="0" w:line="240" w:lineRule="auto"/>
        <w:jc w:val="both"/>
        <w:rPr>
          <w:rFonts w:asciiTheme="minorBidi" w:hAnsiTheme="minorBidi"/>
          <w:sz w:val="24"/>
          <w:szCs w:val="24"/>
        </w:rPr>
      </w:pPr>
      <w:r>
        <w:rPr>
          <w:rFonts w:asciiTheme="minorBidi" w:hAnsiTheme="minorBidi"/>
          <w:sz w:val="24"/>
          <w:szCs w:val="24"/>
        </w:rPr>
        <w:tab/>
      </w:r>
      <w:r w:rsidR="007D0F6E">
        <w:rPr>
          <w:rFonts w:asciiTheme="minorBidi" w:hAnsiTheme="minorBidi"/>
          <w:sz w:val="24"/>
          <w:szCs w:val="24"/>
        </w:rPr>
        <w:t xml:space="preserve">“And they built garrison cities for Pharaoh; Pithom and </w:t>
      </w:r>
      <w:r w:rsidR="00793664">
        <w:rPr>
          <w:rFonts w:asciiTheme="minorBidi" w:hAnsiTheme="minorBidi"/>
          <w:sz w:val="24"/>
          <w:szCs w:val="24"/>
        </w:rPr>
        <w:t>Ramesses</w:t>
      </w:r>
      <w:r w:rsidR="007D0F6E">
        <w:rPr>
          <w:rFonts w:asciiTheme="minorBidi" w:hAnsiTheme="minorBidi"/>
          <w:sz w:val="24"/>
          <w:szCs w:val="24"/>
        </w:rPr>
        <w:t>” (Exodus 1:11).</w:t>
      </w:r>
    </w:p>
    <w:p w:rsidR="007D0F6E" w:rsidRDefault="007D0F6E" w:rsidP="00C24F73">
      <w:pPr>
        <w:spacing w:after="0" w:line="240" w:lineRule="auto"/>
        <w:jc w:val="both"/>
        <w:rPr>
          <w:rFonts w:asciiTheme="minorBidi" w:hAnsiTheme="minorBidi"/>
          <w:sz w:val="24"/>
          <w:szCs w:val="24"/>
        </w:rPr>
      </w:pPr>
    </w:p>
    <w:p w:rsidR="008B6FBE" w:rsidRDefault="007D0F6E" w:rsidP="00C24F73">
      <w:pPr>
        <w:spacing w:after="0" w:line="240" w:lineRule="auto"/>
        <w:ind w:firstLine="720"/>
        <w:jc w:val="both"/>
        <w:rPr>
          <w:rFonts w:asciiTheme="minorBidi" w:hAnsiTheme="minorBidi"/>
          <w:sz w:val="24"/>
          <w:szCs w:val="24"/>
        </w:rPr>
      </w:pPr>
      <w:r>
        <w:rPr>
          <w:rFonts w:asciiTheme="minorBidi" w:hAnsiTheme="minorBidi"/>
          <w:sz w:val="24"/>
          <w:szCs w:val="24"/>
        </w:rPr>
        <w:t>Many have attempted to identify these two cities, and many identifications have been suggested in the Nile Delta region in Egypt. It is fair to say that this question cannot be answered with certainty.</w:t>
      </w:r>
    </w:p>
    <w:p w:rsidR="007D0F6E" w:rsidRDefault="007D0F6E" w:rsidP="00C24F73">
      <w:pPr>
        <w:spacing w:after="0" w:line="240" w:lineRule="auto"/>
        <w:ind w:firstLine="720"/>
        <w:jc w:val="both"/>
        <w:rPr>
          <w:rFonts w:asciiTheme="minorBidi" w:hAnsiTheme="minorBidi"/>
          <w:sz w:val="24"/>
          <w:szCs w:val="24"/>
        </w:rPr>
      </w:pPr>
    </w:p>
    <w:p w:rsidR="007D0F6E" w:rsidRDefault="007D0F6E" w:rsidP="00C24F73">
      <w:pPr>
        <w:spacing w:after="0" w:line="240" w:lineRule="auto"/>
        <w:ind w:firstLine="720"/>
        <w:jc w:val="both"/>
        <w:rPr>
          <w:rFonts w:asciiTheme="minorBidi" w:eastAsia="Arial Unicode MS" w:hAnsiTheme="minorBidi"/>
          <w:sz w:val="24"/>
          <w:szCs w:val="24"/>
        </w:rPr>
      </w:pPr>
      <w:r>
        <w:rPr>
          <w:rFonts w:asciiTheme="minorBidi" w:hAnsiTheme="minorBidi"/>
          <w:sz w:val="24"/>
          <w:szCs w:val="24"/>
        </w:rPr>
        <w:t xml:space="preserve">Part of the difficulty in answering this question lies in a fundamental difference between the land of Israel and Egypt. </w:t>
      </w:r>
      <w:r w:rsidR="00DF05C6">
        <w:rPr>
          <w:rFonts w:asciiTheme="minorBidi" w:hAnsiTheme="minorBidi"/>
          <w:sz w:val="24"/>
          <w:szCs w:val="24"/>
        </w:rPr>
        <w:t xml:space="preserve">In </w:t>
      </w:r>
      <w:r w:rsidR="0087704B">
        <w:rPr>
          <w:rFonts w:asciiTheme="minorBidi" w:hAnsiTheme="minorBidi"/>
          <w:sz w:val="24"/>
          <w:szCs w:val="24"/>
        </w:rPr>
        <w:t xml:space="preserve">the land of </w:t>
      </w:r>
      <w:r w:rsidR="00DF05C6">
        <w:rPr>
          <w:rFonts w:asciiTheme="minorBidi" w:hAnsiTheme="minorBidi"/>
          <w:sz w:val="24"/>
          <w:szCs w:val="24"/>
        </w:rPr>
        <w:t>Israel</w:t>
      </w:r>
      <w:r w:rsidR="0087704B">
        <w:rPr>
          <w:rFonts w:asciiTheme="minorBidi" w:hAnsiTheme="minorBidi"/>
          <w:sz w:val="24"/>
          <w:szCs w:val="24"/>
        </w:rPr>
        <w:t>,</w:t>
      </w:r>
      <w:r w:rsidR="00DF05C6">
        <w:rPr>
          <w:rFonts w:asciiTheme="minorBidi" w:hAnsiTheme="minorBidi"/>
          <w:sz w:val="24"/>
          <w:szCs w:val="24"/>
        </w:rPr>
        <w:t xml:space="preserve"> we encounter a phenomenon that might </w:t>
      </w:r>
      <w:r w:rsidR="0087704B">
        <w:rPr>
          <w:rFonts w:asciiTheme="minorBidi" w:hAnsiTheme="minorBidi"/>
          <w:sz w:val="24"/>
          <w:szCs w:val="24"/>
        </w:rPr>
        <w:t>seem miraculous:</w:t>
      </w:r>
      <w:r w:rsidR="00DF05C6">
        <w:rPr>
          <w:rFonts w:asciiTheme="minorBidi" w:hAnsiTheme="minorBidi"/>
          <w:sz w:val="24"/>
          <w:szCs w:val="24"/>
        </w:rPr>
        <w:t xml:space="preserve"> </w:t>
      </w:r>
      <w:r w:rsidR="0087704B">
        <w:rPr>
          <w:rFonts w:asciiTheme="minorBidi" w:hAnsiTheme="minorBidi"/>
          <w:sz w:val="24"/>
          <w:szCs w:val="24"/>
        </w:rPr>
        <w:t>A</w:t>
      </w:r>
      <w:r w:rsidR="00B2329A">
        <w:rPr>
          <w:rFonts w:asciiTheme="minorBidi" w:hAnsiTheme="minorBidi"/>
          <w:sz w:val="24"/>
          <w:szCs w:val="24"/>
        </w:rPr>
        <w:t xml:space="preserve"> large percentage of the ancient place names in the land of Israel have been preserved by its residents until the modern era. When we returned to the land </w:t>
      </w:r>
      <w:r w:rsidR="00B750D1">
        <w:rPr>
          <w:rFonts w:asciiTheme="minorBidi" w:hAnsiTheme="minorBidi"/>
          <w:sz w:val="24"/>
          <w:szCs w:val="24"/>
        </w:rPr>
        <w:t>of Israel, we found</w:t>
      </w:r>
      <w:r w:rsidR="00B2329A">
        <w:rPr>
          <w:rFonts w:asciiTheme="minorBidi" w:hAnsiTheme="minorBidi"/>
          <w:sz w:val="24"/>
          <w:szCs w:val="24"/>
        </w:rPr>
        <w:t xml:space="preserve"> that Lod was called al-Ludd, Jaffa was called </w:t>
      </w:r>
      <w:r w:rsidR="00B750D1" w:rsidRPr="00C24F73">
        <w:rPr>
          <w:rFonts w:ascii="Arial Unicode MS" w:eastAsia="Arial Unicode MS" w:hAnsi="Arial Unicode MS" w:cs="Arial Unicode MS"/>
          <w:sz w:val="24"/>
          <w:szCs w:val="24"/>
        </w:rPr>
        <w:t>Y</w:t>
      </w:r>
      <w:r w:rsidR="00EB6083" w:rsidRPr="0087704B">
        <w:rPr>
          <w:rFonts w:ascii="Arial Unicode MS" w:eastAsia="Arial Unicode MS" w:hAnsi="Arial Unicode MS" w:cs="Arial Unicode MS" w:hint="eastAsia"/>
          <w:sz w:val="24"/>
          <w:szCs w:val="24"/>
        </w:rPr>
        <w:t>ā</w:t>
      </w:r>
      <w:r w:rsidR="00B750D1" w:rsidRPr="00C24F73">
        <w:rPr>
          <w:rFonts w:ascii="Arial Unicode MS" w:eastAsia="Arial Unicode MS" w:hAnsi="Arial Unicode MS" w:cs="Arial Unicode MS"/>
          <w:sz w:val="24"/>
          <w:szCs w:val="24"/>
        </w:rPr>
        <w:t>fa</w:t>
      </w:r>
      <w:r w:rsidR="00B750D1">
        <w:rPr>
          <w:rFonts w:asciiTheme="minorBidi" w:hAnsiTheme="minorBidi"/>
          <w:sz w:val="24"/>
          <w:szCs w:val="24"/>
        </w:rPr>
        <w:t xml:space="preserve">, Bethlehem was called </w:t>
      </w:r>
      <w:r w:rsidR="00B750D1" w:rsidRPr="00B750D1">
        <w:rPr>
          <w:rStyle w:val="unicode"/>
          <w:rFonts w:ascii="Arial Unicode MS" w:eastAsia="Arial Unicode MS" w:hAnsi="Arial Unicode MS" w:cs="Arial Unicode MS" w:hint="eastAsia"/>
          <w:color w:val="252525"/>
          <w:sz w:val="25"/>
          <w:szCs w:val="25"/>
          <w:shd w:val="clear" w:color="auto" w:fill="FFFFFF"/>
        </w:rPr>
        <w:t>Bēt Laḥm</w:t>
      </w:r>
      <w:r w:rsidR="00B750D1">
        <w:rPr>
          <w:rStyle w:val="unicode"/>
          <w:rFonts w:asciiTheme="minorBidi" w:eastAsia="Arial Unicode MS" w:hAnsiTheme="minorBidi"/>
          <w:color w:val="252525"/>
          <w:sz w:val="24"/>
          <w:szCs w:val="24"/>
          <w:shd w:val="clear" w:color="auto" w:fill="FFFFFF"/>
        </w:rPr>
        <w:t xml:space="preserve">, Haifa was called </w:t>
      </w:r>
      <w:r w:rsidR="00B750D1" w:rsidRPr="00B750D1">
        <w:rPr>
          <w:rStyle w:val="unicode"/>
          <w:rFonts w:ascii="Arial Unicode MS" w:eastAsia="Arial Unicode MS" w:hAnsi="Arial Unicode MS" w:cs="Arial Unicode MS" w:hint="eastAsia"/>
          <w:color w:val="252525"/>
          <w:sz w:val="25"/>
          <w:szCs w:val="25"/>
          <w:shd w:val="clear" w:color="auto" w:fill="FFFFFF"/>
        </w:rPr>
        <w:t>Ḥayfā</w:t>
      </w:r>
      <w:r w:rsidR="00B750D1">
        <w:rPr>
          <w:rStyle w:val="unicode"/>
          <w:rFonts w:asciiTheme="minorBidi" w:eastAsia="Arial Unicode MS" w:hAnsiTheme="minorBidi"/>
          <w:color w:val="252525"/>
          <w:sz w:val="24"/>
          <w:szCs w:val="24"/>
          <w:shd w:val="clear" w:color="auto" w:fill="FFFFFF"/>
        </w:rPr>
        <w:t xml:space="preserve"> and Acre was called </w:t>
      </w:r>
      <w:r w:rsidR="00B750D1" w:rsidRPr="00B750D1">
        <w:rPr>
          <w:rFonts w:ascii="Arial Unicode MS" w:eastAsia="Arial Unicode MS" w:hAnsi="Arial Unicode MS" w:cs="Arial Unicode MS"/>
          <w:color w:val="252525"/>
          <w:sz w:val="25"/>
          <w:szCs w:val="25"/>
          <w:shd w:val="clear" w:color="auto" w:fill="FFFFFF"/>
          <w:vertAlign w:val="superscript"/>
        </w:rPr>
        <w:t>c</w:t>
      </w:r>
      <w:r w:rsidR="00B750D1" w:rsidRPr="00B750D1">
        <w:rPr>
          <w:rFonts w:ascii="Arial Unicode MS" w:eastAsia="Arial Unicode MS" w:hAnsi="Arial Unicode MS" w:cs="Arial Unicode MS"/>
          <w:color w:val="252525"/>
          <w:sz w:val="25"/>
          <w:szCs w:val="25"/>
          <w:shd w:val="clear" w:color="auto" w:fill="FFFFFF"/>
        </w:rPr>
        <w:t>Akkā</w:t>
      </w:r>
      <w:r w:rsidR="00B750D1">
        <w:rPr>
          <w:rFonts w:asciiTheme="minorBidi" w:eastAsia="Arial Unicode MS" w:hAnsiTheme="minorBidi"/>
          <w:color w:val="252525"/>
          <w:sz w:val="24"/>
          <w:szCs w:val="24"/>
          <w:shd w:val="clear" w:color="auto" w:fill="FFFFFF"/>
        </w:rPr>
        <w:t xml:space="preserve">. Thus, we were </w:t>
      </w:r>
      <w:r w:rsidR="00B750D1">
        <w:rPr>
          <w:rFonts w:asciiTheme="minorBidi" w:eastAsia="Arial Unicode MS" w:hAnsiTheme="minorBidi"/>
          <w:sz w:val="24"/>
          <w:szCs w:val="24"/>
        </w:rPr>
        <w:t>able to easily identify these locations, and many others as well, with a great degree of certainty.</w:t>
      </w:r>
    </w:p>
    <w:p w:rsidR="00B750D1" w:rsidRDefault="00B750D1" w:rsidP="00C24F73">
      <w:pPr>
        <w:spacing w:after="0" w:line="240" w:lineRule="auto"/>
        <w:ind w:firstLine="720"/>
        <w:jc w:val="both"/>
        <w:rPr>
          <w:rFonts w:asciiTheme="minorBidi" w:eastAsia="Arial Unicode MS" w:hAnsiTheme="minorBidi"/>
          <w:sz w:val="24"/>
          <w:szCs w:val="24"/>
        </w:rPr>
      </w:pPr>
    </w:p>
    <w:p w:rsidR="00B750D1" w:rsidRDefault="00B750D1" w:rsidP="00C24F73">
      <w:pPr>
        <w:spacing w:after="0" w:line="240" w:lineRule="auto"/>
        <w:ind w:firstLine="720"/>
        <w:jc w:val="both"/>
        <w:rPr>
          <w:rFonts w:asciiTheme="minorBidi" w:eastAsia="Arial Unicode MS" w:hAnsiTheme="minorBidi"/>
          <w:sz w:val="24"/>
          <w:szCs w:val="24"/>
        </w:rPr>
      </w:pPr>
      <w:r>
        <w:rPr>
          <w:rFonts w:asciiTheme="minorBidi" w:eastAsia="Arial Unicode MS" w:hAnsiTheme="minorBidi"/>
          <w:sz w:val="24"/>
          <w:szCs w:val="24"/>
        </w:rPr>
        <w:lastRenderedPageBreak/>
        <w:t xml:space="preserve">This phenomenon did not occur in the lands of other ancient </w:t>
      </w:r>
      <w:r w:rsidR="00EB6083">
        <w:rPr>
          <w:rFonts w:asciiTheme="minorBidi" w:eastAsia="Arial Unicode MS" w:hAnsiTheme="minorBidi"/>
          <w:sz w:val="24"/>
          <w:szCs w:val="24"/>
        </w:rPr>
        <w:t xml:space="preserve">kingdoms or </w:t>
      </w:r>
      <w:r>
        <w:rPr>
          <w:rFonts w:asciiTheme="minorBidi" w:eastAsia="Arial Unicode MS" w:hAnsiTheme="minorBidi"/>
          <w:sz w:val="24"/>
          <w:szCs w:val="24"/>
        </w:rPr>
        <w:t xml:space="preserve">empires, like Egypt, Babylonia and Turkey, where the ancient Hittite empire was located. In these lands, very </w:t>
      </w:r>
      <w:r w:rsidR="00685B0F">
        <w:rPr>
          <w:rFonts w:asciiTheme="minorBidi" w:eastAsia="Arial Unicode MS" w:hAnsiTheme="minorBidi"/>
          <w:sz w:val="24"/>
          <w:szCs w:val="24"/>
        </w:rPr>
        <w:t>few of the ancient names were preserved, and in general, the modern names are not reliable indicators for identification of ancient locations. In Egypt, place names have been constantly changing throughout history, even into the modern era. Indeed, maps of Egypt from eighty years ago, forty years ago and today feature significantly different sets of names.</w:t>
      </w:r>
    </w:p>
    <w:p w:rsidR="00685B0F" w:rsidRDefault="00685B0F" w:rsidP="00C24F73">
      <w:pPr>
        <w:spacing w:after="0" w:line="240" w:lineRule="auto"/>
        <w:ind w:firstLine="720"/>
        <w:jc w:val="both"/>
        <w:rPr>
          <w:rFonts w:asciiTheme="minorBidi" w:eastAsia="Arial Unicode MS" w:hAnsiTheme="minorBidi"/>
          <w:sz w:val="24"/>
          <w:szCs w:val="24"/>
        </w:rPr>
      </w:pPr>
    </w:p>
    <w:p w:rsidR="009F61E6" w:rsidRDefault="00685B0F" w:rsidP="00C24F73">
      <w:pPr>
        <w:spacing w:after="0" w:line="240" w:lineRule="auto"/>
        <w:ind w:firstLine="720"/>
        <w:jc w:val="both"/>
        <w:rPr>
          <w:rFonts w:asciiTheme="minorBidi" w:eastAsia="Arial Unicode MS" w:hAnsiTheme="minorBidi"/>
          <w:sz w:val="24"/>
          <w:szCs w:val="24"/>
        </w:rPr>
      </w:pPr>
      <w:r>
        <w:rPr>
          <w:rFonts w:asciiTheme="minorBidi" w:eastAsia="Arial Unicode MS" w:hAnsiTheme="minorBidi"/>
          <w:sz w:val="24"/>
          <w:szCs w:val="24"/>
        </w:rPr>
        <w:t>Targum Yerushalmi identif</w:t>
      </w:r>
      <w:r w:rsidR="007D6ECD">
        <w:rPr>
          <w:rFonts w:asciiTheme="minorBidi" w:eastAsia="Arial Unicode MS" w:hAnsiTheme="minorBidi"/>
          <w:sz w:val="24"/>
          <w:szCs w:val="24"/>
        </w:rPr>
        <w:t xml:space="preserve">ied </w:t>
      </w:r>
      <w:r w:rsidR="00793664">
        <w:rPr>
          <w:rFonts w:asciiTheme="minorBidi" w:eastAsia="Arial Unicode MS" w:hAnsiTheme="minorBidi"/>
          <w:sz w:val="24"/>
          <w:szCs w:val="24"/>
        </w:rPr>
        <w:t>Ramesses</w:t>
      </w:r>
      <w:r w:rsidR="007D6ECD">
        <w:rPr>
          <w:rFonts w:asciiTheme="minorBidi" w:eastAsia="Arial Unicode MS" w:hAnsiTheme="minorBidi"/>
          <w:sz w:val="24"/>
          <w:szCs w:val="24"/>
        </w:rPr>
        <w:t xml:space="preserve"> as Pelusium, a famous city during the Hellenistic, Roman and Byzantine periods. Pelusium was located on the eastern branch of the Nile, which dried up towar</w:t>
      </w:r>
      <w:r w:rsidR="005B1E18">
        <w:rPr>
          <w:rFonts w:asciiTheme="minorBidi" w:eastAsia="Arial Unicode MS" w:hAnsiTheme="minorBidi"/>
          <w:sz w:val="24"/>
          <w:szCs w:val="24"/>
        </w:rPr>
        <w:t>d the end of the ancient period, and</w:t>
      </w:r>
      <w:r w:rsidR="007D6ECD">
        <w:rPr>
          <w:rFonts w:asciiTheme="minorBidi" w:eastAsia="Arial Unicode MS" w:hAnsiTheme="minorBidi"/>
          <w:sz w:val="24"/>
          <w:szCs w:val="24"/>
        </w:rPr>
        <w:t xml:space="preserve"> was a source of fine linen fabrics</w:t>
      </w:r>
      <w:r w:rsidR="005B1E18">
        <w:rPr>
          <w:rFonts w:asciiTheme="minorBidi" w:eastAsia="Arial Unicode MS" w:hAnsiTheme="minorBidi"/>
          <w:sz w:val="24"/>
          <w:szCs w:val="24"/>
        </w:rPr>
        <w:t>.</w:t>
      </w:r>
      <w:r w:rsidR="007D6ECD">
        <w:rPr>
          <w:rStyle w:val="ac"/>
          <w:rFonts w:asciiTheme="minorBidi" w:eastAsia="Arial Unicode MS" w:hAnsiTheme="minorBidi"/>
          <w:sz w:val="24"/>
          <w:szCs w:val="24"/>
        </w:rPr>
        <w:footnoteReference w:id="2"/>
      </w:r>
      <w:r w:rsidR="005B1E18">
        <w:rPr>
          <w:rFonts w:asciiTheme="minorBidi" w:eastAsia="Arial Unicode MS" w:hAnsiTheme="minorBidi"/>
          <w:sz w:val="24"/>
          <w:szCs w:val="24"/>
        </w:rPr>
        <w:t xml:space="preserve"> Today, Pelusium </w:t>
      </w:r>
      <w:r w:rsidR="009F61E6">
        <w:rPr>
          <w:rFonts w:asciiTheme="minorBidi" w:eastAsia="Arial Unicode MS" w:hAnsiTheme="minorBidi"/>
          <w:sz w:val="24"/>
          <w:szCs w:val="24"/>
        </w:rPr>
        <w:t xml:space="preserve">can </w:t>
      </w:r>
      <w:r w:rsidR="005B1E18">
        <w:rPr>
          <w:rFonts w:asciiTheme="minorBidi" w:eastAsia="Arial Unicode MS" w:hAnsiTheme="minorBidi"/>
          <w:sz w:val="24"/>
          <w:szCs w:val="24"/>
        </w:rPr>
        <w:t xml:space="preserve">be found east of the Suez Canal at a site known as Tell el-Farama, in a region that was called Baluza – this time actually preserving its ancient Greek name. However, this placement seems too far northeast to be </w:t>
      </w:r>
      <w:r w:rsidR="009F61E6">
        <w:rPr>
          <w:rFonts w:asciiTheme="minorBidi" w:eastAsia="Arial Unicode MS" w:hAnsiTheme="minorBidi"/>
          <w:sz w:val="24"/>
          <w:szCs w:val="24"/>
        </w:rPr>
        <w:t xml:space="preserve">an </w:t>
      </w:r>
      <w:r w:rsidR="005B1E18">
        <w:rPr>
          <w:rFonts w:asciiTheme="minorBidi" w:eastAsia="Arial Unicode MS" w:hAnsiTheme="minorBidi"/>
          <w:sz w:val="24"/>
          <w:szCs w:val="24"/>
        </w:rPr>
        <w:t>accurate</w:t>
      </w:r>
      <w:r w:rsidR="009F61E6">
        <w:rPr>
          <w:rFonts w:asciiTheme="minorBidi" w:eastAsia="Arial Unicode MS" w:hAnsiTheme="minorBidi"/>
          <w:sz w:val="24"/>
          <w:szCs w:val="24"/>
        </w:rPr>
        <w:t xml:space="preserve"> identification for </w:t>
      </w:r>
      <w:r w:rsidR="00793664">
        <w:rPr>
          <w:rFonts w:asciiTheme="minorBidi" w:eastAsia="Arial Unicode MS" w:hAnsiTheme="minorBidi"/>
          <w:sz w:val="24"/>
          <w:szCs w:val="24"/>
        </w:rPr>
        <w:t>Ramesses</w:t>
      </w:r>
      <w:r w:rsidR="005B1E18">
        <w:rPr>
          <w:rFonts w:asciiTheme="minorBidi" w:eastAsia="Arial Unicode MS" w:hAnsiTheme="minorBidi"/>
          <w:sz w:val="24"/>
          <w:szCs w:val="24"/>
        </w:rPr>
        <w:t xml:space="preserve">. According to the Torah, </w:t>
      </w:r>
      <w:r w:rsidR="00793664">
        <w:rPr>
          <w:rFonts w:asciiTheme="minorBidi" w:eastAsia="Arial Unicode MS" w:hAnsiTheme="minorBidi"/>
          <w:sz w:val="24"/>
          <w:szCs w:val="24"/>
        </w:rPr>
        <w:t>Ramesses</w:t>
      </w:r>
      <w:r w:rsidR="005B1E18">
        <w:rPr>
          <w:rFonts w:asciiTheme="minorBidi" w:eastAsia="Arial Unicode MS" w:hAnsiTheme="minorBidi"/>
          <w:sz w:val="24"/>
          <w:szCs w:val="24"/>
        </w:rPr>
        <w:t xml:space="preserve"> was located within the land of Goshen: </w:t>
      </w:r>
    </w:p>
    <w:p w:rsidR="009F61E6" w:rsidRDefault="009F61E6" w:rsidP="00C24F73">
      <w:pPr>
        <w:spacing w:after="0" w:line="240" w:lineRule="auto"/>
        <w:ind w:firstLine="720"/>
        <w:jc w:val="both"/>
        <w:rPr>
          <w:rFonts w:asciiTheme="minorBidi" w:eastAsia="Arial Unicode MS" w:hAnsiTheme="minorBidi"/>
          <w:sz w:val="24"/>
          <w:szCs w:val="24"/>
        </w:rPr>
      </w:pPr>
    </w:p>
    <w:p w:rsidR="00685B0F" w:rsidRDefault="005B1E18" w:rsidP="00C24F73">
      <w:pPr>
        <w:spacing w:after="0" w:line="240" w:lineRule="auto"/>
        <w:ind w:left="851"/>
        <w:jc w:val="both"/>
        <w:rPr>
          <w:rFonts w:asciiTheme="minorBidi" w:eastAsia="Arial Unicode MS" w:hAnsiTheme="minorBidi"/>
          <w:sz w:val="24"/>
          <w:szCs w:val="24"/>
        </w:rPr>
      </w:pPr>
      <w:r>
        <w:rPr>
          <w:rFonts w:asciiTheme="minorBidi" w:eastAsia="Arial Unicode MS" w:hAnsiTheme="minorBidi"/>
          <w:sz w:val="24"/>
          <w:szCs w:val="24"/>
        </w:rPr>
        <w:t>Settle your father and your brothers in the best part of the land; let them stay in the region of Goshen</w:t>
      </w:r>
      <w:r w:rsidR="009F61E6">
        <w:rPr>
          <w:rFonts w:asciiTheme="minorBidi" w:eastAsia="Arial Unicode MS" w:hAnsiTheme="minorBidi"/>
          <w:sz w:val="24"/>
          <w:szCs w:val="24"/>
        </w:rPr>
        <w:t xml:space="preserve">… </w:t>
      </w:r>
      <w:r>
        <w:rPr>
          <w:rFonts w:asciiTheme="minorBidi" w:eastAsia="Arial Unicode MS" w:hAnsiTheme="minorBidi"/>
          <w:sz w:val="24"/>
          <w:szCs w:val="24"/>
        </w:rPr>
        <w:t xml:space="preserve">So Joseph settled his father and his brothers… </w:t>
      </w:r>
      <w:r w:rsidR="009F61E6">
        <w:rPr>
          <w:rFonts w:asciiTheme="minorBidi" w:eastAsia="Arial Unicode MS" w:hAnsiTheme="minorBidi"/>
          <w:sz w:val="24"/>
          <w:szCs w:val="24"/>
        </w:rPr>
        <w:t xml:space="preserve">in the choicest part of the land of Egypt, in the region of </w:t>
      </w:r>
      <w:r w:rsidR="00793664">
        <w:rPr>
          <w:rFonts w:asciiTheme="minorBidi" w:eastAsia="Arial Unicode MS" w:hAnsiTheme="minorBidi"/>
          <w:sz w:val="24"/>
          <w:szCs w:val="24"/>
        </w:rPr>
        <w:t>Ramesses</w:t>
      </w:r>
      <w:r w:rsidR="009F61E6">
        <w:rPr>
          <w:rFonts w:asciiTheme="minorBidi" w:eastAsia="Arial Unicode MS" w:hAnsiTheme="minorBidi"/>
          <w:sz w:val="24"/>
          <w:szCs w:val="24"/>
        </w:rPr>
        <w:t>, as Pharaoh had commanded. (Genesis 47:6-11)</w:t>
      </w:r>
    </w:p>
    <w:p w:rsidR="009F61E6" w:rsidRDefault="009F61E6" w:rsidP="00C24F73">
      <w:pPr>
        <w:spacing w:after="0" w:line="240" w:lineRule="auto"/>
        <w:jc w:val="both"/>
        <w:rPr>
          <w:rFonts w:asciiTheme="minorBidi" w:eastAsia="Arial Unicode MS" w:hAnsiTheme="minorBidi"/>
          <w:sz w:val="24"/>
          <w:szCs w:val="24"/>
        </w:rPr>
      </w:pPr>
    </w:p>
    <w:p w:rsidR="009F61E6" w:rsidRDefault="009F61E6" w:rsidP="00C24F73">
      <w:pPr>
        <w:spacing w:after="0" w:line="240" w:lineRule="auto"/>
        <w:jc w:val="both"/>
        <w:rPr>
          <w:rFonts w:asciiTheme="minorBidi" w:eastAsia="Arial Unicode MS" w:hAnsiTheme="minorBidi"/>
          <w:sz w:val="24"/>
          <w:szCs w:val="24"/>
        </w:rPr>
      </w:pPr>
      <w:r>
        <w:rPr>
          <w:rFonts w:asciiTheme="minorBidi" w:eastAsia="Arial Unicode MS" w:hAnsiTheme="minorBidi"/>
          <w:sz w:val="24"/>
          <w:szCs w:val="24"/>
        </w:rPr>
        <w:t xml:space="preserve">We also learn that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was near the royal city: “Where you will be near me” (45:10); “He summoned Moses and Aaron in the night” (Exodus 12:31). Pelusium, in contrast, was situated outside the heart of Egypt. Additionally, the path between Pelusium and the land of Canaan </w:t>
      </w:r>
      <w:r w:rsidR="00512415">
        <w:rPr>
          <w:rFonts w:asciiTheme="minorBidi" w:eastAsia="Arial Unicode MS" w:hAnsiTheme="minorBidi"/>
          <w:sz w:val="24"/>
          <w:szCs w:val="24"/>
        </w:rPr>
        <w:t xml:space="preserve">does not pass anywhere near the Red Sea. Finally, nowhere in the vicinity of Pelusium have significant remnants been found from </w:t>
      </w:r>
      <w:r w:rsidR="00726705">
        <w:rPr>
          <w:rFonts w:asciiTheme="minorBidi" w:eastAsia="Arial Unicode MS" w:hAnsiTheme="minorBidi"/>
          <w:sz w:val="24"/>
          <w:szCs w:val="24"/>
        </w:rPr>
        <w:t xml:space="preserve">Biblical </w:t>
      </w:r>
      <w:r w:rsidR="00512415">
        <w:rPr>
          <w:rFonts w:asciiTheme="minorBidi" w:eastAsia="Arial Unicode MS" w:hAnsiTheme="minorBidi"/>
          <w:sz w:val="24"/>
          <w:szCs w:val="24"/>
        </w:rPr>
        <w:t xml:space="preserve">times. Thus, it seems highly doubtful that Pelusium can be an accurate identification for </w:t>
      </w:r>
      <w:r w:rsidR="00793664">
        <w:rPr>
          <w:rFonts w:asciiTheme="minorBidi" w:eastAsia="Arial Unicode MS" w:hAnsiTheme="minorBidi"/>
          <w:sz w:val="24"/>
          <w:szCs w:val="24"/>
        </w:rPr>
        <w:t>Ramesses</w:t>
      </w:r>
      <w:r w:rsidR="00512415">
        <w:rPr>
          <w:rFonts w:asciiTheme="minorBidi" w:eastAsia="Arial Unicode MS" w:hAnsiTheme="minorBidi"/>
          <w:sz w:val="24"/>
          <w:szCs w:val="24"/>
        </w:rPr>
        <w:t>.</w:t>
      </w:r>
    </w:p>
    <w:p w:rsidR="00512415" w:rsidRDefault="00512415" w:rsidP="00C24F73">
      <w:pPr>
        <w:spacing w:after="0" w:line="240" w:lineRule="auto"/>
        <w:jc w:val="both"/>
        <w:rPr>
          <w:rFonts w:asciiTheme="minorBidi" w:eastAsia="Arial Unicode MS" w:hAnsiTheme="minorBidi"/>
          <w:sz w:val="24"/>
          <w:szCs w:val="24"/>
        </w:rPr>
      </w:pPr>
    </w:p>
    <w:p w:rsidR="00512415" w:rsidRDefault="00512415" w:rsidP="00C24F73">
      <w:pPr>
        <w:spacing w:after="0" w:line="240" w:lineRule="auto"/>
        <w:jc w:val="both"/>
        <w:rPr>
          <w:rFonts w:asciiTheme="minorBidi" w:eastAsia="Arial Unicode MS" w:hAnsiTheme="minorBidi"/>
          <w:sz w:val="24"/>
          <w:szCs w:val="24"/>
        </w:rPr>
      </w:pPr>
      <w:r>
        <w:rPr>
          <w:rFonts w:asciiTheme="minorBidi" w:eastAsia="Arial Unicode MS" w:hAnsiTheme="minorBidi"/>
          <w:sz w:val="24"/>
          <w:szCs w:val="24"/>
        </w:rPr>
        <w:tab/>
        <w:t xml:space="preserve">Most scholars identify Pithom and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as Tell el-</w:t>
      </w:r>
      <w:r w:rsidRPr="00C24F73">
        <w:rPr>
          <w:rFonts w:ascii="Arial Unicode MS" w:eastAsia="Arial Unicode MS" w:hAnsi="Arial Unicode MS" w:cs="Arial Unicode MS"/>
          <w:sz w:val="24"/>
          <w:szCs w:val="24"/>
        </w:rPr>
        <w:t>Maskh</w:t>
      </w:r>
      <w:r w:rsidR="00726705" w:rsidRPr="000D3098">
        <w:rPr>
          <w:rFonts w:ascii="Arial Unicode MS" w:eastAsia="Arial Unicode MS" w:hAnsi="Arial Unicode MS" w:cs="Arial Unicode MS" w:hint="eastAsia"/>
          <w:sz w:val="24"/>
          <w:szCs w:val="24"/>
        </w:rPr>
        <w:t>ūṭ</w:t>
      </w:r>
      <w:r w:rsidRPr="00C24F73">
        <w:rPr>
          <w:rFonts w:ascii="Arial Unicode MS" w:eastAsia="Arial Unicode MS" w:hAnsi="Arial Unicode MS" w:cs="Arial Unicode MS"/>
          <w:sz w:val="24"/>
          <w:szCs w:val="24"/>
        </w:rPr>
        <w:t>a</w:t>
      </w:r>
      <w:r>
        <w:rPr>
          <w:rFonts w:asciiTheme="minorBidi" w:eastAsia="Arial Unicode MS" w:hAnsiTheme="minorBidi"/>
          <w:sz w:val="24"/>
          <w:szCs w:val="24"/>
        </w:rPr>
        <w:t xml:space="preserve"> and Tell </w:t>
      </w:r>
      <w:r w:rsidR="00C6448A">
        <w:rPr>
          <w:rFonts w:asciiTheme="minorBidi" w:eastAsia="Arial Unicode MS" w:hAnsiTheme="minorBidi"/>
          <w:sz w:val="24"/>
          <w:szCs w:val="24"/>
        </w:rPr>
        <w:t>er</w:t>
      </w:r>
      <w:r>
        <w:rPr>
          <w:rFonts w:asciiTheme="minorBidi" w:eastAsia="Arial Unicode MS" w:hAnsiTheme="minorBidi"/>
          <w:sz w:val="24"/>
          <w:szCs w:val="24"/>
        </w:rPr>
        <w:t>-</w:t>
      </w:r>
      <w:r w:rsidRPr="00C24F73">
        <w:rPr>
          <w:rFonts w:ascii="Arial Unicode MS" w:eastAsia="Arial Unicode MS" w:hAnsi="Arial Unicode MS" w:cs="Arial Unicode MS"/>
          <w:sz w:val="24"/>
          <w:szCs w:val="24"/>
        </w:rPr>
        <w:t>Re</w:t>
      </w:r>
      <w:r w:rsidR="00726705" w:rsidRPr="000D3098">
        <w:rPr>
          <w:rFonts w:ascii="Arial Unicode MS" w:eastAsia="Arial Unicode MS" w:hAnsi="Arial Unicode MS" w:cs="Arial Unicode MS" w:hint="eastAsia"/>
          <w:sz w:val="24"/>
          <w:szCs w:val="24"/>
        </w:rPr>
        <w:t>ṭ</w:t>
      </w:r>
      <w:r w:rsidRPr="00C24F73">
        <w:rPr>
          <w:rFonts w:ascii="Arial Unicode MS" w:eastAsia="Arial Unicode MS" w:hAnsi="Arial Unicode MS" w:cs="Arial Unicode MS"/>
          <w:sz w:val="24"/>
          <w:szCs w:val="24"/>
        </w:rPr>
        <w:t>ab</w:t>
      </w:r>
      <w:r w:rsidR="00C6448A" w:rsidRPr="00C24F73">
        <w:rPr>
          <w:rFonts w:ascii="Arial Unicode MS" w:eastAsia="Arial Unicode MS" w:hAnsi="Arial Unicode MS" w:cs="Arial Unicode MS"/>
          <w:sz w:val="24"/>
          <w:szCs w:val="24"/>
        </w:rPr>
        <w:t>e</w:t>
      </w:r>
      <w:r>
        <w:rPr>
          <w:rFonts w:asciiTheme="minorBidi" w:eastAsia="Arial Unicode MS" w:hAnsiTheme="minorBidi"/>
          <w:sz w:val="24"/>
          <w:szCs w:val="24"/>
        </w:rPr>
        <w:t xml:space="preserve">, respectively, tells located </w:t>
      </w:r>
      <w:r w:rsidRPr="00312989">
        <w:rPr>
          <w:rFonts w:asciiTheme="minorBidi" w:eastAsia="Arial Unicode MS" w:hAnsiTheme="minorBidi"/>
          <w:sz w:val="24"/>
          <w:szCs w:val="24"/>
        </w:rPr>
        <w:t xml:space="preserve">west of </w:t>
      </w:r>
      <w:r w:rsidRPr="00312989">
        <w:rPr>
          <w:rFonts w:asciiTheme="minorBidi" w:hAnsiTheme="minorBidi"/>
          <w:color w:val="252525"/>
          <w:sz w:val="24"/>
          <w:szCs w:val="24"/>
          <w:shd w:val="clear" w:color="auto" w:fill="FFFFFF"/>
        </w:rPr>
        <w:t>Ismaïlia</w:t>
      </w:r>
      <w:r w:rsidRPr="00312989">
        <w:rPr>
          <w:rFonts w:asciiTheme="minorBidi" w:eastAsia="Arial Unicode MS" w:hAnsiTheme="minorBidi"/>
          <w:sz w:val="24"/>
          <w:szCs w:val="24"/>
        </w:rPr>
        <w:t xml:space="preserve"> on</w:t>
      </w:r>
      <w:r>
        <w:rPr>
          <w:rFonts w:asciiTheme="minorBidi" w:eastAsia="Arial Unicode MS" w:hAnsiTheme="minorBidi"/>
          <w:sz w:val="24"/>
          <w:szCs w:val="24"/>
        </w:rPr>
        <w:t xml:space="preserve"> the eastern side of the Delta. Other sites that have been suggested as identifications for Pithom or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were further north, near Qantir, and some even considered </w:t>
      </w:r>
      <w:r w:rsidR="00312989">
        <w:rPr>
          <w:rFonts w:asciiTheme="minorBidi" w:eastAsia="Arial Unicode MS" w:hAnsiTheme="minorBidi"/>
          <w:sz w:val="24"/>
          <w:szCs w:val="24"/>
        </w:rPr>
        <w:t xml:space="preserve">Tanis </w:t>
      </w:r>
      <w:r>
        <w:rPr>
          <w:rFonts w:asciiTheme="minorBidi" w:eastAsia="Arial Unicode MS" w:hAnsiTheme="minorBidi"/>
          <w:sz w:val="24"/>
          <w:szCs w:val="24"/>
        </w:rPr>
        <w:t xml:space="preserve">even further </w:t>
      </w:r>
      <w:r w:rsidR="00312989">
        <w:rPr>
          <w:rFonts w:asciiTheme="minorBidi" w:eastAsia="Arial Unicode MS" w:hAnsiTheme="minorBidi"/>
          <w:sz w:val="24"/>
          <w:szCs w:val="24"/>
        </w:rPr>
        <w:t xml:space="preserve">to the </w:t>
      </w:r>
      <w:r>
        <w:rPr>
          <w:rFonts w:asciiTheme="minorBidi" w:eastAsia="Arial Unicode MS" w:hAnsiTheme="minorBidi"/>
          <w:sz w:val="24"/>
          <w:szCs w:val="24"/>
        </w:rPr>
        <w:t>north.</w:t>
      </w:r>
      <w:r w:rsidR="00312989">
        <w:rPr>
          <w:rFonts w:asciiTheme="minorBidi" w:eastAsia="Arial Unicode MS" w:hAnsiTheme="minorBidi"/>
          <w:sz w:val="24"/>
          <w:szCs w:val="24"/>
        </w:rPr>
        <w:t xml:space="preserve"> One scholar strayed to the southwest, identifying Pithom as Heliopolis, a suburb of Cairo. Some of the sites suggested had already been identified as a different ancient location, and it would have to be assumed that the location possessed multiple names, either simultaneously or in different eras. At the end of the day, it seems that the common denominator between all of these identifications is that they are all doubtful, and they all rely upon secondary considerations.</w:t>
      </w:r>
      <w:r w:rsidR="00E0670B">
        <w:rPr>
          <w:rStyle w:val="ac"/>
          <w:rFonts w:asciiTheme="minorBidi" w:eastAsia="Arial Unicode MS" w:hAnsiTheme="minorBidi"/>
          <w:sz w:val="24"/>
          <w:szCs w:val="24"/>
        </w:rPr>
        <w:footnoteReference w:id="3"/>
      </w:r>
    </w:p>
    <w:p w:rsidR="00312989" w:rsidRDefault="00312989" w:rsidP="00C24F73">
      <w:pPr>
        <w:spacing w:after="0" w:line="240" w:lineRule="auto"/>
        <w:jc w:val="both"/>
        <w:rPr>
          <w:rFonts w:asciiTheme="minorBidi" w:eastAsia="Arial Unicode MS" w:hAnsiTheme="minorBidi"/>
          <w:sz w:val="24"/>
          <w:szCs w:val="24"/>
        </w:rPr>
      </w:pPr>
    </w:p>
    <w:p w:rsidR="003F0245" w:rsidRDefault="003F0245" w:rsidP="00C24F73">
      <w:pPr>
        <w:spacing w:after="0" w:line="240" w:lineRule="auto"/>
        <w:jc w:val="both"/>
        <w:rPr>
          <w:rFonts w:asciiTheme="minorBidi" w:eastAsia="Arial Unicode MS" w:hAnsiTheme="minorBidi"/>
          <w:b/>
          <w:bCs/>
          <w:sz w:val="24"/>
          <w:szCs w:val="24"/>
        </w:rPr>
      </w:pPr>
      <w:r>
        <w:rPr>
          <w:rFonts w:asciiTheme="minorBidi" w:eastAsia="Arial Unicode MS" w:hAnsiTheme="minorBidi"/>
          <w:b/>
          <w:bCs/>
          <w:noProof/>
          <w:sz w:val="24"/>
          <w:szCs w:val="24"/>
        </w:rPr>
        <w:lastRenderedPageBreak/>
        <w:drawing>
          <wp:inline distT="0" distB="0" distL="0" distR="0">
            <wp:extent cx="4681728" cy="4658868"/>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geo-map.jpg"/>
                    <pic:cNvPicPr/>
                  </pic:nvPicPr>
                  <pic:blipFill>
                    <a:blip r:embed="rId8">
                      <a:extLst>
                        <a:ext uri="{28A0092B-C50C-407E-A947-70E740481C1C}">
                          <a14:useLocalDpi xmlns:a14="http://schemas.microsoft.com/office/drawing/2010/main" val="0"/>
                        </a:ext>
                      </a:extLst>
                    </a:blip>
                    <a:stretch>
                      <a:fillRect/>
                    </a:stretch>
                  </pic:blipFill>
                  <pic:spPr>
                    <a:xfrm>
                      <a:off x="0" y="0"/>
                      <a:ext cx="4681728" cy="4658868"/>
                    </a:xfrm>
                    <a:prstGeom prst="rect">
                      <a:avLst/>
                    </a:prstGeom>
                  </pic:spPr>
                </pic:pic>
              </a:graphicData>
            </a:graphic>
          </wp:inline>
        </w:drawing>
      </w:r>
    </w:p>
    <w:p w:rsidR="003F0245" w:rsidRDefault="003F0245" w:rsidP="00C24F73">
      <w:pPr>
        <w:spacing w:after="0" w:line="240" w:lineRule="auto"/>
        <w:jc w:val="both"/>
        <w:rPr>
          <w:rFonts w:asciiTheme="minorBidi" w:eastAsia="Arial Unicode MS" w:hAnsiTheme="minorBidi"/>
          <w:b/>
          <w:bCs/>
          <w:sz w:val="24"/>
          <w:szCs w:val="24"/>
        </w:rPr>
      </w:pPr>
    </w:p>
    <w:p w:rsidR="00312989" w:rsidRDefault="00312989" w:rsidP="00C24F73">
      <w:pPr>
        <w:spacing w:after="0" w:line="240" w:lineRule="auto"/>
        <w:jc w:val="both"/>
        <w:rPr>
          <w:rFonts w:asciiTheme="minorBidi" w:eastAsia="Arial Unicode MS" w:hAnsiTheme="minorBidi"/>
          <w:b/>
          <w:bCs/>
          <w:sz w:val="24"/>
          <w:szCs w:val="24"/>
        </w:rPr>
      </w:pPr>
      <w:r>
        <w:rPr>
          <w:rFonts w:asciiTheme="minorBidi" w:eastAsia="Arial Unicode MS" w:hAnsiTheme="minorBidi"/>
          <w:b/>
          <w:bCs/>
          <w:sz w:val="24"/>
          <w:szCs w:val="24"/>
        </w:rPr>
        <w:t>The Name “</w:t>
      </w:r>
      <w:r w:rsidR="00793664">
        <w:rPr>
          <w:rFonts w:asciiTheme="minorBidi" w:eastAsia="Arial Unicode MS" w:hAnsiTheme="minorBidi"/>
          <w:b/>
          <w:bCs/>
          <w:sz w:val="24"/>
          <w:szCs w:val="24"/>
        </w:rPr>
        <w:t>Ramesses</w:t>
      </w:r>
      <w:r>
        <w:rPr>
          <w:rFonts w:asciiTheme="minorBidi" w:eastAsia="Arial Unicode MS" w:hAnsiTheme="minorBidi"/>
          <w:b/>
          <w:bCs/>
          <w:sz w:val="24"/>
          <w:szCs w:val="24"/>
        </w:rPr>
        <w:t>”</w:t>
      </w:r>
    </w:p>
    <w:p w:rsidR="00296DF8" w:rsidRDefault="00296DF8" w:rsidP="00C24F73">
      <w:pPr>
        <w:spacing w:after="0" w:line="240" w:lineRule="auto"/>
        <w:jc w:val="both"/>
        <w:rPr>
          <w:rFonts w:asciiTheme="minorBidi" w:eastAsia="Arial Unicode MS" w:hAnsiTheme="minorBidi"/>
          <w:b/>
          <w:bCs/>
          <w:sz w:val="24"/>
          <w:szCs w:val="24"/>
        </w:rPr>
      </w:pPr>
    </w:p>
    <w:p w:rsidR="00296DF8" w:rsidRDefault="00296DF8" w:rsidP="00C24F73">
      <w:pPr>
        <w:spacing w:after="0" w:line="240" w:lineRule="auto"/>
        <w:jc w:val="both"/>
        <w:rPr>
          <w:rFonts w:asciiTheme="minorBidi" w:eastAsia="Arial Unicode MS" w:hAnsiTheme="minorBidi"/>
          <w:sz w:val="24"/>
          <w:szCs w:val="24"/>
        </w:rPr>
      </w:pPr>
      <w:r>
        <w:rPr>
          <w:rFonts w:asciiTheme="minorBidi" w:eastAsia="Arial Unicode MS" w:hAnsiTheme="minorBidi"/>
          <w:b/>
          <w:bCs/>
          <w:sz w:val="24"/>
          <w:szCs w:val="24"/>
        </w:rPr>
        <w:tab/>
      </w:r>
      <w:r>
        <w:rPr>
          <w:rFonts w:asciiTheme="minorBidi" w:eastAsia="Arial Unicode MS" w:hAnsiTheme="minorBidi"/>
          <w:sz w:val="24"/>
          <w:szCs w:val="24"/>
        </w:rPr>
        <w:t xml:space="preserve">The name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has critical implications for formulating the entire chronology of the Biblical period. We know that there were seve</w:t>
      </w:r>
      <w:r w:rsidR="00E0670B">
        <w:rPr>
          <w:rFonts w:asciiTheme="minorBidi" w:eastAsia="Arial Unicode MS" w:hAnsiTheme="minorBidi"/>
          <w:sz w:val="24"/>
          <w:szCs w:val="24"/>
        </w:rPr>
        <w:t>ral p</w:t>
      </w:r>
      <w:r>
        <w:rPr>
          <w:rFonts w:asciiTheme="minorBidi" w:eastAsia="Arial Unicode MS" w:hAnsiTheme="minorBidi"/>
          <w:sz w:val="24"/>
          <w:szCs w:val="24"/>
        </w:rPr>
        <w:t>haraohs that</w:t>
      </w:r>
      <w:r w:rsidR="00900F17">
        <w:rPr>
          <w:rFonts w:asciiTheme="minorBidi" w:eastAsia="Arial Unicode MS" w:hAnsiTheme="minorBidi"/>
          <w:sz w:val="24"/>
          <w:szCs w:val="24"/>
        </w:rPr>
        <w:t xml:space="preserve"> were</w:t>
      </w:r>
      <w:r>
        <w:rPr>
          <w:rFonts w:asciiTheme="minorBidi" w:eastAsia="Arial Unicode MS" w:hAnsiTheme="minorBidi"/>
          <w:sz w:val="24"/>
          <w:szCs w:val="24"/>
        </w:rPr>
        <w:t xml:space="preserve"> called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w:t>
      </w:r>
      <w:r w:rsidR="00C1254B">
        <w:rPr>
          <w:rFonts w:asciiTheme="minorBidi" w:eastAsia="Arial Unicode MS" w:hAnsiTheme="minorBidi"/>
          <w:sz w:val="24"/>
          <w:szCs w:val="24"/>
        </w:rPr>
        <w:t xml:space="preserve">The name first appeared at around 1300 BCE, at the start of the Nineteenth Dynasty of Egypt. No </w:t>
      </w:r>
      <w:r w:rsidR="00E0670B">
        <w:rPr>
          <w:rFonts w:asciiTheme="minorBidi" w:eastAsia="Arial Unicode MS" w:hAnsiTheme="minorBidi"/>
          <w:sz w:val="24"/>
          <w:szCs w:val="24"/>
        </w:rPr>
        <w:t>p</w:t>
      </w:r>
      <w:r w:rsidR="00C1254B">
        <w:rPr>
          <w:rFonts w:asciiTheme="minorBidi" w:eastAsia="Arial Unicode MS" w:hAnsiTheme="minorBidi"/>
          <w:sz w:val="24"/>
          <w:szCs w:val="24"/>
        </w:rPr>
        <w:t xml:space="preserve">haraohs used the name </w:t>
      </w:r>
      <w:r w:rsidR="00793664">
        <w:rPr>
          <w:rFonts w:asciiTheme="minorBidi" w:eastAsia="Arial Unicode MS" w:hAnsiTheme="minorBidi"/>
          <w:sz w:val="24"/>
          <w:szCs w:val="24"/>
        </w:rPr>
        <w:t>Ramesses</w:t>
      </w:r>
      <w:r w:rsidR="00C1254B">
        <w:rPr>
          <w:rFonts w:asciiTheme="minorBidi" w:eastAsia="Arial Unicode MS" w:hAnsiTheme="minorBidi"/>
          <w:sz w:val="24"/>
          <w:szCs w:val="24"/>
        </w:rPr>
        <w:t xml:space="preserve"> before this point, and from then on </w:t>
      </w:r>
      <w:r w:rsidR="00E0670B">
        <w:rPr>
          <w:rFonts w:asciiTheme="minorBidi" w:eastAsia="Arial Unicode MS" w:hAnsiTheme="minorBidi"/>
          <w:sz w:val="24"/>
          <w:szCs w:val="24"/>
        </w:rPr>
        <w:t>p</w:t>
      </w:r>
      <w:r w:rsidR="00C1254B">
        <w:rPr>
          <w:rFonts w:asciiTheme="minorBidi" w:eastAsia="Arial Unicode MS" w:hAnsiTheme="minorBidi"/>
          <w:sz w:val="24"/>
          <w:szCs w:val="24"/>
        </w:rPr>
        <w:t xml:space="preserve">haraohs began using the name in intermittent spurts. </w:t>
      </w:r>
      <w:r w:rsidR="00793664">
        <w:rPr>
          <w:rFonts w:asciiTheme="minorBidi" w:eastAsia="Arial Unicode MS" w:hAnsiTheme="minorBidi"/>
          <w:sz w:val="24"/>
          <w:szCs w:val="24"/>
        </w:rPr>
        <w:t>Ramesses</w:t>
      </w:r>
      <w:r w:rsidR="00C1254B">
        <w:rPr>
          <w:rFonts w:asciiTheme="minorBidi" w:eastAsia="Arial Unicode MS" w:hAnsiTheme="minorBidi"/>
          <w:sz w:val="24"/>
          <w:szCs w:val="24"/>
        </w:rPr>
        <w:t xml:space="preserve"> I was a </w:t>
      </w:r>
      <w:r w:rsidR="00DB22BE">
        <w:rPr>
          <w:rFonts w:asciiTheme="minorBidi" w:eastAsia="Arial Unicode MS" w:hAnsiTheme="minorBidi"/>
          <w:sz w:val="24"/>
          <w:szCs w:val="24"/>
        </w:rPr>
        <w:t>monarch</w:t>
      </w:r>
      <w:r w:rsidR="00C1254B">
        <w:rPr>
          <w:rFonts w:asciiTheme="minorBidi" w:eastAsia="Arial Unicode MS" w:hAnsiTheme="minorBidi"/>
          <w:sz w:val="24"/>
          <w:szCs w:val="24"/>
        </w:rPr>
        <w:t xml:space="preserve"> who did not manage to accomplish great things in his lifetime. He began his reign at an advanced age and only rule for a year or two before appointing his son and heir Seti I (who was himself around thirty years old at the time) to rule alongside him. The reign of Seti I saw the renewal of a long period of conquests and Egyptian rule in the land of Canaan. This was not the first instance of Egyptian rule in the land of Israel </w:t>
      </w:r>
      <w:r w:rsidR="00E0670B">
        <w:rPr>
          <w:rFonts w:asciiTheme="minorBidi" w:eastAsia="Arial Unicode MS" w:hAnsiTheme="minorBidi"/>
          <w:sz w:val="24"/>
          <w:szCs w:val="24"/>
        </w:rPr>
        <w:t>and its neighboring lands, but this was the start of a new period of Egyptian hegemony in the land of Israel and Syria following a period of decline. Seti I, who ruled for sixteen years, achieved great things on behalf of Egypt in the land of Israel.</w:t>
      </w:r>
    </w:p>
    <w:p w:rsidR="00E0670B" w:rsidRDefault="00E0670B" w:rsidP="00C24F73">
      <w:pPr>
        <w:spacing w:after="0" w:line="240" w:lineRule="auto"/>
        <w:jc w:val="both"/>
        <w:rPr>
          <w:rFonts w:asciiTheme="minorBidi" w:eastAsia="Arial Unicode MS" w:hAnsiTheme="minorBidi"/>
          <w:sz w:val="24"/>
          <w:szCs w:val="24"/>
        </w:rPr>
      </w:pPr>
    </w:p>
    <w:p w:rsidR="00E0670B" w:rsidRDefault="00E0670B" w:rsidP="00C24F73">
      <w:pPr>
        <w:spacing w:after="0" w:line="240" w:lineRule="auto"/>
        <w:jc w:val="both"/>
        <w:rPr>
          <w:rFonts w:asciiTheme="minorBidi" w:eastAsia="Arial Unicode MS" w:hAnsiTheme="minorBidi"/>
          <w:sz w:val="24"/>
          <w:szCs w:val="24"/>
        </w:rPr>
      </w:pPr>
      <w:r>
        <w:rPr>
          <w:rFonts w:asciiTheme="minorBidi" w:eastAsia="Arial Unicode MS" w:hAnsiTheme="minorBidi"/>
          <w:sz w:val="24"/>
          <w:szCs w:val="24"/>
        </w:rPr>
        <w:tab/>
        <w:t xml:space="preserve">The most interesting man of all the pharaohs who took the name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was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II, who followed Seti I. Known as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the Great,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II is </w:t>
      </w:r>
      <w:r w:rsidR="002C4D84">
        <w:rPr>
          <w:rFonts w:asciiTheme="minorBidi" w:eastAsia="Arial Unicode MS" w:hAnsiTheme="minorBidi"/>
          <w:sz w:val="24"/>
          <w:szCs w:val="24"/>
        </w:rPr>
        <w:t xml:space="preserve">likely </w:t>
      </w:r>
      <w:r>
        <w:rPr>
          <w:rFonts w:asciiTheme="minorBidi" w:eastAsia="Arial Unicode MS" w:hAnsiTheme="minorBidi"/>
          <w:sz w:val="24"/>
          <w:szCs w:val="24"/>
        </w:rPr>
        <w:t xml:space="preserve">the </w:t>
      </w:r>
      <w:r w:rsidR="002C4D84">
        <w:rPr>
          <w:rFonts w:asciiTheme="minorBidi" w:eastAsia="Arial Unicode MS" w:hAnsiTheme="minorBidi"/>
          <w:sz w:val="24"/>
          <w:szCs w:val="24"/>
        </w:rPr>
        <w:t>most celebrated</w:t>
      </w:r>
      <w:r>
        <w:rPr>
          <w:rFonts w:asciiTheme="minorBidi" w:eastAsia="Arial Unicode MS" w:hAnsiTheme="minorBidi"/>
          <w:sz w:val="24"/>
          <w:szCs w:val="24"/>
        </w:rPr>
        <w:t xml:space="preserve"> pharaoh in Egyptian history. First, he ruled for sixty-seven years – longer than any other pharaoh.</w:t>
      </w:r>
      <w:r w:rsidR="005C2988">
        <w:rPr>
          <w:rFonts w:asciiTheme="minorBidi" w:eastAsia="Arial Unicode MS" w:hAnsiTheme="minorBidi"/>
          <w:sz w:val="24"/>
          <w:szCs w:val="24"/>
        </w:rPr>
        <w:t xml:space="preserve"> Such a </w:t>
      </w:r>
      <w:r w:rsidR="005C2988">
        <w:rPr>
          <w:rFonts w:asciiTheme="minorBidi" w:eastAsia="Arial Unicode MS" w:hAnsiTheme="minorBidi"/>
          <w:sz w:val="24"/>
          <w:szCs w:val="24"/>
        </w:rPr>
        <w:lastRenderedPageBreak/>
        <w:t xml:space="preserve">lengthy reign may have been difficult for us to believe, if not for the existence of similarly long-reigning monarchs in modern times, such as Queen Victoria of </w:t>
      </w:r>
      <w:r w:rsidR="0005334B">
        <w:rPr>
          <w:rFonts w:asciiTheme="minorBidi" w:eastAsia="Arial Unicode MS" w:hAnsiTheme="minorBidi"/>
          <w:sz w:val="24"/>
          <w:szCs w:val="24"/>
        </w:rPr>
        <w:t xml:space="preserve">the United Kingdom and Emperor Hirohito of Japan. There are even a few currently-reigning monarchs, such as Queen Elizabeth II, who have reigned for over sixty years. </w:t>
      </w:r>
    </w:p>
    <w:p w:rsidR="0005334B" w:rsidRDefault="0005334B" w:rsidP="00C24F73">
      <w:pPr>
        <w:spacing w:after="0" w:line="240" w:lineRule="auto"/>
        <w:jc w:val="both"/>
        <w:rPr>
          <w:rFonts w:asciiTheme="minorBidi" w:eastAsia="Arial Unicode MS" w:hAnsiTheme="minorBidi"/>
          <w:sz w:val="24"/>
          <w:szCs w:val="24"/>
        </w:rPr>
      </w:pPr>
    </w:p>
    <w:p w:rsidR="0005334B" w:rsidRDefault="0005334B" w:rsidP="00C24F73">
      <w:pPr>
        <w:spacing w:after="0" w:line="240" w:lineRule="auto"/>
        <w:jc w:val="both"/>
        <w:rPr>
          <w:rFonts w:asciiTheme="minorBidi" w:eastAsia="Arial Unicode MS" w:hAnsiTheme="minorBidi"/>
          <w:sz w:val="24"/>
          <w:szCs w:val="24"/>
        </w:rPr>
      </w:pPr>
      <w:r>
        <w:rPr>
          <w:rFonts w:asciiTheme="minorBidi" w:eastAsia="Arial Unicode MS" w:hAnsiTheme="minorBidi"/>
          <w:sz w:val="24"/>
          <w:szCs w:val="24"/>
        </w:rPr>
        <w:tab/>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II began his reign at a young age, and ruled until he was an elderly man. He was a strong and forceful ruler, waging great wars and building extensively throughout the region. The first half of his reign was marked by </w:t>
      </w:r>
      <w:r w:rsidR="00DB22BE">
        <w:rPr>
          <w:rFonts w:asciiTheme="minorBidi" w:eastAsia="Arial Unicode MS" w:hAnsiTheme="minorBidi"/>
          <w:sz w:val="24"/>
          <w:szCs w:val="24"/>
        </w:rPr>
        <w:t xml:space="preserve">great military conquests. </w:t>
      </w:r>
      <w:r w:rsidR="00793664">
        <w:rPr>
          <w:rFonts w:asciiTheme="minorBidi" w:eastAsia="Arial Unicode MS" w:hAnsiTheme="minorBidi"/>
          <w:sz w:val="24"/>
          <w:szCs w:val="24"/>
        </w:rPr>
        <w:t>Ramesses</w:t>
      </w:r>
      <w:r w:rsidR="00DB22BE">
        <w:rPr>
          <w:rFonts w:asciiTheme="minorBidi" w:eastAsia="Arial Unicode MS" w:hAnsiTheme="minorBidi"/>
          <w:sz w:val="24"/>
          <w:szCs w:val="24"/>
        </w:rPr>
        <w:t xml:space="preserve"> recorded on the walls of temples and palaces more conquest</w:t>
      </w:r>
      <w:r w:rsidR="00900F17">
        <w:rPr>
          <w:rFonts w:asciiTheme="minorBidi" w:eastAsia="Arial Unicode MS" w:hAnsiTheme="minorBidi"/>
          <w:sz w:val="24"/>
          <w:szCs w:val="24"/>
        </w:rPr>
        <w:t xml:space="preserve"> list</w:t>
      </w:r>
      <w:r w:rsidR="00DB22BE">
        <w:rPr>
          <w:rFonts w:asciiTheme="minorBidi" w:eastAsia="Arial Unicode MS" w:hAnsiTheme="minorBidi"/>
          <w:sz w:val="24"/>
          <w:szCs w:val="24"/>
        </w:rPr>
        <w:t xml:space="preserve">s in the land of Canaan and its surroundings than any other monarch. He also undertook numerous building projects, primarily in the second half of his reign. Among </w:t>
      </w:r>
      <w:r w:rsidR="00793664">
        <w:rPr>
          <w:rFonts w:asciiTheme="minorBidi" w:eastAsia="Arial Unicode MS" w:hAnsiTheme="minorBidi"/>
          <w:sz w:val="24"/>
          <w:szCs w:val="24"/>
        </w:rPr>
        <w:t>Ramesses</w:t>
      </w:r>
      <w:r w:rsidR="00BC08EB">
        <w:rPr>
          <w:rFonts w:asciiTheme="minorBidi" w:eastAsia="Arial Unicode MS" w:hAnsiTheme="minorBidi"/>
          <w:sz w:val="24"/>
          <w:szCs w:val="24"/>
        </w:rPr>
        <w:t xml:space="preserve">’ </w:t>
      </w:r>
      <w:r w:rsidR="00DB22BE">
        <w:rPr>
          <w:rFonts w:asciiTheme="minorBidi" w:eastAsia="Arial Unicode MS" w:hAnsiTheme="minorBidi"/>
          <w:sz w:val="24"/>
          <w:szCs w:val="24"/>
        </w:rPr>
        <w:t xml:space="preserve">many building achievements, one stands out in several Egyptian records: the construction of a city in </w:t>
      </w:r>
      <w:r w:rsidR="00BC08EB">
        <w:rPr>
          <w:rFonts w:asciiTheme="minorBidi" w:eastAsia="Arial Unicode MS" w:hAnsiTheme="minorBidi"/>
          <w:sz w:val="24"/>
          <w:szCs w:val="24"/>
        </w:rPr>
        <w:t>his honor called P</w:t>
      </w:r>
      <w:r w:rsidR="0078232D">
        <w:rPr>
          <w:rFonts w:asciiTheme="minorBidi" w:eastAsia="Arial Unicode MS" w:hAnsiTheme="minorBidi"/>
          <w:sz w:val="24"/>
          <w:szCs w:val="24"/>
        </w:rPr>
        <w:t>er</w:t>
      </w:r>
      <w:r w:rsidR="00BC08EB">
        <w:rPr>
          <w:rFonts w:asciiTheme="minorBidi" w:eastAsia="Arial Unicode MS" w:hAnsiTheme="minorBidi"/>
          <w:sz w:val="24"/>
          <w:szCs w:val="24"/>
        </w:rPr>
        <w:t>-</w:t>
      </w:r>
      <w:r w:rsidR="00793664">
        <w:rPr>
          <w:rFonts w:asciiTheme="minorBidi" w:eastAsia="Arial Unicode MS" w:hAnsiTheme="minorBidi"/>
          <w:sz w:val="24"/>
          <w:szCs w:val="24"/>
        </w:rPr>
        <w:t>Ramesses</w:t>
      </w:r>
      <w:r w:rsidR="00BC08EB">
        <w:rPr>
          <w:rFonts w:asciiTheme="minorBidi" w:eastAsia="Arial Unicode MS" w:hAnsiTheme="minorBidi"/>
          <w:sz w:val="24"/>
          <w:szCs w:val="24"/>
        </w:rPr>
        <w:t>, or “</w:t>
      </w:r>
      <w:r w:rsidR="006D76F7">
        <w:rPr>
          <w:rFonts w:asciiTheme="minorBidi" w:eastAsia="Arial Unicode MS" w:hAnsiTheme="minorBidi"/>
          <w:sz w:val="24"/>
          <w:szCs w:val="24"/>
        </w:rPr>
        <w:t xml:space="preserve">the </w:t>
      </w:r>
      <w:r w:rsidR="00BC08EB">
        <w:rPr>
          <w:rFonts w:asciiTheme="minorBidi" w:eastAsia="Arial Unicode MS" w:hAnsiTheme="minorBidi"/>
          <w:sz w:val="24"/>
          <w:szCs w:val="24"/>
        </w:rPr>
        <w:t xml:space="preserve">House of </w:t>
      </w:r>
      <w:r w:rsidR="00793664">
        <w:rPr>
          <w:rFonts w:asciiTheme="minorBidi" w:eastAsia="Arial Unicode MS" w:hAnsiTheme="minorBidi"/>
          <w:sz w:val="24"/>
          <w:szCs w:val="24"/>
        </w:rPr>
        <w:t>Ramesses</w:t>
      </w:r>
      <w:r w:rsidR="00BC08EB">
        <w:rPr>
          <w:rFonts w:asciiTheme="minorBidi" w:eastAsia="Arial Unicode MS" w:hAnsiTheme="minorBidi"/>
          <w:sz w:val="24"/>
          <w:szCs w:val="24"/>
        </w:rPr>
        <w:t>”.</w:t>
      </w:r>
      <w:r w:rsidR="00BC08EB">
        <w:rPr>
          <w:rStyle w:val="ac"/>
          <w:rFonts w:asciiTheme="minorBidi" w:eastAsia="Arial Unicode MS" w:hAnsiTheme="minorBidi"/>
          <w:sz w:val="24"/>
          <w:szCs w:val="24"/>
        </w:rPr>
        <w:footnoteReference w:id="4"/>
      </w:r>
    </w:p>
    <w:p w:rsidR="00BC08EB" w:rsidRDefault="00BC08EB" w:rsidP="00C24F73">
      <w:pPr>
        <w:spacing w:after="0" w:line="240" w:lineRule="auto"/>
        <w:jc w:val="both"/>
        <w:rPr>
          <w:rFonts w:asciiTheme="minorBidi" w:eastAsia="Arial Unicode MS" w:hAnsiTheme="minorBidi"/>
          <w:sz w:val="24"/>
          <w:szCs w:val="24"/>
        </w:rPr>
      </w:pPr>
    </w:p>
    <w:p w:rsidR="00BC08EB" w:rsidRDefault="00BC08EB" w:rsidP="00C24F73">
      <w:pPr>
        <w:spacing w:after="0" w:line="240" w:lineRule="auto"/>
        <w:jc w:val="both"/>
        <w:rPr>
          <w:rFonts w:asciiTheme="minorBidi" w:eastAsia="Arial Unicode MS" w:hAnsiTheme="minorBidi"/>
          <w:sz w:val="24"/>
          <w:szCs w:val="24"/>
        </w:rPr>
      </w:pPr>
      <w:r>
        <w:rPr>
          <w:rFonts w:asciiTheme="minorBidi" w:eastAsia="Arial Unicode MS" w:hAnsiTheme="minorBidi"/>
          <w:sz w:val="24"/>
          <w:szCs w:val="24"/>
        </w:rPr>
        <w:tab/>
        <w:t xml:space="preserve">Following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II, many other pharaohs took on the name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The most important of these pharaohs was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III of the Twentieth Dynasty.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III was followed by a list of additional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es who were not particularly historically significant, and during whose reigns Egypt no longer ruled over foreign lands. The last of these pharaohs was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XI, who ruled in the early eleventh century BCE. In all, Egypt was ruled by a pharaoh named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for a total of 230 years.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II was not only the greatest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who ruled Egypt, but also the greatest pharaoh in all of Egyptian history. </w:t>
      </w:r>
      <w:r w:rsidR="002C4D84">
        <w:rPr>
          <w:rFonts w:asciiTheme="minorBidi" w:eastAsia="Arial Unicode MS" w:hAnsiTheme="minorBidi"/>
          <w:sz w:val="24"/>
          <w:szCs w:val="24"/>
        </w:rPr>
        <w:t xml:space="preserve">He reigned for most of the thirteenth century BCE. There is some disagreement among scholars regarding the precise years of his reign, but it is clear that it began around 1300-1290 BCE and ended around 1230-1220 BCE, an extremely long period of rule for the strongest and most powerful pharaoh of all time. Furthermore, the reign of </w:t>
      </w:r>
      <w:r w:rsidR="00793664">
        <w:rPr>
          <w:rFonts w:asciiTheme="minorBidi" w:eastAsia="Arial Unicode MS" w:hAnsiTheme="minorBidi"/>
          <w:sz w:val="24"/>
          <w:szCs w:val="24"/>
        </w:rPr>
        <w:t>Ramesses</w:t>
      </w:r>
      <w:r w:rsidR="002C4D84">
        <w:rPr>
          <w:rFonts w:asciiTheme="minorBidi" w:eastAsia="Arial Unicode MS" w:hAnsiTheme="minorBidi"/>
          <w:sz w:val="24"/>
          <w:szCs w:val="24"/>
        </w:rPr>
        <w:t xml:space="preserve"> II is considered a kind of watershed moment in Egyptian history: There is the Classical period and there is the Ramesside period. </w:t>
      </w:r>
      <w:r w:rsidR="006D76F7">
        <w:rPr>
          <w:rFonts w:asciiTheme="minorBidi" w:eastAsia="Arial Unicode MS" w:hAnsiTheme="minorBidi"/>
          <w:sz w:val="24"/>
          <w:szCs w:val="24"/>
        </w:rPr>
        <w:t>His reign even had an impact on the Egyptian language; there is a Ramesside dialect that has its own unique facets and nuances.</w:t>
      </w:r>
    </w:p>
    <w:p w:rsidR="006D76F7" w:rsidRDefault="006D76F7" w:rsidP="00C24F73">
      <w:pPr>
        <w:spacing w:after="0" w:line="240" w:lineRule="auto"/>
        <w:jc w:val="both"/>
        <w:rPr>
          <w:rFonts w:asciiTheme="minorBidi" w:eastAsia="Arial Unicode MS" w:hAnsiTheme="minorBidi"/>
          <w:sz w:val="24"/>
          <w:szCs w:val="24"/>
        </w:rPr>
      </w:pPr>
    </w:p>
    <w:p w:rsidR="002B72AA" w:rsidRDefault="002B72AA" w:rsidP="00C24F73">
      <w:pPr>
        <w:keepNext/>
        <w:spacing w:after="0" w:line="240" w:lineRule="auto"/>
        <w:jc w:val="center"/>
      </w:pPr>
      <w:r>
        <w:rPr>
          <w:rFonts w:asciiTheme="minorBidi" w:eastAsia="Arial Unicode MS" w:hAnsiTheme="minorBidi"/>
          <w:noProof/>
          <w:sz w:val="24"/>
          <w:szCs w:val="24"/>
        </w:rPr>
        <w:lastRenderedPageBreak/>
        <w:drawing>
          <wp:inline distT="0" distB="0" distL="0" distR="0" wp14:anchorId="337C8972" wp14:editId="4BB19F33">
            <wp:extent cx="3421919" cy="5443870"/>
            <wp:effectExtent l="19050" t="0" r="7081" b="0"/>
            <wp:docPr id="2" name="Picture 1" descr="איור צבעוני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צבעוני 8.jpg"/>
                    <pic:cNvPicPr/>
                  </pic:nvPicPr>
                  <pic:blipFill>
                    <a:blip r:embed="rId9" cstate="print"/>
                    <a:stretch>
                      <a:fillRect/>
                    </a:stretch>
                  </pic:blipFill>
                  <pic:spPr>
                    <a:xfrm>
                      <a:off x="0" y="0"/>
                      <a:ext cx="3424794" cy="5448444"/>
                    </a:xfrm>
                    <a:prstGeom prst="rect">
                      <a:avLst/>
                    </a:prstGeom>
                  </pic:spPr>
                </pic:pic>
              </a:graphicData>
            </a:graphic>
          </wp:inline>
        </w:drawing>
      </w:r>
    </w:p>
    <w:p w:rsidR="00CD3CA4" w:rsidRPr="00C24F73" w:rsidRDefault="002B72AA" w:rsidP="00C24F73">
      <w:pPr>
        <w:pStyle w:val="af3"/>
        <w:spacing w:after="0"/>
        <w:jc w:val="center"/>
        <w:rPr>
          <w:rFonts w:asciiTheme="minorBidi" w:eastAsia="Arial Unicode MS" w:hAnsiTheme="minorBidi"/>
          <w:sz w:val="20"/>
          <w:szCs w:val="20"/>
        </w:rPr>
      </w:pPr>
      <w:r>
        <w:rPr>
          <w:rFonts w:asciiTheme="minorBidi" w:eastAsia="Arial Unicode MS" w:hAnsiTheme="minorBidi"/>
          <w:b w:val="0"/>
          <w:bCs w:val="0"/>
          <w:color w:val="auto"/>
          <w:sz w:val="20"/>
          <w:szCs w:val="20"/>
        </w:rPr>
        <w:t>Ramesses II – the pharaoh of the enslavement and the Exodus according to the most common approach (Z. Radovan)</w:t>
      </w:r>
    </w:p>
    <w:p w:rsidR="00CD3CA4" w:rsidRDefault="00CD3CA4" w:rsidP="00C24F73">
      <w:pPr>
        <w:spacing w:after="0" w:line="240" w:lineRule="auto"/>
        <w:jc w:val="center"/>
        <w:rPr>
          <w:rFonts w:asciiTheme="minorBidi" w:eastAsia="Arial Unicode MS" w:hAnsiTheme="minorBidi"/>
          <w:sz w:val="24"/>
          <w:szCs w:val="24"/>
        </w:rPr>
      </w:pPr>
    </w:p>
    <w:p w:rsidR="006D76F7" w:rsidRDefault="006D76F7" w:rsidP="00C24F73">
      <w:pPr>
        <w:spacing w:after="0" w:line="240" w:lineRule="auto"/>
        <w:jc w:val="both"/>
        <w:rPr>
          <w:rFonts w:asciiTheme="minorBidi" w:eastAsia="Arial Unicode MS" w:hAnsiTheme="minorBidi"/>
          <w:sz w:val="24"/>
          <w:szCs w:val="24"/>
        </w:rPr>
      </w:pPr>
      <w:r>
        <w:rPr>
          <w:rFonts w:asciiTheme="minorBidi" w:eastAsia="Arial Unicode MS" w:hAnsiTheme="minorBidi"/>
          <w:sz w:val="24"/>
          <w:szCs w:val="24"/>
        </w:rPr>
        <w:tab/>
        <w:t xml:space="preserve">The parallel between the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who appears in Egyptian sources and the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who appears in </w:t>
      </w:r>
      <w:r>
        <w:rPr>
          <w:rFonts w:asciiTheme="minorBidi" w:eastAsia="Arial Unicode MS" w:hAnsiTheme="minorBidi"/>
          <w:i/>
          <w:iCs/>
          <w:sz w:val="24"/>
          <w:szCs w:val="24"/>
        </w:rPr>
        <w:t>Tanakh</w:t>
      </w:r>
      <w:r>
        <w:rPr>
          <w:rFonts w:asciiTheme="minorBidi" w:eastAsia="Arial Unicode MS" w:hAnsiTheme="minorBidi"/>
          <w:sz w:val="24"/>
          <w:szCs w:val="24"/>
        </w:rPr>
        <w:t xml:space="preserve"> drew the attention of scholars. Many scholars assumed that if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II reported that he built a city in his honor called “the House of </w:t>
      </w:r>
      <w:r w:rsidR="00793664">
        <w:rPr>
          <w:rFonts w:asciiTheme="minorBidi" w:eastAsia="Arial Unicode MS" w:hAnsiTheme="minorBidi"/>
          <w:sz w:val="24"/>
          <w:szCs w:val="24"/>
        </w:rPr>
        <w:t>Ramesses</w:t>
      </w:r>
      <w:r>
        <w:rPr>
          <w:rFonts w:asciiTheme="minorBidi" w:eastAsia="Arial Unicode MS" w:hAnsiTheme="minorBidi"/>
          <w:sz w:val="24"/>
          <w:szCs w:val="24"/>
        </w:rPr>
        <w:t>,” this certainly fits the Torah’s description in the verse, “</w:t>
      </w:r>
      <w:r>
        <w:rPr>
          <w:rFonts w:asciiTheme="minorBidi" w:hAnsiTheme="minorBidi"/>
          <w:sz w:val="24"/>
          <w:szCs w:val="24"/>
        </w:rPr>
        <w:t xml:space="preserve">And they built garrison cities for Pharaoh; Pithom and </w:t>
      </w:r>
      <w:r w:rsidR="00793664">
        <w:rPr>
          <w:rFonts w:asciiTheme="minorBidi" w:hAnsiTheme="minorBidi"/>
          <w:sz w:val="24"/>
          <w:szCs w:val="24"/>
        </w:rPr>
        <w:t>Ramesses</w:t>
      </w:r>
      <w:r>
        <w:rPr>
          <w:rFonts w:asciiTheme="minorBidi" w:hAnsiTheme="minorBidi"/>
          <w:sz w:val="24"/>
          <w:szCs w:val="24"/>
        </w:rPr>
        <w:t>.”</w:t>
      </w:r>
      <w:r>
        <w:rPr>
          <w:rStyle w:val="ac"/>
          <w:rFonts w:asciiTheme="minorBidi" w:hAnsiTheme="minorBidi"/>
          <w:sz w:val="24"/>
          <w:szCs w:val="24"/>
        </w:rPr>
        <w:footnoteReference w:id="5"/>
      </w:r>
      <w:r>
        <w:rPr>
          <w:rFonts w:asciiTheme="minorBidi" w:hAnsiTheme="minorBidi"/>
          <w:sz w:val="24"/>
          <w:szCs w:val="24"/>
        </w:rPr>
        <w:t xml:space="preserve"> Thus, this notion has become </w:t>
      </w:r>
      <w:r>
        <w:rPr>
          <w:rFonts w:asciiTheme="minorBidi" w:eastAsia="Arial Unicode MS" w:hAnsiTheme="minorBidi"/>
          <w:sz w:val="24"/>
          <w:szCs w:val="24"/>
        </w:rPr>
        <w:t xml:space="preserve">very accepted, including in many historical atlases and encyclopedias, which state unequivocally that </w:t>
      </w:r>
      <w:r w:rsidR="00793664">
        <w:rPr>
          <w:rFonts w:asciiTheme="minorBidi" w:eastAsia="Arial Unicode MS" w:hAnsiTheme="minorBidi"/>
          <w:sz w:val="24"/>
          <w:szCs w:val="24"/>
        </w:rPr>
        <w:t>Ramesses</w:t>
      </w:r>
      <w:r>
        <w:rPr>
          <w:rFonts w:asciiTheme="minorBidi" w:eastAsia="Arial Unicode MS" w:hAnsiTheme="minorBidi"/>
          <w:sz w:val="24"/>
          <w:szCs w:val="24"/>
        </w:rPr>
        <w:t xml:space="preserve"> II was the pharaoh who enslaved the people of Israel and during whose reign the Exodus occurred.</w:t>
      </w:r>
    </w:p>
    <w:p w:rsidR="006D76F7" w:rsidRDefault="006D76F7" w:rsidP="00C24F73">
      <w:pPr>
        <w:spacing w:after="0" w:line="240" w:lineRule="auto"/>
        <w:jc w:val="both"/>
        <w:rPr>
          <w:rFonts w:asciiTheme="minorBidi" w:eastAsia="Arial Unicode MS" w:hAnsiTheme="minorBidi"/>
          <w:sz w:val="24"/>
          <w:szCs w:val="24"/>
        </w:rPr>
      </w:pPr>
    </w:p>
    <w:p w:rsidR="006D76F7" w:rsidRDefault="006D76F7" w:rsidP="00C24F73">
      <w:pPr>
        <w:spacing w:after="0" w:line="240" w:lineRule="auto"/>
        <w:jc w:val="both"/>
        <w:rPr>
          <w:rFonts w:asciiTheme="minorBidi" w:eastAsia="Arial Unicode MS" w:hAnsiTheme="minorBidi"/>
          <w:b/>
          <w:bCs/>
          <w:sz w:val="24"/>
          <w:szCs w:val="24"/>
        </w:rPr>
      </w:pPr>
      <w:r>
        <w:rPr>
          <w:rFonts w:asciiTheme="minorBidi" w:eastAsia="Arial Unicode MS" w:hAnsiTheme="minorBidi"/>
          <w:b/>
          <w:bCs/>
          <w:sz w:val="24"/>
          <w:szCs w:val="24"/>
        </w:rPr>
        <w:t xml:space="preserve">The </w:t>
      </w:r>
      <w:r w:rsidR="00CB23DA">
        <w:rPr>
          <w:rFonts w:asciiTheme="minorBidi" w:eastAsia="Arial Unicode MS" w:hAnsiTheme="minorBidi"/>
          <w:b/>
          <w:bCs/>
          <w:i/>
          <w:iCs/>
          <w:sz w:val="24"/>
          <w:szCs w:val="24"/>
        </w:rPr>
        <w:t>Tanakh</w:t>
      </w:r>
      <w:r w:rsidR="00CB23DA">
        <w:rPr>
          <w:rFonts w:asciiTheme="minorBidi" w:eastAsia="Arial Unicode MS" w:hAnsiTheme="minorBidi"/>
          <w:b/>
          <w:bCs/>
          <w:sz w:val="24"/>
          <w:szCs w:val="24"/>
        </w:rPr>
        <w:t>’s</w:t>
      </w:r>
      <w:r w:rsidR="00CB23DA">
        <w:rPr>
          <w:rFonts w:asciiTheme="minorBidi" w:eastAsia="Arial Unicode MS" w:hAnsiTheme="minorBidi"/>
          <w:b/>
          <w:bCs/>
          <w:i/>
          <w:iCs/>
          <w:sz w:val="24"/>
          <w:szCs w:val="24"/>
        </w:rPr>
        <w:t xml:space="preserve"> </w:t>
      </w:r>
      <w:r>
        <w:rPr>
          <w:rFonts w:asciiTheme="minorBidi" w:eastAsia="Arial Unicode MS" w:hAnsiTheme="minorBidi"/>
          <w:b/>
          <w:bCs/>
          <w:sz w:val="24"/>
          <w:szCs w:val="24"/>
        </w:rPr>
        <w:t>Chronology</w:t>
      </w:r>
    </w:p>
    <w:p w:rsidR="006D76F7" w:rsidRPr="006D76F7" w:rsidRDefault="006D76F7" w:rsidP="00C24F73">
      <w:pPr>
        <w:spacing w:after="0" w:line="240" w:lineRule="auto"/>
        <w:jc w:val="both"/>
        <w:rPr>
          <w:rFonts w:asciiTheme="minorBidi" w:eastAsia="Arial Unicode MS" w:hAnsiTheme="minorBidi"/>
          <w:sz w:val="24"/>
          <w:szCs w:val="24"/>
        </w:rPr>
      </w:pPr>
      <w:r>
        <w:rPr>
          <w:rFonts w:asciiTheme="minorBidi" w:eastAsia="Arial Unicode MS" w:hAnsiTheme="minorBidi"/>
          <w:sz w:val="24"/>
          <w:szCs w:val="24"/>
        </w:rPr>
        <w:t xml:space="preserve"> </w:t>
      </w:r>
    </w:p>
    <w:p w:rsidR="00892F0E" w:rsidRDefault="006D76F7" w:rsidP="00C24F73">
      <w:pPr>
        <w:spacing w:after="0" w:line="240" w:lineRule="auto"/>
        <w:jc w:val="both"/>
        <w:rPr>
          <w:rFonts w:asciiTheme="minorBidi" w:hAnsiTheme="minorBidi"/>
          <w:sz w:val="24"/>
          <w:szCs w:val="24"/>
        </w:rPr>
      </w:pPr>
      <w:r>
        <w:rPr>
          <w:rFonts w:asciiTheme="minorBidi" w:hAnsiTheme="minorBidi"/>
          <w:sz w:val="24"/>
          <w:szCs w:val="24"/>
        </w:rPr>
        <w:lastRenderedPageBreak/>
        <w:tab/>
      </w:r>
      <w:r w:rsidR="00CB23DA">
        <w:rPr>
          <w:rFonts w:asciiTheme="minorBidi" w:hAnsiTheme="minorBidi"/>
          <w:sz w:val="24"/>
          <w:szCs w:val="24"/>
        </w:rPr>
        <w:t xml:space="preserve">The historical debate on this topic is beyond the scope of this discussion, so I will suffice in saying briefly that this notion simply does not fit with the chronology that the </w:t>
      </w:r>
      <w:r w:rsidR="00CB23DA">
        <w:rPr>
          <w:rFonts w:asciiTheme="minorBidi" w:hAnsiTheme="minorBidi"/>
          <w:i/>
          <w:iCs/>
          <w:sz w:val="24"/>
          <w:szCs w:val="24"/>
        </w:rPr>
        <w:t xml:space="preserve">Tanakh </w:t>
      </w:r>
      <w:r w:rsidR="00CB23DA">
        <w:rPr>
          <w:rFonts w:asciiTheme="minorBidi" w:hAnsiTheme="minorBidi"/>
          <w:sz w:val="24"/>
          <w:szCs w:val="24"/>
        </w:rPr>
        <w:t xml:space="preserve">presents. According to the </w:t>
      </w:r>
      <w:r w:rsidR="00CB23DA">
        <w:rPr>
          <w:rFonts w:asciiTheme="minorBidi" w:hAnsiTheme="minorBidi"/>
          <w:i/>
          <w:iCs/>
          <w:sz w:val="24"/>
          <w:szCs w:val="24"/>
        </w:rPr>
        <w:t>Tanakh</w:t>
      </w:r>
      <w:r w:rsidR="00CB23DA">
        <w:rPr>
          <w:rFonts w:asciiTheme="minorBidi" w:hAnsiTheme="minorBidi"/>
          <w:sz w:val="24"/>
          <w:szCs w:val="24"/>
        </w:rPr>
        <w:t>, 480 years passed from the Exodus to the construction of the First Temple (I Kings 6:1), and there are other verses that indicate that about four hundred years passed between the conquest of Canaan and the time of David.</w:t>
      </w:r>
      <w:r w:rsidR="00CB23DA">
        <w:rPr>
          <w:rStyle w:val="ac"/>
          <w:rFonts w:asciiTheme="minorBidi" w:hAnsiTheme="minorBidi"/>
          <w:sz w:val="24"/>
          <w:szCs w:val="24"/>
        </w:rPr>
        <w:footnoteReference w:id="6"/>
      </w:r>
      <w:r w:rsidR="00053788">
        <w:rPr>
          <w:rFonts w:asciiTheme="minorBidi" w:hAnsiTheme="minorBidi"/>
          <w:sz w:val="24"/>
          <w:szCs w:val="24"/>
        </w:rPr>
        <w:t xml:space="preserve"> David and Solomon reigned in the tenth century BCE, meaning that the Exodus took place around 1450 BCE and the conquest of Canaan occurred around 1400 BCE. The identification of the pharaoh of the Exodus with </w:t>
      </w:r>
      <w:r w:rsidR="00793664">
        <w:rPr>
          <w:rFonts w:asciiTheme="minorBidi" w:hAnsiTheme="minorBidi"/>
          <w:sz w:val="24"/>
          <w:szCs w:val="24"/>
        </w:rPr>
        <w:t>Ramesses</w:t>
      </w:r>
      <w:r w:rsidR="00053788">
        <w:rPr>
          <w:rFonts w:asciiTheme="minorBidi" w:hAnsiTheme="minorBidi"/>
          <w:sz w:val="24"/>
          <w:szCs w:val="24"/>
        </w:rPr>
        <w:t xml:space="preserve"> II would effectively cut the period between the Exodus and the conquest of Canaan in two.</w:t>
      </w:r>
    </w:p>
    <w:p w:rsidR="00053788" w:rsidRDefault="00053788" w:rsidP="00C24F73">
      <w:pPr>
        <w:spacing w:after="0" w:line="240" w:lineRule="auto"/>
        <w:jc w:val="both"/>
        <w:rPr>
          <w:rFonts w:asciiTheme="minorBidi" w:hAnsiTheme="minorBidi"/>
          <w:sz w:val="24"/>
          <w:szCs w:val="24"/>
        </w:rPr>
      </w:pPr>
    </w:p>
    <w:p w:rsidR="00053788" w:rsidRDefault="00053788" w:rsidP="00C24F73">
      <w:pPr>
        <w:spacing w:after="0" w:line="240" w:lineRule="auto"/>
        <w:jc w:val="both"/>
        <w:rPr>
          <w:rFonts w:asciiTheme="minorBidi" w:hAnsiTheme="minorBidi"/>
          <w:sz w:val="24"/>
          <w:szCs w:val="24"/>
        </w:rPr>
      </w:pPr>
      <w:r>
        <w:rPr>
          <w:rFonts w:asciiTheme="minorBidi" w:hAnsiTheme="minorBidi"/>
          <w:sz w:val="24"/>
          <w:szCs w:val="24"/>
        </w:rPr>
        <w:tab/>
        <w:t xml:space="preserve">Since we cannot accept this modified chronology in light of the </w:t>
      </w:r>
      <w:r>
        <w:rPr>
          <w:rFonts w:asciiTheme="minorBidi" w:hAnsiTheme="minorBidi"/>
          <w:i/>
          <w:iCs/>
          <w:sz w:val="24"/>
          <w:szCs w:val="24"/>
        </w:rPr>
        <w:t>Tanakh</w:t>
      </w:r>
      <w:r>
        <w:rPr>
          <w:rFonts w:asciiTheme="minorBidi" w:hAnsiTheme="minorBidi"/>
          <w:sz w:val="24"/>
          <w:szCs w:val="24"/>
        </w:rPr>
        <w:t xml:space="preserve">’s account, we should resist the temptation to identify the pharaoh of the Exodus with </w:t>
      </w:r>
      <w:r w:rsidR="00793664">
        <w:rPr>
          <w:rFonts w:asciiTheme="minorBidi" w:hAnsiTheme="minorBidi"/>
          <w:sz w:val="24"/>
          <w:szCs w:val="24"/>
        </w:rPr>
        <w:t>Ramesses</w:t>
      </w:r>
      <w:r>
        <w:rPr>
          <w:rFonts w:asciiTheme="minorBidi" w:hAnsiTheme="minorBidi"/>
          <w:sz w:val="24"/>
          <w:szCs w:val="24"/>
        </w:rPr>
        <w:t xml:space="preserve"> II. The Torah refers to “the region of </w:t>
      </w:r>
      <w:r w:rsidR="00793664">
        <w:rPr>
          <w:rFonts w:asciiTheme="minorBidi" w:hAnsiTheme="minorBidi"/>
          <w:sz w:val="24"/>
          <w:szCs w:val="24"/>
        </w:rPr>
        <w:t>Ramesses</w:t>
      </w:r>
      <w:r>
        <w:rPr>
          <w:rFonts w:asciiTheme="minorBidi" w:hAnsiTheme="minorBidi"/>
          <w:sz w:val="24"/>
          <w:szCs w:val="24"/>
        </w:rPr>
        <w:t>” (Genesis 47:11)</w:t>
      </w:r>
      <w:r w:rsidR="005D2126">
        <w:rPr>
          <w:rFonts w:asciiTheme="minorBidi" w:hAnsiTheme="minorBidi"/>
          <w:sz w:val="24"/>
          <w:szCs w:val="24"/>
        </w:rPr>
        <w:t xml:space="preserve"> in the narrative of Joseph and his brothers, long before the enslavement. It seems that “the region of </w:t>
      </w:r>
      <w:r w:rsidR="00793664">
        <w:rPr>
          <w:rFonts w:asciiTheme="minorBidi" w:hAnsiTheme="minorBidi"/>
          <w:sz w:val="24"/>
          <w:szCs w:val="24"/>
        </w:rPr>
        <w:t>Ramesses</w:t>
      </w:r>
      <w:r w:rsidR="005D2126">
        <w:rPr>
          <w:rFonts w:asciiTheme="minorBidi" w:hAnsiTheme="minorBidi"/>
          <w:sz w:val="24"/>
          <w:szCs w:val="24"/>
        </w:rPr>
        <w:t xml:space="preserve">” and the city of </w:t>
      </w:r>
      <w:r w:rsidR="00793664">
        <w:rPr>
          <w:rFonts w:asciiTheme="minorBidi" w:hAnsiTheme="minorBidi"/>
          <w:sz w:val="24"/>
          <w:szCs w:val="24"/>
        </w:rPr>
        <w:t>Ramesses</w:t>
      </w:r>
      <w:r w:rsidR="005D2126">
        <w:rPr>
          <w:rFonts w:asciiTheme="minorBidi" w:hAnsiTheme="minorBidi"/>
          <w:sz w:val="24"/>
          <w:szCs w:val="24"/>
        </w:rPr>
        <w:t xml:space="preserve"> preceded the rulers who took on this name – and this should not surprise us. There is no linguistic evidence that suggests</w:t>
      </w:r>
      <w:r w:rsidR="00691837">
        <w:rPr>
          <w:rFonts w:asciiTheme="minorBidi" w:hAnsiTheme="minorBidi"/>
          <w:sz w:val="24"/>
          <w:szCs w:val="24"/>
        </w:rPr>
        <w:t xml:space="preserve"> that</w:t>
      </w:r>
      <w:r w:rsidR="005D2126">
        <w:rPr>
          <w:rFonts w:asciiTheme="minorBidi" w:hAnsiTheme="minorBidi"/>
          <w:sz w:val="24"/>
          <w:szCs w:val="24"/>
        </w:rPr>
        <w:t xml:space="preserve"> the use of the name </w:t>
      </w:r>
      <w:r w:rsidR="00793664">
        <w:rPr>
          <w:rFonts w:asciiTheme="minorBidi" w:hAnsiTheme="minorBidi"/>
          <w:sz w:val="24"/>
          <w:szCs w:val="24"/>
        </w:rPr>
        <w:t>Ramesses</w:t>
      </w:r>
      <w:r w:rsidR="005D2126">
        <w:rPr>
          <w:rFonts w:asciiTheme="minorBidi" w:hAnsiTheme="minorBidi"/>
          <w:sz w:val="24"/>
          <w:szCs w:val="24"/>
        </w:rPr>
        <w:t xml:space="preserve"> only began later. Apparently, the connection between the names is coincidental; according to the </w:t>
      </w:r>
      <w:r w:rsidR="005D2126">
        <w:rPr>
          <w:rFonts w:asciiTheme="minorBidi" w:hAnsiTheme="minorBidi"/>
          <w:i/>
          <w:iCs/>
          <w:sz w:val="24"/>
          <w:szCs w:val="24"/>
        </w:rPr>
        <w:t>Tanakh</w:t>
      </w:r>
      <w:r w:rsidR="005D2126">
        <w:rPr>
          <w:rFonts w:asciiTheme="minorBidi" w:hAnsiTheme="minorBidi"/>
          <w:sz w:val="24"/>
          <w:szCs w:val="24"/>
        </w:rPr>
        <w:t>’s chronology,</w:t>
      </w:r>
      <w:r w:rsidR="005D2126">
        <w:rPr>
          <w:rFonts w:asciiTheme="minorBidi" w:hAnsiTheme="minorBidi"/>
          <w:i/>
          <w:iCs/>
          <w:sz w:val="24"/>
          <w:szCs w:val="24"/>
        </w:rPr>
        <w:t xml:space="preserve"> </w:t>
      </w:r>
      <w:r w:rsidR="005D2126">
        <w:rPr>
          <w:rFonts w:asciiTheme="minorBidi" w:hAnsiTheme="minorBidi"/>
          <w:sz w:val="24"/>
          <w:szCs w:val="24"/>
        </w:rPr>
        <w:t xml:space="preserve">the great accomplishments of </w:t>
      </w:r>
      <w:r w:rsidR="00793664">
        <w:rPr>
          <w:rFonts w:asciiTheme="minorBidi" w:hAnsiTheme="minorBidi"/>
          <w:sz w:val="24"/>
          <w:szCs w:val="24"/>
        </w:rPr>
        <w:t>Ramesses</w:t>
      </w:r>
      <w:r w:rsidR="005D2126">
        <w:rPr>
          <w:rFonts w:asciiTheme="minorBidi" w:hAnsiTheme="minorBidi"/>
          <w:sz w:val="24"/>
          <w:szCs w:val="24"/>
        </w:rPr>
        <w:t xml:space="preserve"> II all took place during the period of the Judges, from the perspective of the people of Israel. The lists of cities conquered by Seti I and his son </w:t>
      </w:r>
      <w:r w:rsidR="00793664">
        <w:rPr>
          <w:rFonts w:asciiTheme="minorBidi" w:hAnsiTheme="minorBidi"/>
          <w:sz w:val="24"/>
          <w:szCs w:val="24"/>
        </w:rPr>
        <w:t>Ramesses</w:t>
      </w:r>
      <w:r w:rsidR="005D2126">
        <w:rPr>
          <w:rFonts w:asciiTheme="minorBidi" w:hAnsiTheme="minorBidi"/>
          <w:sz w:val="24"/>
          <w:szCs w:val="24"/>
        </w:rPr>
        <w:t xml:space="preserve"> II in the land of Israel generally include towns</w:t>
      </w:r>
      <w:r w:rsidR="0025460D">
        <w:rPr>
          <w:rFonts w:asciiTheme="minorBidi" w:hAnsiTheme="minorBidi"/>
          <w:sz w:val="24"/>
          <w:szCs w:val="24"/>
        </w:rPr>
        <w:t xml:space="preserve"> along the coast and in the Jordan Rift Valley, in particular the towns that were situated along the </w:t>
      </w:r>
      <w:r w:rsidR="000D3098">
        <w:rPr>
          <w:rFonts w:asciiTheme="minorBidi" w:hAnsiTheme="minorBidi"/>
          <w:sz w:val="24"/>
          <w:szCs w:val="24"/>
        </w:rPr>
        <w:t>“</w:t>
      </w:r>
      <w:r w:rsidR="00691837">
        <w:rPr>
          <w:rFonts w:asciiTheme="minorBidi" w:hAnsiTheme="minorBidi"/>
          <w:sz w:val="24"/>
          <w:szCs w:val="24"/>
        </w:rPr>
        <w:t>Via Maris</w:t>
      </w:r>
      <w:r w:rsidR="0025460D">
        <w:rPr>
          <w:rFonts w:asciiTheme="minorBidi" w:hAnsiTheme="minorBidi"/>
          <w:sz w:val="24"/>
          <w:szCs w:val="24"/>
        </w:rPr>
        <w:t xml:space="preserve">.” In other words, they conquered distinctly Canaanite regions </w:t>
      </w:r>
      <w:r w:rsidR="00044ACE">
        <w:rPr>
          <w:rFonts w:asciiTheme="minorBidi" w:hAnsiTheme="minorBidi"/>
          <w:sz w:val="24"/>
          <w:szCs w:val="24"/>
        </w:rPr>
        <w:t>whose inhabitants</w:t>
      </w:r>
      <w:r w:rsidR="0025460D">
        <w:rPr>
          <w:rFonts w:asciiTheme="minorBidi" w:hAnsiTheme="minorBidi"/>
          <w:sz w:val="24"/>
          <w:szCs w:val="24"/>
        </w:rPr>
        <w:t xml:space="preserve"> the people of Israel never </w:t>
      </w:r>
      <w:r w:rsidR="00044ACE">
        <w:rPr>
          <w:rFonts w:asciiTheme="minorBidi" w:hAnsiTheme="minorBidi"/>
          <w:sz w:val="24"/>
          <w:szCs w:val="24"/>
        </w:rPr>
        <w:t xml:space="preserve">dispossessed </w:t>
      </w:r>
      <w:r w:rsidR="0025460D">
        <w:rPr>
          <w:rFonts w:asciiTheme="minorBidi" w:hAnsiTheme="minorBidi"/>
          <w:sz w:val="24"/>
          <w:szCs w:val="24"/>
        </w:rPr>
        <w:t>throughout the period of the Judges. Apparently, the tribes of Israel, who lived irregularly in unwalled</w:t>
      </w:r>
      <w:r w:rsidR="00691837">
        <w:rPr>
          <w:rFonts w:asciiTheme="minorBidi" w:hAnsiTheme="minorBidi"/>
          <w:sz w:val="24"/>
          <w:szCs w:val="24"/>
        </w:rPr>
        <w:t xml:space="preserve"> localities</w:t>
      </w:r>
      <w:r w:rsidR="0025460D">
        <w:rPr>
          <w:rFonts w:asciiTheme="minorBidi" w:hAnsiTheme="minorBidi"/>
          <w:sz w:val="24"/>
          <w:szCs w:val="24"/>
        </w:rPr>
        <w:t xml:space="preserve"> throughout the</w:t>
      </w:r>
      <w:r w:rsidR="00691837">
        <w:rPr>
          <w:rFonts w:asciiTheme="minorBidi" w:hAnsiTheme="minorBidi"/>
          <w:sz w:val="24"/>
          <w:szCs w:val="24"/>
        </w:rPr>
        <w:t xml:space="preserve"> hilly and semi-arid regions of the</w:t>
      </w:r>
      <w:r w:rsidR="0025460D">
        <w:rPr>
          <w:rFonts w:asciiTheme="minorBidi" w:hAnsiTheme="minorBidi"/>
          <w:sz w:val="24"/>
          <w:szCs w:val="24"/>
        </w:rPr>
        <w:t xml:space="preserve"> land, were not</w:t>
      </w:r>
      <w:r w:rsidR="00691837">
        <w:rPr>
          <w:rFonts w:asciiTheme="minorBidi" w:hAnsiTheme="minorBidi"/>
          <w:sz w:val="24"/>
          <w:szCs w:val="24"/>
        </w:rPr>
        <w:t xml:space="preserve"> an appropriate target</w:t>
      </w:r>
      <w:r w:rsidR="005A5995">
        <w:rPr>
          <w:rFonts w:asciiTheme="minorBidi" w:hAnsiTheme="minorBidi"/>
          <w:sz w:val="24"/>
          <w:szCs w:val="24"/>
        </w:rPr>
        <w:t xml:space="preserve"> for the</w:t>
      </w:r>
      <w:r w:rsidR="0025460D">
        <w:rPr>
          <w:rFonts w:asciiTheme="minorBidi" w:hAnsiTheme="minorBidi"/>
          <w:sz w:val="24"/>
          <w:szCs w:val="24"/>
        </w:rPr>
        <w:t xml:space="preserve"> Egyptian conquerors, who were eager to seize </w:t>
      </w:r>
      <w:r w:rsidR="000D3098">
        <w:rPr>
          <w:rFonts w:asciiTheme="minorBidi" w:hAnsiTheme="minorBidi"/>
          <w:sz w:val="24"/>
          <w:szCs w:val="24"/>
        </w:rPr>
        <w:t>only</w:t>
      </w:r>
      <w:r w:rsidR="0025460D">
        <w:rPr>
          <w:rFonts w:asciiTheme="minorBidi" w:hAnsiTheme="minorBidi"/>
          <w:sz w:val="24"/>
          <w:szCs w:val="24"/>
        </w:rPr>
        <w:t xml:space="preserve"> valuable</w:t>
      </w:r>
      <w:r w:rsidR="005A5995">
        <w:rPr>
          <w:rFonts w:asciiTheme="minorBidi" w:hAnsiTheme="minorBidi"/>
          <w:sz w:val="24"/>
          <w:szCs w:val="24"/>
        </w:rPr>
        <w:t xml:space="preserve"> plunder</w:t>
      </w:r>
      <w:r w:rsidR="0025460D">
        <w:rPr>
          <w:rFonts w:asciiTheme="minorBidi" w:hAnsiTheme="minorBidi"/>
          <w:sz w:val="24"/>
          <w:szCs w:val="24"/>
        </w:rPr>
        <w:t xml:space="preserve">. Because of this, </w:t>
      </w:r>
      <w:r w:rsidR="00F945DC">
        <w:rPr>
          <w:rFonts w:asciiTheme="minorBidi" w:hAnsiTheme="minorBidi"/>
          <w:sz w:val="24"/>
          <w:szCs w:val="24"/>
        </w:rPr>
        <w:t xml:space="preserve">the people of Israel were not mentioned in the Egyptian military records and in the lists of their conquests. Rameses II’s heir Merneptah mentions Israel in </w:t>
      </w:r>
      <w:r w:rsidR="00E064B3">
        <w:rPr>
          <w:rFonts w:asciiTheme="minorBidi" w:hAnsiTheme="minorBidi"/>
          <w:sz w:val="24"/>
          <w:szCs w:val="24"/>
        </w:rPr>
        <w:t>his</w:t>
      </w:r>
      <w:r w:rsidR="00F945DC">
        <w:rPr>
          <w:rFonts w:asciiTheme="minorBidi" w:hAnsiTheme="minorBidi"/>
          <w:sz w:val="24"/>
          <w:szCs w:val="24"/>
        </w:rPr>
        <w:t xml:space="preserve"> victory </w:t>
      </w:r>
      <w:r w:rsidR="00E064B3">
        <w:rPr>
          <w:rFonts w:asciiTheme="minorBidi" w:hAnsiTheme="minorBidi"/>
          <w:sz w:val="24"/>
          <w:szCs w:val="24"/>
        </w:rPr>
        <w:t xml:space="preserve">stele, which </w:t>
      </w:r>
      <w:r w:rsidR="00F945DC">
        <w:rPr>
          <w:rFonts w:asciiTheme="minorBidi" w:hAnsiTheme="minorBidi"/>
          <w:sz w:val="24"/>
          <w:szCs w:val="24"/>
        </w:rPr>
        <w:t xml:space="preserve">he </w:t>
      </w:r>
      <w:r w:rsidR="00E064B3">
        <w:rPr>
          <w:rFonts w:asciiTheme="minorBidi" w:hAnsiTheme="minorBidi"/>
          <w:sz w:val="24"/>
          <w:szCs w:val="24"/>
        </w:rPr>
        <w:t>had carved</w:t>
      </w:r>
      <w:r w:rsidR="00F945DC">
        <w:rPr>
          <w:rFonts w:asciiTheme="minorBidi" w:hAnsiTheme="minorBidi"/>
          <w:sz w:val="24"/>
          <w:szCs w:val="24"/>
        </w:rPr>
        <w:t xml:space="preserve"> in the fifth year of his reign (circa 1220 BCE), along with Canaan and the Canaanite cities of Ashkelon, Gezer and Yenoam; this is the first extra-biblical source that mentions Israel.</w:t>
      </w:r>
    </w:p>
    <w:p w:rsidR="002B72AA" w:rsidRDefault="002B72AA" w:rsidP="00C24F73">
      <w:pPr>
        <w:spacing w:after="0" w:line="240" w:lineRule="auto"/>
        <w:jc w:val="both"/>
        <w:rPr>
          <w:rFonts w:asciiTheme="minorBidi" w:hAnsiTheme="minorBidi"/>
          <w:sz w:val="24"/>
          <w:szCs w:val="24"/>
        </w:rPr>
      </w:pPr>
    </w:p>
    <w:p w:rsidR="002B72AA" w:rsidRDefault="00973CDF" w:rsidP="00C24F73">
      <w:pPr>
        <w:spacing w:after="0" w:line="240" w:lineRule="auto"/>
        <w:jc w:val="center"/>
        <w:rPr>
          <w:rFonts w:asciiTheme="minorBidi" w:hAnsiTheme="minorBidi"/>
          <w:sz w:val="24"/>
          <w:szCs w:val="24"/>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3095625</wp:posOffset>
                </wp:positionV>
                <wp:extent cx="5264785" cy="784225"/>
                <wp:effectExtent l="3810" t="0" r="0" b="0"/>
                <wp:wrapTight wrapText="bothSides">
                  <wp:wrapPolygon edited="0">
                    <wp:start x="-39" y="0"/>
                    <wp:lineTo x="-39" y="21075"/>
                    <wp:lineTo x="21600" y="21075"/>
                    <wp:lineTo x="21600" y="0"/>
                    <wp:lineTo x="-39"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785" cy="784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2AA" w:rsidRPr="00C24F73" w:rsidRDefault="002B72AA" w:rsidP="00C24F73">
                            <w:pPr>
                              <w:pStyle w:val="af3"/>
                              <w:spacing w:line="360" w:lineRule="auto"/>
                              <w:jc w:val="center"/>
                              <w:rPr>
                                <w:rFonts w:asciiTheme="minorBidi" w:hAnsiTheme="minorBidi"/>
                                <w:noProof/>
                                <w:sz w:val="20"/>
                                <w:szCs w:val="20"/>
                              </w:rPr>
                            </w:pPr>
                            <w:r>
                              <w:rPr>
                                <w:rFonts w:asciiTheme="minorBidi" w:hAnsiTheme="minorBidi"/>
                                <w:b w:val="0"/>
                                <w:bCs w:val="0"/>
                                <w:noProof/>
                                <w:color w:val="auto"/>
                                <w:sz w:val="20"/>
                                <w:szCs w:val="20"/>
                              </w:rPr>
                              <w:t>y-s-r-3-r “Israel” with the determinatives “nation” and “foreigners” in Merneptah’s stele (c. 1220 BCE) – source and decipherment. In this stele, Israel is mentioned together with Gezer and Ashkelon, both with the determinative “place in foreign land” (P. Lacau, 1909).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5pt;margin-top:243.75pt;width:414.55pt;height:6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" stroked="f">
                <v:textbox style="mso-fit-shape-to-text:t" inset="0,0,0,0">
                  <w:txbxContent>
                    <w:p w:rsidR="002B72AA" w:rsidRPr="00C24F73" w:rsidRDefault="002B72AA" w:rsidP="00C24F73">
                      <w:pPr>
                        <w:pStyle w:val="af3"/>
                        <w:spacing w:line="360" w:lineRule="auto"/>
                        <w:jc w:val="center"/>
                        <w:rPr>
                          <w:rFonts w:asciiTheme="minorBidi" w:hAnsiTheme="minorBidi"/>
                          <w:noProof/>
                          <w:sz w:val="20"/>
                          <w:szCs w:val="20"/>
                        </w:rPr>
                      </w:pPr>
                      <w:r>
                        <w:rPr>
                          <w:rFonts w:asciiTheme="minorBidi" w:hAnsiTheme="minorBidi"/>
                          <w:b w:val="0"/>
                          <w:bCs w:val="0"/>
                          <w:noProof/>
                          <w:color w:val="auto"/>
                          <w:sz w:val="20"/>
                          <w:szCs w:val="20"/>
                        </w:rPr>
                        <w:t>y-s-r-3-r “Israel” with the determinatives “nation” and “foreigners” in Merneptah’s stele (c. 1220 BCE) – source and decipherment. In this stele, Israel is mentioned together with Gezer and Ashkelon, both with the determinative “place in foreign land” (P. Lacau, 1909).</w:t>
                      </w:r>
                    </w:p>
                  </w:txbxContent>
                </v:textbox>
                <w10:wrap type="tight"/>
              </v:shape>
            </w:pict>
          </mc:Fallback>
        </mc:AlternateContent>
      </w:r>
      <w:r w:rsidR="002B72AA">
        <w:rPr>
          <w:rFonts w:asciiTheme="minorBidi" w:hAnsiTheme="minorBidi"/>
          <w:noProof/>
          <w:sz w:val="24"/>
          <w:szCs w:val="24"/>
        </w:rPr>
        <w:drawing>
          <wp:anchor distT="0" distB="0" distL="114300" distR="114300" simplePos="0" relativeHeight="251658240" behindDoc="1" locked="0" layoutInCell="1" allowOverlap="1" wp14:anchorId="7835379F" wp14:editId="2CA3D5A2">
            <wp:simplePos x="0" y="0"/>
            <wp:positionH relativeFrom="column">
              <wp:posOffset>13335</wp:posOffset>
            </wp:positionH>
            <wp:positionV relativeFrom="paragraph">
              <wp:posOffset>1443990</wp:posOffset>
            </wp:positionV>
            <wp:extent cx="5264785" cy="1594485"/>
            <wp:effectExtent l="19050" t="0" r="0" b="0"/>
            <wp:wrapTight wrapText="bothSides">
              <wp:wrapPolygon edited="0">
                <wp:start x="-78" y="0"/>
                <wp:lineTo x="-78" y="21419"/>
                <wp:lineTo x="21571" y="21419"/>
                <wp:lineTo x="21571" y="0"/>
                <wp:lineTo x="-78"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64785" cy="1594485"/>
                    </a:xfrm>
                    <a:prstGeom prst="rect">
                      <a:avLst/>
                    </a:prstGeom>
                    <a:noFill/>
                    <a:ln w="9525">
                      <a:noFill/>
                      <a:miter lim="800000"/>
                      <a:headEnd/>
                      <a:tailEnd/>
                    </a:ln>
                  </pic:spPr>
                </pic:pic>
              </a:graphicData>
            </a:graphic>
          </wp:anchor>
        </w:drawing>
      </w:r>
      <w:r w:rsidR="002B72AA">
        <w:rPr>
          <w:rFonts w:asciiTheme="minorBidi" w:hAnsiTheme="minorBidi"/>
          <w:noProof/>
          <w:sz w:val="24"/>
          <w:szCs w:val="24"/>
        </w:rPr>
        <w:drawing>
          <wp:inline distT="0" distB="0" distL="0" distR="0" wp14:anchorId="24477FE5" wp14:editId="66023813">
            <wp:extent cx="5254699" cy="1396149"/>
            <wp:effectExtent l="19050" t="0" r="3101" b="0"/>
            <wp:docPr id="3" name="Picture 2" descr="איור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23.bmp"/>
                    <pic:cNvPicPr/>
                  </pic:nvPicPr>
                  <pic:blipFill>
                    <a:blip r:embed="rId11" cstate="print"/>
                    <a:srcRect l="1928" t="6667" r="2237" b="3636"/>
                    <a:stretch>
                      <a:fillRect/>
                    </a:stretch>
                  </pic:blipFill>
                  <pic:spPr>
                    <a:xfrm>
                      <a:off x="0" y="0"/>
                      <a:ext cx="5255812" cy="1396445"/>
                    </a:xfrm>
                    <a:prstGeom prst="rect">
                      <a:avLst/>
                    </a:prstGeom>
                  </pic:spPr>
                </pic:pic>
              </a:graphicData>
            </a:graphic>
          </wp:inline>
        </w:drawing>
      </w:r>
    </w:p>
    <w:p w:rsidR="00F945DC" w:rsidRDefault="00F945DC" w:rsidP="00C24F73">
      <w:pPr>
        <w:spacing w:after="0" w:line="240" w:lineRule="auto"/>
        <w:jc w:val="both"/>
        <w:rPr>
          <w:rFonts w:asciiTheme="minorBidi" w:hAnsiTheme="minorBidi"/>
          <w:sz w:val="24"/>
          <w:szCs w:val="24"/>
        </w:rPr>
      </w:pPr>
    </w:p>
    <w:p w:rsidR="00F945DC" w:rsidRPr="00F945DC" w:rsidRDefault="00F945DC" w:rsidP="00C24F73">
      <w:pPr>
        <w:spacing w:after="0" w:line="240" w:lineRule="auto"/>
        <w:jc w:val="both"/>
        <w:rPr>
          <w:rFonts w:asciiTheme="minorBidi" w:hAnsiTheme="minorBidi"/>
          <w:b/>
          <w:bCs/>
          <w:sz w:val="24"/>
          <w:szCs w:val="24"/>
        </w:rPr>
      </w:pPr>
      <w:r>
        <w:rPr>
          <w:rFonts w:asciiTheme="minorBidi" w:hAnsiTheme="minorBidi"/>
          <w:b/>
          <w:bCs/>
          <w:sz w:val="24"/>
          <w:szCs w:val="24"/>
        </w:rPr>
        <w:t>Responding to the Accepted Chronology</w:t>
      </w:r>
    </w:p>
    <w:p w:rsidR="00892F0E" w:rsidRDefault="00892F0E" w:rsidP="00C24F73">
      <w:pPr>
        <w:spacing w:after="0" w:line="240" w:lineRule="auto"/>
        <w:jc w:val="both"/>
        <w:rPr>
          <w:rFonts w:asciiTheme="minorBidi" w:hAnsiTheme="minorBidi"/>
          <w:sz w:val="24"/>
          <w:szCs w:val="24"/>
        </w:rPr>
      </w:pPr>
      <w:r>
        <w:rPr>
          <w:rFonts w:asciiTheme="minorBidi" w:hAnsiTheme="minorBidi"/>
          <w:sz w:val="24"/>
          <w:szCs w:val="24"/>
        </w:rPr>
        <w:tab/>
      </w:r>
    </w:p>
    <w:p w:rsidR="00F945DC" w:rsidRDefault="00F945DC" w:rsidP="00C24F73">
      <w:pPr>
        <w:spacing w:after="0" w:line="240" w:lineRule="auto"/>
        <w:jc w:val="both"/>
        <w:rPr>
          <w:rFonts w:asciiTheme="minorBidi" w:hAnsiTheme="minorBidi"/>
          <w:sz w:val="24"/>
          <w:szCs w:val="24"/>
        </w:rPr>
      </w:pPr>
      <w:r>
        <w:rPr>
          <w:rFonts w:asciiTheme="minorBidi" w:hAnsiTheme="minorBidi"/>
          <w:sz w:val="24"/>
          <w:szCs w:val="24"/>
        </w:rPr>
        <w:tab/>
      </w:r>
      <w:r w:rsidR="007310B9">
        <w:rPr>
          <w:rFonts w:asciiTheme="minorBidi" w:hAnsiTheme="minorBidi"/>
          <w:sz w:val="24"/>
          <w:szCs w:val="24"/>
        </w:rPr>
        <w:t xml:space="preserve">The later dating of the settlement of the land of Israel was accepted by most scholars for most of the twentieth century, and it was based primarily on three pillars. a) The connection to </w:t>
      </w:r>
      <w:r w:rsidR="00793664">
        <w:rPr>
          <w:rFonts w:asciiTheme="minorBidi" w:hAnsiTheme="minorBidi"/>
          <w:sz w:val="24"/>
          <w:szCs w:val="24"/>
        </w:rPr>
        <w:t>Ramesses</w:t>
      </w:r>
      <w:r w:rsidR="007310B9">
        <w:rPr>
          <w:rFonts w:asciiTheme="minorBidi" w:hAnsiTheme="minorBidi"/>
          <w:sz w:val="24"/>
          <w:szCs w:val="24"/>
        </w:rPr>
        <w:t xml:space="preserve">, presented above. b) Archaeological evidence: The archaeology of the land of Israel features an abrupt transition from the Bronze Age to the Iron Age. Fortified cities built atop tells were conquered and destroyed, often by intense fire. In their place, small villages sprouted up, </w:t>
      </w:r>
      <w:r w:rsidR="00D9371C">
        <w:rPr>
          <w:rFonts w:asciiTheme="minorBidi" w:hAnsiTheme="minorBidi"/>
          <w:sz w:val="24"/>
          <w:szCs w:val="24"/>
        </w:rPr>
        <w:t xml:space="preserve">meager in comparison to their predecessors and generally unwalled. Scholars dated this transition to around 1200 BCE, speculating that the people who destroyed the fortified cities and built simple towns for themselves were none other than the Israelites. According to the </w:t>
      </w:r>
      <w:r w:rsidR="00D9371C">
        <w:rPr>
          <w:rFonts w:asciiTheme="minorBidi" w:hAnsiTheme="minorBidi"/>
          <w:i/>
          <w:iCs/>
          <w:sz w:val="24"/>
          <w:szCs w:val="24"/>
        </w:rPr>
        <w:t>Tanakh</w:t>
      </w:r>
      <w:r w:rsidR="00D9371C">
        <w:rPr>
          <w:rFonts w:asciiTheme="minorBidi" w:hAnsiTheme="minorBidi"/>
          <w:sz w:val="24"/>
          <w:szCs w:val="24"/>
        </w:rPr>
        <w:t>’s account, the people of Israel conquered the land by storm but quickly entered the period of the Judges, when there was no central leadership and the tribes of Israel were weak in relation to their neighbors. c) Egypt’s absence from the books of Joshua and Judges. According to Egyptian sources, Egypt ruled over Canaan for centuries,</w:t>
      </w:r>
      <w:r w:rsidR="00D9371C">
        <w:rPr>
          <w:rStyle w:val="ac"/>
          <w:rFonts w:asciiTheme="minorBidi" w:hAnsiTheme="minorBidi"/>
          <w:sz w:val="24"/>
          <w:szCs w:val="24"/>
        </w:rPr>
        <w:footnoteReference w:id="7"/>
      </w:r>
      <w:r w:rsidR="00D9371C">
        <w:rPr>
          <w:rFonts w:asciiTheme="minorBidi" w:hAnsiTheme="minorBidi"/>
          <w:sz w:val="24"/>
          <w:szCs w:val="24"/>
        </w:rPr>
        <w:t xml:space="preserve"> their power in Canaan only abating after the reign of </w:t>
      </w:r>
      <w:r w:rsidR="00793664">
        <w:rPr>
          <w:rFonts w:asciiTheme="minorBidi" w:hAnsiTheme="minorBidi"/>
          <w:sz w:val="24"/>
          <w:szCs w:val="24"/>
        </w:rPr>
        <w:t>Ramesses</w:t>
      </w:r>
      <w:r w:rsidR="00D9371C">
        <w:rPr>
          <w:rFonts w:asciiTheme="minorBidi" w:hAnsiTheme="minorBidi"/>
          <w:sz w:val="24"/>
          <w:szCs w:val="24"/>
        </w:rPr>
        <w:t xml:space="preserve"> III. </w:t>
      </w:r>
      <w:r w:rsidR="00D4213A">
        <w:rPr>
          <w:rFonts w:asciiTheme="minorBidi" w:hAnsiTheme="minorBidi"/>
          <w:sz w:val="24"/>
          <w:szCs w:val="24"/>
        </w:rPr>
        <w:t>Thus, if Israel entered the Land during those centuries, they would have had to deal with Egypt, rather than with the thirty-one Canaanite kings. If there had been some kind of agreement with Egypt allowing them to enter, it would mean that from a political perspective they had essentially never left Egypt.</w:t>
      </w:r>
    </w:p>
    <w:p w:rsidR="00D4213A" w:rsidRDefault="00D4213A" w:rsidP="00C24F73">
      <w:pPr>
        <w:spacing w:after="0" w:line="240" w:lineRule="auto"/>
        <w:jc w:val="both"/>
        <w:rPr>
          <w:rFonts w:asciiTheme="minorBidi" w:hAnsiTheme="minorBidi"/>
          <w:sz w:val="24"/>
          <w:szCs w:val="24"/>
        </w:rPr>
      </w:pPr>
    </w:p>
    <w:p w:rsidR="00D4213A" w:rsidRDefault="00D4213A" w:rsidP="00C24F73">
      <w:pPr>
        <w:spacing w:after="0" w:line="240" w:lineRule="auto"/>
        <w:jc w:val="both"/>
        <w:rPr>
          <w:rFonts w:asciiTheme="minorBidi" w:hAnsiTheme="minorBidi"/>
          <w:sz w:val="24"/>
          <w:szCs w:val="24"/>
        </w:rPr>
      </w:pPr>
      <w:r>
        <w:rPr>
          <w:rFonts w:asciiTheme="minorBidi" w:hAnsiTheme="minorBidi"/>
          <w:sz w:val="24"/>
          <w:szCs w:val="24"/>
        </w:rPr>
        <w:tab/>
        <w:t xml:space="preserve">However, the </w:t>
      </w:r>
      <w:r>
        <w:rPr>
          <w:rFonts w:asciiTheme="minorBidi" w:hAnsiTheme="minorBidi"/>
          <w:i/>
          <w:iCs/>
          <w:sz w:val="24"/>
          <w:szCs w:val="24"/>
        </w:rPr>
        <w:t>Tanakh</w:t>
      </w:r>
      <w:r>
        <w:rPr>
          <w:rFonts w:asciiTheme="minorBidi" w:hAnsiTheme="minorBidi"/>
          <w:sz w:val="24"/>
          <w:szCs w:val="24"/>
        </w:rPr>
        <w:t>’s chronology obviously does not fit all of this. What, then, is the solution?</w:t>
      </w:r>
    </w:p>
    <w:p w:rsidR="00D4213A" w:rsidRDefault="00D4213A" w:rsidP="00C24F73">
      <w:pPr>
        <w:spacing w:after="0" w:line="240" w:lineRule="auto"/>
        <w:jc w:val="both"/>
        <w:rPr>
          <w:rFonts w:asciiTheme="minorBidi" w:hAnsiTheme="minorBidi"/>
          <w:sz w:val="24"/>
          <w:szCs w:val="24"/>
        </w:rPr>
      </w:pPr>
    </w:p>
    <w:p w:rsidR="00D4213A" w:rsidRDefault="00D4213A" w:rsidP="00C24F73">
      <w:pPr>
        <w:spacing w:after="0" w:line="240" w:lineRule="auto"/>
        <w:jc w:val="both"/>
        <w:rPr>
          <w:rFonts w:asciiTheme="minorBidi" w:hAnsiTheme="minorBidi"/>
          <w:sz w:val="24"/>
          <w:szCs w:val="24"/>
        </w:rPr>
      </w:pPr>
      <w:r>
        <w:rPr>
          <w:rFonts w:asciiTheme="minorBidi" w:hAnsiTheme="minorBidi"/>
          <w:sz w:val="24"/>
          <w:szCs w:val="24"/>
        </w:rPr>
        <w:tab/>
        <w:t xml:space="preserve">Let us first point out that the whole framework that the scholars established in developing their chronology was somewhat phony to begin with. </w:t>
      </w:r>
      <w:r w:rsidR="00F10523">
        <w:rPr>
          <w:rFonts w:asciiTheme="minorBidi" w:hAnsiTheme="minorBidi"/>
          <w:sz w:val="24"/>
          <w:szCs w:val="24"/>
        </w:rPr>
        <w:t>The truth is that</w:t>
      </w:r>
      <w:r>
        <w:rPr>
          <w:rFonts w:asciiTheme="minorBidi" w:hAnsiTheme="minorBidi"/>
          <w:sz w:val="24"/>
          <w:szCs w:val="24"/>
        </w:rPr>
        <w:t xml:space="preserve"> even </w:t>
      </w:r>
      <w:r w:rsidR="00F10523">
        <w:rPr>
          <w:rFonts w:asciiTheme="minorBidi" w:hAnsiTheme="minorBidi"/>
          <w:sz w:val="24"/>
          <w:szCs w:val="24"/>
        </w:rPr>
        <w:t xml:space="preserve">the scholars’ chronology is riddled with problems. With respect to the “third pillar” mentioned above, the people of Israel would have had to enter the land only after </w:t>
      </w:r>
      <w:r w:rsidR="00793664">
        <w:rPr>
          <w:rFonts w:asciiTheme="minorBidi" w:hAnsiTheme="minorBidi"/>
          <w:sz w:val="24"/>
          <w:szCs w:val="24"/>
        </w:rPr>
        <w:t>Ramesses</w:t>
      </w:r>
      <w:r w:rsidR="00F10523">
        <w:rPr>
          <w:rFonts w:asciiTheme="minorBidi" w:hAnsiTheme="minorBidi"/>
          <w:sz w:val="24"/>
          <w:szCs w:val="24"/>
        </w:rPr>
        <w:t xml:space="preserve"> III, who reigned for thirty-two years and left a legacy of seven lists of conquests in the land of Canaan. The problem is that Merneptah, who died about twenty years before </w:t>
      </w:r>
      <w:r w:rsidR="00793664">
        <w:rPr>
          <w:rFonts w:asciiTheme="minorBidi" w:hAnsiTheme="minorBidi"/>
          <w:sz w:val="24"/>
          <w:szCs w:val="24"/>
        </w:rPr>
        <w:t>Ramesses</w:t>
      </w:r>
      <w:r w:rsidR="00F10523">
        <w:rPr>
          <w:rFonts w:asciiTheme="minorBidi" w:hAnsiTheme="minorBidi"/>
          <w:sz w:val="24"/>
          <w:szCs w:val="24"/>
        </w:rPr>
        <w:t xml:space="preserve"> III’s reign began, already mentioned the presence of Israel in the land. Furthermore, if the pharaoh who enslaved the people of Israel was </w:t>
      </w:r>
      <w:r w:rsidR="00793664">
        <w:rPr>
          <w:rFonts w:asciiTheme="minorBidi" w:hAnsiTheme="minorBidi"/>
          <w:sz w:val="24"/>
          <w:szCs w:val="24"/>
        </w:rPr>
        <w:t>Ramesses</w:t>
      </w:r>
      <w:r w:rsidR="00F10523">
        <w:rPr>
          <w:rFonts w:asciiTheme="minorBidi" w:hAnsiTheme="minorBidi"/>
          <w:sz w:val="24"/>
          <w:szCs w:val="24"/>
        </w:rPr>
        <w:t xml:space="preserve"> II, how could they have managed to</w:t>
      </w:r>
      <w:r w:rsidR="007F510E">
        <w:rPr>
          <w:rFonts w:asciiTheme="minorBidi" w:hAnsiTheme="minorBidi"/>
          <w:sz w:val="24"/>
          <w:szCs w:val="24"/>
        </w:rPr>
        <w:t xml:space="preserve"> be already </w:t>
      </w:r>
      <w:r w:rsidR="000D3098">
        <w:rPr>
          <w:rFonts w:asciiTheme="minorBidi" w:hAnsiTheme="minorBidi"/>
          <w:sz w:val="24"/>
          <w:szCs w:val="24"/>
        </w:rPr>
        <w:t>entrenched</w:t>
      </w:r>
      <w:r w:rsidR="007F510E">
        <w:rPr>
          <w:rFonts w:asciiTheme="minorBidi" w:hAnsiTheme="minorBidi"/>
          <w:sz w:val="24"/>
          <w:szCs w:val="24"/>
        </w:rPr>
        <w:t xml:space="preserve"> in</w:t>
      </w:r>
      <w:r w:rsidR="00F10523">
        <w:rPr>
          <w:rFonts w:asciiTheme="minorBidi" w:hAnsiTheme="minorBidi"/>
          <w:sz w:val="24"/>
          <w:szCs w:val="24"/>
        </w:rPr>
        <w:t xml:space="preserve"> the land of Israel by the start of the reign of Merneptah, his heir? </w:t>
      </w:r>
      <w:r w:rsidR="00227263">
        <w:rPr>
          <w:rFonts w:asciiTheme="minorBidi" w:hAnsiTheme="minorBidi"/>
          <w:sz w:val="24"/>
          <w:szCs w:val="24"/>
        </w:rPr>
        <w:t xml:space="preserve">These problems forced the scholars to employ a technique that my father </w:t>
      </w:r>
      <w:r w:rsidR="00227263">
        <w:rPr>
          <w:rFonts w:asciiTheme="minorBidi" w:hAnsiTheme="minorBidi"/>
          <w:i/>
          <w:iCs/>
          <w:sz w:val="24"/>
          <w:szCs w:val="24"/>
        </w:rPr>
        <w:t>z”l</w:t>
      </w:r>
      <w:r w:rsidR="00227263">
        <w:rPr>
          <w:rFonts w:asciiTheme="minorBidi" w:hAnsiTheme="minorBidi"/>
          <w:sz w:val="24"/>
          <w:szCs w:val="24"/>
        </w:rPr>
        <w:t xml:space="preserve"> called “contracting and stretching”: On the one hand</w:t>
      </w:r>
      <w:r w:rsidR="00D832D7">
        <w:rPr>
          <w:rFonts w:asciiTheme="minorBidi" w:hAnsiTheme="minorBidi"/>
          <w:sz w:val="24"/>
          <w:szCs w:val="24"/>
        </w:rPr>
        <w:t>,</w:t>
      </w:r>
      <w:r w:rsidR="00227263">
        <w:rPr>
          <w:rFonts w:asciiTheme="minorBidi" w:hAnsiTheme="minorBidi"/>
          <w:sz w:val="24"/>
          <w:szCs w:val="24"/>
        </w:rPr>
        <w:t xml:space="preserve"> they shortened the length of the enslavement, the Exodus and </w:t>
      </w:r>
      <w:r w:rsidR="00D832D7">
        <w:rPr>
          <w:rFonts w:asciiTheme="minorBidi" w:hAnsiTheme="minorBidi"/>
          <w:sz w:val="24"/>
          <w:szCs w:val="24"/>
        </w:rPr>
        <w:t xml:space="preserve">the period of wandering in the wilderness so that these events could fit within the reign of </w:t>
      </w:r>
      <w:r w:rsidR="00793664">
        <w:rPr>
          <w:rFonts w:asciiTheme="minorBidi" w:hAnsiTheme="minorBidi"/>
          <w:sz w:val="24"/>
          <w:szCs w:val="24"/>
        </w:rPr>
        <w:t>Ramesses</w:t>
      </w:r>
      <w:r w:rsidR="00D832D7">
        <w:rPr>
          <w:rFonts w:asciiTheme="minorBidi" w:hAnsiTheme="minorBidi"/>
          <w:sz w:val="24"/>
          <w:szCs w:val="24"/>
        </w:rPr>
        <w:t xml:space="preserve"> II (writing off the “forty years” in the wilderness as a “typological number”); on the other hand, they stretched out the period of entry into the land of Israel over the course of several decades, viewing it as a slow process that began before Merneptah and ended after </w:t>
      </w:r>
      <w:r w:rsidR="00793664">
        <w:rPr>
          <w:rFonts w:asciiTheme="minorBidi" w:hAnsiTheme="minorBidi"/>
          <w:sz w:val="24"/>
          <w:szCs w:val="24"/>
        </w:rPr>
        <w:t>Ramesses</w:t>
      </w:r>
      <w:r w:rsidR="00D832D7">
        <w:rPr>
          <w:rFonts w:asciiTheme="minorBidi" w:hAnsiTheme="minorBidi"/>
          <w:sz w:val="24"/>
          <w:szCs w:val="24"/>
        </w:rPr>
        <w:t xml:space="preserve"> III. They also went on to minimize the significance of </w:t>
      </w:r>
      <w:r w:rsidR="00793664">
        <w:rPr>
          <w:rFonts w:asciiTheme="minorBidi" w:hAnsiTheme="minorBidi"/>
          <w:sz w:val="24"/>
          <w:szCs w:val="24"/>
        </w:rPr>
        <w:t>Ramesses</w:t>
      </w:r>
      <w:r w:rsidR="00D832D7">
        <w:rPr>
          <w:rFonts w:asciiTheme="minorBidi" w:hAnsiTheme="minorBidi"/>
          <w:sz w:val="24"/>
          <w:szCs w:val="24"/>
        </w:rPr>
        <w:t xml:space="preserve"> III’s conquests, painting a picture of a monarch who struggled to defend his own land from the invasion of the Sea Peoples.</w:t>
      </w:r>
    </w:p>
    <w:p w:rsidR="00D832D7" w:rsidRDefault="00D832D7" w:rsidP="00C24F73">
      <w:pPr>
        <w:spacing w:after="0" w:line="240" w:lineRule="auto"/>
        <w:jc w:val="both"/>
        <w:rPr>
          <w:rFonts w:asciiTheme="minorBidi" w:hAnsiTheme="minorBidi"/>
          <w:sz w:val="24"/>
          <w:szCs w:val="24"/>
        </w:rPr>
      </w:pPr>
    </w:p>
    <w:p w:rsidR="00D832D7" w:rsidRDefault="00D832D7" w:rsidP="00C24F73">
      <w:pPr>
        <w:spacing w:after="0" w:line="240" w:lineRule="auto"/>
        <w:jc w:val="both"/>
        <w:rPr>
          <w:rFonts w:asciiTheme="minorBidi" w:hAnsiTheme="minorBidi"/>
          <w:sz w:val="24"/>
          <w:szCs w:val="24"/>
        </w:rPr>
      </w:pPr>
      <w:r>
        <w:rPr>
          <w:rFonts w:asciiTheme="minorBidi" w:hAnsiTheme="minorBidi"/>
          <w:sz w:val="24"/>
          <w:szCs w:val="24"/>
        </w:rPr>
        <w:tab/>
        <w:t>The solution to the archaeological question (the “second pillar”) was developed by several archaeologists who refused to accept the conventional scholarship.</w:t>
      </w:r>
      <w:r w:rsidR="00615B27">
        <w:rPr>
          <w:rFonts w:asciiTheme="minorBidi" w:hAnsiTheme="minorBidi"/>
          <w:sz w:val="24"/>
          <w:szCs w:val="24"/>
        </w:rPr>
        <w:t xml:space="preserve"> I will attempt to explain this solution here in brief. Scholars of this period noticed an interesting phenomenon: Settlement in the land of Israel in the Late Bronze Age is most prominent in the cities of the Shephelah, the coast and the valleys, and even there settlement was, by and large, diminished compared to the Middle Bronze Age that preceded it. In contrast, in most mountainous areas, settlement in the Late Bronze Age is completely nonexistent. In light of this, members of the archaeological mainstream concluded that there was </w:t>
      </w:r>
      <w:r w:rsidR="004F39C6">
        <w:rPr>
          <w:rFonts w:asciiTheme="minorBidi" w:hAnsiTheme="minorBidi"/>
          <w:sz w:val="24"/>
          <w:szCs w:val="24"/>
        </w:rPr>
        <w:t xml:space="preserve">a </w:t>
      </w:r>
      <w:r w:rsidR="00615B27">
        <w:rPr>
          <w:rFonts w:asciiTheme="minorBidi" w:hAnsiTheme="minorBidi"/>
          <w:sz w:val="24"/>
          <w:szCs w:val="24"/>
        </w:rPr>
        <w:t xml:space="preserve">settlement </w:t>
      </w:r>
      <w:r w:rsidR="004F39C6">
        <w:rPr>
          <w:rFonts w:asciiTheme="minorBidi" w:hAnsiTheme="minorBidi"/>
          <w:sz w:val="24"/>
          <w:szCs w:val="24"/>
        </w:rPr>
        <w:t xml:space="preserve">gap </w:t>
      </w:r>
      <w:r w:rsidR="00615B27">
        <w:rPr>
          <w:rFonts w:asciiTheme="minorBidi" w:hAnsiTheme="minorBidi"/>
          <w:sz w:val="24"/>
          <w:szCs w:val="24"/>
        </w:rPr>
        <w:t xml:space="preserve">during that period (fifteenth-thirteenth centuries BCE) in the mountainous regions. </w:t>
      </w:r>
      <w:r w:rsidR="004F39C6">
        <w:rPr>
          <w:rFonts w:asciiTheme="minorBidi" w:hAnsiTheme="minorBidi"/>
          <w:sz w:val="24"/>
          <w:szCs w:val="24"/>
        </w:rPr>
        <w:t xml:space="preserve">The few scholars who stuck with the straightforward understanding of the </w:t>
      </w:r>
      <w:r w:rsidR="004F39C6">
        <w:rPr>
          <w:rFonts w:asciiTheme="minorBidi" w:hAnsiTheme="minorBidi"/>
          <w:i/>
          <w:iCs/>
          <w:sz w:val="24"/>
          <w:szCs w:val="24"/>
        </w:rPr>
        <w:t>Tanakh</w:t>
      </w:r>
      <w:r w:rsidR="004F39C6">
        <w:rPr>
          <w:rFonts w:asciiTheme="minorBidi" w:hAnsiTheme="minorBidi"/>
          <w:sz w:val="24"/>
          <w:szCs w:val="24"/>
        </w:rPr>
        <w:t xml:space="preserve">’s chronology explained this archaeological phenomenon differently. According to </w:t>
      </w:r>
      <w:r w:rsidR="00081F8B">
        <w:rPr>
          <w:rFonts w:asciiTheme="minorBidi" w:hAnsiTheme="minorBidi"/>
          <w:sz w:val="24"/>
          <w:szCs w:val="24"/>
        </w:rPr>
        <w:t>these archaeologists</w:t>
      </w:r>
      <w:r w:rsidR="004F39C6">
        <w:rPr>
          <w:rFonts w:asciiTheme="minorBidi" w:hAnsiTheme="minorBidi"/>
          <w:sz w:val="24"/>
          <w:szCs w:val="24"/>
        </w:rPr>
        <w:t xml:space="preserve">, there was no settlement gap in the mountain cities during that period. Rather, the </w:t>
      </w:r>
      <w:r w:rsidR="00081F8B">
        <w:rPr>
          <w:rFonts w:asciiTheme="minorBidi" w:hAnsiTheme="minorBidi"/>
          <w:sz w:val="24"/>
          <w:szCs w:val="24"/>
        </w:rPr>
        <w:t xml:space="preserve">Iron </w:t>
      </w:r>
      <w:r w:rsidR="004F39C6">
        <w:rPr>
          <w:rFonts w:asciiTheme="minorBidi" w:hAnsiTheme="minorBidi"/>
          <w:sz w:val="24"/>
          <w:szCs w:val="24"/>
        </w:rPr>
        <w:t>Age – the Israelite period – began</w:t>
      </w:r>
      <w:r w:rsidR="00081F8B">
        <w:rPr>
          <w:rFonts w:asciiTheme="minorBidi" w:hAnsiTheme="minorBidi"/>
          <w:sz w:val="24"/>
          <w:szCs w:val="24"/>
        </w:rPr>
        <w:t xml:space="preserve"> here</w:t>
      </w:r>
      <w:r w:rsidR="004F39C6">
        <w:rPr>
          <w:rFonts w:asciiTheme="minorBidi" w:hAnsiTheme="minorBidi"/>
          <w:sz w:val="24"/>
          <w:szCs w:val="24"/>
        </w:rPr>
        <w:t xml:space="preserve"> earlier. The Canaanites continued to reside in the Shephelah, the coast and the val</w:t>
      </w:r>
      <w:r w:rsidR="00044ACE">
        <w:rPr>
          <w:rFonts w:asciiTheme="minorBidi" w:hAnsiTheme="minorBidi"/>
          <w:sz w:val="24"/>
          <w:szCs w:val="24"/>
        </w:rPr>
        <w:t xml:space="preserve">leys; the people of Israel did not dispossess them “for they had iron chariots” (Judges 1:19). It was there that the “Late Bronze” culture began to develop, </w:t>
      </w:r>
      <w:r w:rsidR="00044ACE">
        <w:rPr>
          <w:rFonts w:asciiTheme="minorBidi" w:hAnsiTheme="minorBidi"/>
          <w:sz w:val="24"/>
          <w:szCs w:val="24"/>
        </w:rPr>
        <w:lastRenderedPageBreak/>
        <w:t>while the mountain regions saw the beginning of the material “Iron” culture, ushering in the Israelite period in the land.</w:t>
      </w:r>
      <w:r w:rsidR="00044ACE">
        <w:rPr>
          <w:rStyle w:val="ac"/>
          <w:rFonts w:asciiTheme="minorBidi" w:hAnsiTheme="minorBidi"/>
          <w:sz w:val="24"/>
          <w:szCs w:val="24"/>
        </w:rPr>
        <w:footnoteReference w:id="8"/>
      </w:r>
    </w:p>
    <w:p w:rsidR="009B678A" w:rsidRDefault="009B678A" w:rsidP="00C24F73">
      <w:pPr>
        <w:spacing w:after="0" w:line="240" w:lineRule="auto"/>
        <w:jc w:val="both"/>
        <w:rPr>
          <w:rFonts w:asciiTheme="minorBidi" w:hAnsiTheme="minorBidi"/>
          <w:sz w:val="24"/>
          <w:szCs w:val="24"/>
        </w:rPr>
      </w:pPr>
    </w:p>
    <w:p w:rsidR="009B678A" w:rsidRDefault="009B678A" w:rsidP="00C24F73">
      <w:pPr>
        <w:spacing w:after="0" w:line="240" w:lineRule="auto"/>
        <w:jc w:val="both"/>
        <w:rPr>
          <w:rFonts w:asciiTheme="minorBidi" w:hAnsiTheme="minorBidi"/>
          <w:sz w:val="24"/>
          <w:szCs w:val="24"/>
        </w:rPr>
      </w:pPr>
      <w:r>
        <w:rPr>
          <w:rFonts w:asciiTheme="minorBidi" w:hAnsiTheme="minorBidi"/>
          <w:sz w:val="24"/>
          <w:szCs w:val="24"/>
        </w:rPr>
        <w:tab/>
        <w:t>As for the “third pillar”</w:t>
      </w:r>
      <w:r w:rsidR="00D85754">
        <w:rPr>
          <w:rFonts w:asciiTheme="minorBidi" w:hAnsiTheme="minorBidi"/>
          <w:sz w:val="24"/>
          <w:szCs w:val="24"/>
        </w:rPr>
        <w:t xml:space="preserve">: According to the accounting of the </w:t>
      </w:r>
      <w:r w:rsidR="00D85754">
        <w:rPr>
          <w:rFonts w:asciiTheme="minorBidi" w:hAnsiTheme="minorBidi"/>
          <w:i/>
          <w:iCs/>
          <w:sz w:val="24"/>
          <w:szCs w:val="24"/>
        </w:rPr>
        <w:t>Tanakh</w:t>
      </w:r>
      <w:r w:rsidR="00D85754">
        <w:rPr>
          <w:rFonts w:asciiTheme="minorBidi" w:hAnsiTheme="minorBidi"/>
          <w:sz w:val="24"/>
          <w:szCs w:val="24"/>
        </w:rPr>
        <w:t xml:space="preserve">, the people of Israel entered Canaan and established themselves in the land over the course of the last hundred years of the Eighteenth Dynasty. This was a period of great decline for the Egyptian empire, during which Egypt lacked practical control outside of its own borders. When Egypt regained its power and increased it further during the time of Seti and </w:t>
      </w:r>
      <w:r w:rsidR="00793664">
        <w:rPr>
          <w:rFonts w:asciiTheme="minorBidi" w:hAnsiTheme="minorBidi"/>
          <w:sz w:val="24"/>
          <w:szCs w:val="24"/>
        </w:rPr>
        <w:t>Ramesses</w:t>
      </w:r>
      <w:r w:rsidR="00D85754">
        <w:rPr>
          <w:rFonts w:asciiTheme="minorBidi" w:hAnsiTheme="minorBidi"/>
          <w:sz w:val="24"/>
          <w:szCs w:val="24"/>
        </w:rPr>
        <w:t xml:space="preserve"> II – who, according to our chronology, reigned during the period of the Judges – the people of Israel consisted of </w:t>
      </w:r>
      <w:r w:rsidR="009A062A">
        <w:rPr>
          <w:rFonts w:asciiTheme="minorBidi" w:hAnsiTheme="minorBidi"/>
          <w:sz w:val="24"/>
          <w:szCs w:val="24"/>
        </w:rPr>
        <w:t>a collection of meager mountainous tribes, of no interest to the marauding Egyptians. At that time, the pharaohs concentrated their efforts on international roads and the fortified Canaanite cities situated along these roads.</w:t>
      </w:r>
    </w:p>
    <w:p w:rsidR="009A062A" w:rsidRDefault="009A062A" w:rsidP="00C24F73">
      <w:pPr>
        <w:spacing w:after="0" w:line="240" w:lineRule="auto"/>
        <w:jc w:val="both"/>
        <w:rPr>
          <w:rFonts w:asciiTheme="minorBidi" w:hAnsiTheme="minorBidi"/>
          <w:sz w:val="24"/>
          <w:szCs w:val="24"/>
        </w:rPr>
      </w:pPr>
    </w:p>
    <w:p w:rsidR="009A062A" w:rsidRDefault="009A062A" w:rsidP="00C24F73">
      <w:pPr>
        <w:spacing w:after="0" w:line="240" w:lineRule="auto"/>
        <w:jc w:val="both"/>
        <w:rPr>
          <w:rFonts w:asciiTheme="minorBidi" w:hAnsiTheme="minorBidi"/>
          <w:sz w:val="24"/>
          <w:szCs w:val="24"/>
        </w:rPr>
      </w:pPr>
      <w:r>
        <w:rPr>
          <w:rFonts w:asciiTheme="minorBidi" w:hAnsiTheme="minorBidi"/>
          <w:sz w:val="24"/>
          <w:szCs w:val="24"/>
        </w:rPr>
        <w:tab/>
        <w:t>In terms of positive Egyptian evidence supporting our proposed chronology, I will b</w:t>
      </w:r>
      <w:r w:rsidR="00420969">
        <w:rPr>
          <w:rFonts w:asciiTheme="minorBidi" w:hAnsiTheme="minorBidi"/>
          <w:sz w:val="24"/>
          <w:szCs w:val="24"/>
        </w:rPr>
        <w:t xml:space="preserve">riefly summarize the two most important historical </w:t>
      </w:r>
      <w:r w:rsidR="00CA1667">
        <w:rPr>
          <w:rFonts w:asciiTheme="minorBidi" w:hAnsiTheme="minorBidi"/>
          <w:sz w:val="24"/>
          <w:szCs w:val="24"/>
        </w:rPr>
        <w:t>points.</w:t>
      </w:r>
      <w:r w:rsidR="00420969">
        <w:rPr>
          <w:rFonts w:asciiTheme="minorBidi" w:hAnsiTheme="minorBidi"/>
          <w:sz w:val="24"/>
          <w:szCs w:val="24"/>
        </w:rPr>
        <w:t xml:space="preserve"> </w:t>
      </w:r>
      <w:r w:rsidR="00CA1667">
        <w:rPr>
          <w:rFonts w:asciiTheme="minorBidi" w:hAnsiTheme="minorBidi"/>
          <w:sz w:val="24"/>
          <w:szCs w:val="24"/>
        </w:rPr>
        <w:t xml:space="preserve">First, according to our chronology, the kings of the </w:t>
      </w:r>
      <w:r w:rsidR="00CA1667" w:rsidRPr="00CA1667">
        <w:rPr>
          <w:rFonts w:asciiTheme="minorBidi" w:hAnsiTheme="minorBidi"/>
          <w:b/>
          <w:bCs/>
          <w:sz w:val="24"/>
          <w:szCs w:val="24"/>
        </w:rPr>
        <w:t>Hyksos</w:t>
      </w:r>
      <w:r w:rsidR="00CA1667">
        <w:rPr>
          <w:rFonts w:asciiTheme="minorBidi" w:hAnsiTheme="minorBidi"/>
          <w:sz w:val="24"/>
          <w:szCs w:val="24"/>
        </w:rPr>
        <w:t xml:space="preserve"> dynasty</w:t>
      </w:r>
      <w:r w:rsidR="00420969">
        <w:rPr>
          <w:rFonts w:asciiTheme="minorBidi" w:hAnsiTheme="minorBidi"/>
          <w:sz w:val="24"/>
          <w:szCs w:val="24"/>
        </w:rPr>
        <w:t xml:space="preserve"> </w:t>
      </w:r>
      <w:r w:rsidR="00CA1667">
        <w:rPr>
          <w:rFonts w:asciiTheme="minorBidi" w:hAnsiTheme="minorBidi"/>
          <w:sz w:val="24"/>
          <w:szCs w:val="24"/>
        </w:rPr>
        <w:t>(who were Semitic in origin)</w:t>
      </w:r>
      <w:r w:rsidR="00420969">
        <w:rPr>
          <w:rFonts w:asciiTheme="minorBidi" w:hAnsiTheme="minorBidi"/>
          <w:sz w:val="24"/>
          <w:szCs w:val="24"/>
        </w:rPr>
        <w:t xml:space="preserve"> were the ones who accepted Joseph and, later on, Jacob</w:t>
      </w:r>
      <w:r w:rsidR="00CA1667">
        <w:rPr>
          <w:rFonts w:asciiTheme="minorBidi" w:hAnsiTheme="minorBidi"/>
          <w:sz w:val="24"/>
          <w:szCs w:val="24"/>
        </w:rPr>
        <w:t xml:space="preserve"> and his</w:t>
      </w:r>
      <w:r w:rsidR="00420969">
        <w:rPr>
          <w:rFonts w:asciiTheme="minorBidi" w:hAnsiTheme="minorBidi"/>
          <w:sz w:val="24"/>
          <w:szCs w:val="24"/>
        </w:rPr>
        <w:t xml:space="preserve"> family. Their violent expulsion from Egypt may be hinted at in the verse, “A new king arose over Egypt” (Exodus 1:8).</w:t>
      </w:r>
      <w:r w:rsidR="00CA1667">
        <w:rPr>
          <w:rFonts w:asciiTheme="minorBidi" w:hAnsiTheme="minorBidi"/>
          <w:sz w:val="24"/>
          <w:szCs w:val="24"/>
        </w:rPr>
        <w:t xml:space="preserve"> Second, the </w:t>
      </w:r>
      <w:r w:rsidR="00CA1667" w:rsidRPr="00CA1667">
        <w:rPr>
          <w:rFonts w:asciiTheme="minorBidi" w:hAnsiTheme="minorBidi"/>
          <w:b/>
          <w:bCs/>
          <w:sz w:val="24"/>
          <w:szCs w:val="24"/>
        </w:rPr>
        <w:t xml:space="preserve">Amarna </w:t>
      </w:r>
      <w:r w:rsidR="003376EB">
        <w:rPr>
          <w:rFonts w:asciiTheme="minorBidi" w:hAnsiTheme="minorBidi"/>
          <w:b/>
          <w:bCs/>
          <w:sz w:val="24"/>
          <w:szCs w:val="24"/>
        </w:rPr>
        <w:t>l</w:t>
      </w:r>
      <w:r w:rsidR="00CA1667" w:rsidRPr="00CA1667">
        <w:rPr>
          <w:rFonts w:asciiTheme="minorBidi" w:hAnsiTheme="minorBidi"/>
          <w:b/>
          <w:bCs/>
          <w:sz w:val="24"/>
          <w:szCs w:val="24"/>
        </w:rPr>
        <w:t>etters</w:t>
      </w:r>
      <w:r w:rsidR="00CA1667">
        <w:rPr>
          <w:rFonts w:asciiTheme="minorBidi" w:hAnsiTheme="minorBidi"/>
          <w:b/>
          <w:bCs/>
          <w:sz w:val="24"/>
          <w:szCs w:val="24"/>
        </w:rPr>
        <w:t xml:space="preserve"> </w:t>
      </w:r>
      <w:r w:rsidR="00CA1667">
        <w:rPr>
          <w:rFonts w:asciiTheme="minorBidi" w:hAnsiTheme="minorBidi"/>
          <w:sz w:val="24"/>
          <w:szCs w:val="24"/>
        </w:rPr>
        <w:t>(</w:t>
      </w:r>
      <w:r w:rsidR="003376EB">
        <w:rPr>
          <w:rFonts w:asciiTheme="minorBidi" w:hAnsiTheme="minorBidi"/>
          <w:sz w:val="24"/>
          <w:szCs w:val="24"/>
        </w:rPr>
        <w:t>written during the time of Amenhotep III and his son Amenhotep IV, better known as Akhenaten) contain a possible eyewitness account of the Israelite conquest of the land of Canaan and the dread that gripped the Canaanites at the time.</w:t>
      </w:r>
      <w:r w:rsidR="003376EB">
        <w:rPr>
          <w:rStyle w:val="ac"/>
          <w:rFonts w:asciiTheme="minorBidi" w:hAnsiTheme="minorBidi"/>
          <w:sz w:val="24"/>
          <w:szCs w:val="24"/>
        </w:rPr>
        <w:footnoteReference w:id="9"/>
      </w:r>
      <w:r w:rsidR="003376EB">
        <w:rPr>
          <w:rFonts w:asciiTheme="minorBidi" w:hAnsiTheme="minorBidi"/>
          <w:sz w:val="24"/>
          <w:szCs w:val="24"/>
        </w:rPr>
        <w:t xml:space="preserve"> </w:t>
      </w:r>
    </w:p>
    <w:p w:rsidR="003376EB" w:rsidRDefault="003376EB" w:rsidP="00C24F73">
      <w:pPr>
        <w:spacing w:after="0" w:line="240" w:lineRule="auto"/>
        <w:jc w:val="both"/>
        <w:rPr>
          <w:rFonts w:asciiTheme="minorBidi" w:hAnsiTheme="minorBidi"/>
          <w:sz w:val="24"/>
          <w:szCs w:val="24"/>
        </w:rPr>
      </w:pPr>
    </w:p>
    <w:p w:rsidR="003E108F" w:rsidRDefault="007E1AAE" w:rsidP="00C24F73">
      <w:pPr>
        <w:keepNext/>
        <w:spacing w:after="0" w:line="240" w:lineRule="auto"/>
        <w:jc w:val="center"/>
      </w:pPr>
      <w:r>
        <w:rPr>
          <w:noProof/>
        </w:rPr>
        <w:lastRenderedPageBreak/>
        <w:drawing>
          <wp:inline distT="0" distB="0" distL="0" distR="0">
            <wp:extent cx="2346960" cy="2877312"/>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eo-pic3.tif"/>
                    <pic:cNvPicPr/>
                  </pic:nvPicPr>
                  <pic:blipFill>
                    <a:blip r:embed="rId12">
                      <a:extLst>
                        <a:ext uri="{28A0092B-C50C-407E-A947-70E740481C1C}">
                          <a14:useLocalDpi xmlns:a14="http://schemas.microsoft.com/office/drawing/2010/main" val="0"/>
                        </a:ext>
                      </a:extLst>
                    </a:blip>
                    <a:stretch>
                      <a:fillRect/>
                    </a:stretch>
                  </pic:blipFill>
                  <pic:spPr>
                    <a:xfrm>
                      <a:off x="0" y="0"/>
                      <a:ext cx="2346960" cy="2877312"/>
                    </a:xfrm>
                    <a:prstGeom prst="rect">
                      <a:avLst/>
                    </a:prstGeom>
                  </pic:spPr>
                </pic:pic>
              </a:graphicData>
            </a:graphic>
          </wp:inline>
        </w:drawing>
      </w:r>
    </w:p>
    <w:p w:rsidR="003E108F" w:rsidRPr="00C24F73" w:rsidRDefault="003E108F" w:rsidP="00C24F73">
      <w:pPr>
        <w:pStyle w:val="af3"/>
        <w:spacing w:after="0"/>
        <w:jc w:val="center"/>
        <w:rPr>
          <w:rFonts w:asciiTheme="minorBidi" w:hAnsiTheme="minorBidi"/>
          <w:sz w:val="20"/>
          <w:szCs w:val="20"/>
        </w:rPr>
      </w:pPr>
      <w:r>
        <w:rPr>
          <w:rFonts w:asciiTheme="minorBidi" w:hAnsiTheme="minorBidi"/>
          <w:b w:val="0"/>
          <w:bCs w:val="0"/>
          <w:color w:val="auto"/>
          <w:sz w:val="20"/>
          <w:szCs w:val="20"/>
        </w:rPr>
        <w:t>Tuthmose III Temple gate in Upper Egypt (depiction from the nineteenth century CE) Tuthmose III (Eighteenth Dynasty, fifteenth century BCE) was one of the strongest kings of Egypt; he reigned 54 years. According to the Biblical chronology, he was probably the pharaoh of the enslavement.</w:t>
      </w:r>
    </w:p>
    <w:p w:rsidR="003E108F" w:rsidRDefault="003E108F" w:rsidP="00C24F73">
      <w:pPr>
        <w:spacing w:after="0" w:line="240" w:lineRule="auto"/>
        <w:jc w:val="both"/>
        <w:rPr>
          <w:rFonts w:asciiTheme="minorBidi" w:hAnsiTheme="minorBidi"/>
          <w:sz w:val="24"/>
          <w:szCs w:val="24"/>
        </w:rPr>
      </w:pPr>
    </w:p>
    <w:p w:rsidR="003376EB" w:rsidRPr="00E94443" w:rsidRDefault="003376EB" w:rsidP="00C24F73">
      <w:pPr>
        <w:spacing w:after="0" w:line="240" w:lineRule="auto"/>
        <w:jc w:val="both"/>
        <w:rPr>
          <w:rFonts w:asciiTheme="minorBidi" w:hAnsiTheme="minorBidi"/>
          <w:sz w:val="24"/>
          <w:szCs w:val="24"/>
        </w:rPr>
      </w:pPr>
      <w:r>
        <w:rPr>
          <w:rFonts w:asciiTheme="minorBidi" w:hAnsiTheme="minorBidi"/>
          <w:sz w:val="24"/>
          <w:szCs w:val="24"/>
        </w:rPr>
        <w:tab/>
        <w:t>Finally, I feel the need to add that this entire discussion has become somewhat dated in recent years. Over the last two</w:t>
      </w:r>
      <w:r w:rsidR="00081F8B">
        <w:rPr>
          <w:rFonts w:asciiTheme="minorBidi" w:hAnsiTheme="minorBidi"/>
          <w:sz w:val="24"/>
          <w:szCs w:val="24"/>
        </w:rPr>
        <w:t xml:space="preserve"> or three</w:t>
      </w:r>
      <w:r>
        <w:rPr>
          <w:rFonts w:asciiTheme="minorBidi" w:hAnsiTheme="minorBidi"/>
          <w:sz w:val="24"/>
          <w:szCs w:val="24"/>
        </w:rPr>
        <w:t xml:space="preserve"> decades, a </w:t>
      </w:r>
      <w:r w:rsidR="00B810AF">
        <w:rPr>
          <w:rFonts w:asciiTheme="minorBidi" w:hAnsiTheme="minorBidi"/>
          <w:sz w:val="24"/>
          <w:szCs w:val="24"/>
        </w:rPr>
        <w:t xml:space="preserve">new fad has begun to dominate in academic settings: the complete denial </w:t>
      </w:r>
      <w:r w:rsidR="00E94443">
        <w:rPr>
          <w:rFonts w:asciiTheme="minorBidi" w:hAnsiTheme="minorBidi"/>
          <w:sz w:val="24"/>
          <w:szCs w:val="24"/>
        </w:rPr>
        <w:t xml:space="preserve">of the </w:t>
      </w:r>
      <w:r w:rsidR="00FF015D">
        <w:rPr>
          <w:rFonts w:asciiTheme="minorBidi" w:hAnsiTheme="minorBidi"/>
          <w:sz w:val="24"/>
          <w:szCs w:val="24"/>
        </w:rPr>
        <w:t xml:space="preserve">historicity </w:t>
      </w:r>
      <w:r w:rsidR="00E94443">
        <w:rPr>
          <w:rFonts w:asciiTheme="minorBidi" w:hAnsiTheme="minorBidi"/>
          <w:sz w:val="24"/>
          <w:szCs w:val="24"/>
        </w:rPr>
        <w:t xml:space="preserve">of the </w:t>
      </w:r>
      <w:r w:rsidR="00E94443">
        <w:rPr>
          <w:rFonts w:asciiTheme="minorBidi" w:hAnsiTheme="minorBidi"/>
          <w:i/>
          <w:iCs/>
          <w:sz w:val="24"/>
          <w:szCs w:val="24"/>
        </w:rPr>
        <w:t>Tanakh</w:t>
      </w:r>
      <w:r w:rsidR="00FF015D">
        <w:rPr>
          <w:rFonts w:asciiTheme="minorBidi" w:hAnsiTheme="minorBidi"/>
          <w:sz w:val="24"/>
          <w:szCs w:val="24"/>
        </w:rPr>
        <w:t xml:space="preserve"> as a whole</w:t>
      </w:r>
      <w:r w:rsidR="00E94443">
        <w:rPr>
          <w:rFonts w:asciiTheme="minorBidi" w:hAnsiTheme="minorBidi"/>
          <w:sz w:val="24"/>
          <w:szCs w:val="24"/>
        </w:rPr>
        <w:t xml:space="preserve">. According to this approach, there was no enslavement and there was no Exodus; we did not conquer Canaan and we never </w:t>
      </w:r>
      <w:r w:rsidR="00A734F9">
        <w:rPr>
          <w:rFonts w:asciiTheme="minorBidi" w:hAnsiTheme="minorBidi"/>
          <w:sz w:val="24"/>
          <w:szCs w:val="24"/>
        </w:rPr>
        <w:t xml:space="preserve">set up judges and leaders; if David and Solomon did exist, they were marginal local leaders. The history of the nation of Israel began sometime in the middle of the period of the two separate kingdoms of Israel and Judah. When faced with such extreme positions, </w:t>
      </w:r>
      <w:r w:rsidR="007A6653">
        <w:rPr>
          <w:rFonts w:asciiTheme="minorBidi" w:hAnsiTheme="minorBidi"/>
          <w:sz w:val="24"/>
          <w:szCs w:val="24"/>
        </w:rPr>
        <w:t xml:space="preserve">the </w:t>
      </w:r>
      <w:r w:rsidR="00F326A0">
        <w:rPr>
          <w:rFonts w:asciiTheme="minorBidi" w:hAnsiTheme="minorBidi"/>
          <w:sz w:val="24"/>
          <w:szCs w:val="24"/>
        </w:rPr>
        <w:t>distance between the two sides of the playing field in the age-old debate on the chronology of the Exodus and the conquest of Canaan becomes largely negligible.</w:t>
      </w:r>
    </w:p>
    <w:p w:rsidR="007310B9" w:rsidRDefault="007310B9" w:rsidP="00C24F73">
      <w:pPr>
        <w:spacing w:after="0" w:line="240" w:lineRule="auto"/>
        <w:jc w:val="both"/>
        <w:rPr>
          <w:rFonts w:asciiTheme="minorBidi" w:hAnsiTheme="minorBidi"/>
          <w:sz w:val="24"/>
          <w:szCs w:val="24"/>
        </w:rPr>
      </w:pPr>
    </w:p>
    <w:tbl>
      <w:tblPr>
        <w:tblStyle w:val="af"/>
        <w:tblW w:w="0" w:type="auto"/>
        <w:jc w:val="center"/>
        <w:tblLayout w:type="fixed"/>
        <w:tblLook w:val="04A0" w:firstRow="1" w:lastRow="0" w:firstColumn="1" w:lastColumn="0" w:noHBand="0" w:noVBand="1"/>
      </w:tblPr>
      <w:tblGrid>
        <w:gridCol w:w="918"/>
        <w:gridCol w:w="2250"/>
        <w:gridCol w:w="1170"/>
        <w:gridCol w:w="2520"/>
        <w:gridCol w:w="1667"/>
      </w:tblGrid>
      <w:tr w:rsidR="00E064B3" w:rsidTr="0047169D">
        <w:trPr>
          <w:jc w:val="center"/>
        </w:trPr>
        <w:tc>
          <w:tcPr>
            <w:tcW w:w="918" w:type="dxa"/>
            <w:shd w:val="clear" w:color="auto" w:fill="DAEEF3" w:themeFill="accent5" w:themeFillTint="33"/>
            <w:vAlign w:val="center"/>
          </w:tcPr>
          <w:p w:rsidR="00F326A0" w:rsidRPr="00F326A0" w:rsidRDefault="00F326A0" w:rsidP="00C24F73">
            <w:pPr>
              <w:jc w:val="center"/>
              <w:rPr>
                <w:rFonts w:asciiTheme="minorBidi" w:hAnsiTheme="minorBidi"/>
                <w:b/>
                <w:bCs/>
                <w:sz w:val="24"/>
                <w:szCs w:val="24"/>
              </w:rPr>
            </w:pPr>
            <w:r>
              <w:rPr>
                <w:rFonts w:asciiTheme="minorBidi" w:hAnsiTheme="minorBidi"/>
                <w:b/>
                <w:bCs/>
                <w:sz w:val="24"/>
                <w:szCs w:val="24"/>
              </w:rPr>
              <w:t>Year (BCE)</w:t>
            </w:r>
          </w:p>
        </w:tc>
        <w:tc>
          <w:tcPr>
            <w:tcW w:w="2250" w:type="dxa"/>
            <w:shd w:val="clear" w:color="auto" w:fill="DAEEF3" w:themeFill="accent5" w:themeFillTint="33"/>
            <w:vAlign w:val="center"/>
          </w:tcPr>
          <w:p w:rsidR="00F326A0" w:rsidRPr="00F326A0" w:rsidRDefault="00F326A0" w:rsidP="00C24F73">
            <w:pPr>
              <w:jc w:val="center"/>
              <w:rPr>
                <w:rFonts w:asciiTheme="minorBidi" w:hAnsiTheme="minorBidi"/>
                <w:b/>
                <w:bCs/>
                <w:sz w:val="24"/>
                <w:szCs w:val="24"/>
              </w:rPr>
            </w:pPr>
            <w:r>
              <w:rPr>
                <w:rFonts w:asciiTheme="minorBidi" w:hAnsiTheme="minorBidi"/>
                <w:b/>
                <w:bCs/>
                <w:sz w:val="24"/>
                <w:szCs w:val="24"/>
              </w:rPr>
              <w:t>Archaeological period</w:t>
            </w:r>
          </w:p>
        </w:tc>
        <w:tc>
          <w:tcPr>
            <w:tcW w:w="1170" w:type="dxa"/>
            <w:shd w:val="clear" w:color="auto" w:fill="DAEEF3" w:themeFill="accent5" w:themeFillTint="33"/>
            <w:vAlign w:val="center"/>
          </w:tcPr>
          <w:p w:rsidR="00F326A0" w:rsidRPr="00F326A0" w:rsidRDefault="00F326A0" w:rsidP="00C24F73">
            <w:pPr>
              <w:jc w:val="center"/>
              <w:rPr>
                <w:rFonts w:asciiTheme="minorBidi" w:hAnsiTheme="minorBidi"/>
                <w:b/>
                <w:bCs/>
                <w:sz w:val="24"/>
                <w:szCs w:val="24"/>
              </w:rPr>
            </w:pPr>
            <w:r w:rsidRPr="00F326A0">
              <w:rPr>
                <w:rFonts w:asciiTheme="minorBidi" w:hAnsiTheme="minorBidi"/>
                <w:b/>
                <w:bCs/>
                <w:sz w:val="24"/>
                <w:szCs w:val="24"/>
              </w:rPr>
              <w:t>Dynasty</w:t>
            </w:r>
          </w:p>
        </w:tc>
        <w:tc>
          <w:tcPr>
            <w:tcW w:w="2520" w:type="dxa"/>
            <w:shd w:val="clear" w:color="auto" w:fill="DAEEF3" w:themeFill="accent5" w:themeFillTint="33"/>
            <w:vAlign w:val="center"/>
          </w:tcPr>
          <w:p w:rsidR="00F326A0" w:rsidRPr="00F326A0" w:rsidRDefault="00F326A0" w:rsidP="00C24F73">
            <w:pPr>
              <w:jc w:val="center"/>
              <w:rPr>
                <w:rFonts w:asciiTheme="minorBidi" w:hAnsiTheme="minorBidi"/>
                <w:b/>
                <w:bCs/>
                <w:sz w:val="24"/>
                <w:szCs w:val="24"/>
              </w:rPr>
            </w:pPr>
            <w:r>
              <w:rPr>
                <w:rFonts w:asciiTheme="minorBidi" w:hAnsiTheme="minorBidi"/>
                <w:b/>
                <w:bCs/>
                <w:sz w:val="24"/>
                <w:szCs w:val="24"/>
              </w:rPr>
              <w:t>Important pharaohs</w:t>
            </w:r>
          </w:p>
        </w:tc>
        <w:tc>
          <w:tcPr>
            <w:tcW w:w="1667" w:type="dxa"/>
            <w:shd w:val="clear" w:color="auto" w:fill="DAEEF3" w:themeFill="accent5" w:themeFillTint="33"/>
            <w:vAlign w:val="center"/>
          </w:tcPr>
          <w:p w:rsidR="00F326A0" w:rsidRPr="00F326A0" w:rsidRDefault="00F326A0" w:rsidP="00C24F73">
            <w:pPr>
              <w:jc w:val="center"/>
              <w:rPr>
                <w:rFonts w:asciiTheme="minorBidi" w:hAnsiTheme="minorBidi"/>
                <w:b/>
                <w:bCs/>
                <w:sz w:val="24"/>
                <w:szCs w:val="24"/>
              </w:rPr>
            </w:pPr>
            <w:r>
              <w:rPr>
                <w:rFonts w:asciiTheme="minorBidi" w:hAnsiTheme="minorBidi"/>
                <w:b/>
                <w:bCs/>
                <w:sz w:val="24"/>
                <w:szCs w:val="24"/>
              </w:rPr>
              <w:t>Israel</w:t>
            </w: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~2000</w:t>
            </w:r>
          </w:p>
        </w:tc>
        <w:tc>
          <w:tcPr>
            <w:tcW w:w="2250"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Middle Bronze I</w:t>
            </w:r>
          </w:p>
        </w:tc>
        <w:tc>
          <w:tcPr>
            <w:tcW w:w="1170" w:type="dxa"/>
            <w:vAlign w:val="center"/>
          </w:tcPr>
          <w:p w:rsidR="00F326A0" w:rsidRPr="00F326A0" w:rsidRDefault="00F326A0" w:rsidP="00C24F73">
            <w:pPr>
              <w:jc w:val="center"/>
              <w:rPr>
                <w:rFonts w:asciiTheme="minorBidi" w:hAnsiTheme="minorBidi"/>
                <w:b/>
                <w:bCs/>
                <w:sz w:val="24"/>
                <w:szCs w:val="24"/>
              </w:rPr>
            </w:pPr>
          </w:p>
        </w:tc>
        <w:tc>
          <w:tcPr>
            <w:tcW w:w="2520" w:type="dxa"/>
            <w:vAlign w:val="center"/>
          </w:tcPr>
          <w:p w:rsidR="00F326A0" w:rsidRDefault="00F326A0" w:rsidP="00C24F73">
            <w:pPr>
              <w:jc w:val="center"/>
              <w:rPr>
                <w:rFonts w:asciiTheme="minorBidi" w:hAnsiTheme="minorBidi"/>
                <w:sz w:val="24"/>
                <w:szCs w:val="24"/>
              </w:rPr>
            </w:pPr>
          </w:p>
        </w:tc>
        <w:tc>
          <w:tcPr>
            <w:tcW w:w="1667" w:type="dxa"/>
            <w:vAlign w:val="center"/>
          </w:tcPr>
          <w:p w:rsidR="00F326A0" w:rsidRDefault="00F326A0" w:rsidP="00C24F73">
            <w:pPr>
              <w:jc w:val="center"/>
              <w:rPr>
                <w:rFonts w:asciiTheme="minorBidi" w:hAnsiTheme="minorBidi"/>
                <w:sz w:val="24"/>
                <w:szCs w:val="24"/>
              </w:rPr>
            </w:pP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~1700</w:t>
            </w:r>
          </w:p>
        </w:tc>
        <w:tc>
          <w:tcPr>
            <w:tcW w:w="2250"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Middle Bronze II B</w:t>
            </w:r>
          </w:p>
        </w:tc>
        <w:tc>
          <w:tcPr>
            <w:tcW w:w="1170" w:type="dxa"/>
            <w:vAlign w:val="center"/>
          </w:tcPr>
          <w:p w:rsidR="00F326A0" w:rsidRPr="00F326A0" w:rsidRDefault="00F326A0" w:rsidP="00C24F73">
            <w:pPr>
              <w:jc w:val="center"/>
              <w:rPr>
                <w:rFonts w:asciiTheme="minorBidi" w:hAnsiTheme="minorBidi"/>
                <w:b/>
                <w:bCs/>
                <w:sz w:val="24"/>
                <w:szCs w:val="24"/>
              </w:rPr>
            </w:pPr>
            <w:r>
              <w:rPr>
                <w:rFonts w:asciiTheme="minorBidi" w:hAnsiTheme="minorBidi"/>
                <w:b/>
                <w:bCs/>
                <w:sz w:val="24"/>
                <w:szCs w:val="24"/>
              </w:rPr>
              <w:t>Hyksos</w:t>
            </w:r>
          </w:p>
        </w:tc>
        <w:tc>
          <w:tcPr>
            <w:tcW w:w="2520" w:type="dxa"/>
            <w:vAlign w:val="center"/>
          </w:tcPr>
          <w:p w:rsidR="00F326A0" w:rsidRDefault="00F326A0" w:rsidP="00C24F73">
            <w:pPr>
              <w:jc w:val="center"/>
              <w:rPr>
                <w:rFonts w:asciiTheme="minorBidi" w:hAnsiTheme="minorBidi"/>
                <w:sz w:val="24"/>
                <w:szCs w:val="24"/>
              </w:rPr>
            </w:pPr>
          </w:p>
        </w:tc>
        <w:tc>
          <w:tcPr>
            <w:tcW w:w="1667" w:type="dxa"/>
            <w:vAlign w:val="center"/>
          </w:tcPr>
          <w:p w:rsidR="00F326A0" w:rsidRDefault="00F326A0" w:rsidP="00C24F73">
            <w:pPr>
              <w:jc w:val="center"/>
              <w:rPr>
                <w:rFonts w:asciiTheme="minorBidi" w:hAnsiTheme="minorBidi"/>
                <w:sz w:val="24"/>
                <w:szCs w:val="24"/>
              </w:rPr>
            </w:pP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~1550</w:t>
            </w:r>
          </w:p>
        </w:tc>
        <w:tc>
          <w:tcPr>
            <w:tcW w:w="2250"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Late Bronze</w:t>
            </w:r>
          </w:p>
        </w:tc>
        <w:tc>
          <w:tcPr>
            <w:tcW w:w="1170" w:type="dxa"/>
            <w:vAlign w:val="center"/>
          </w:tcPr>
          <w:p w:rsidR="00F326A0" w:rsidRPr="00F326A0" w:rsidRDefault="00F326A0" w:rsidP="00C24F73">
            <w:pPr>
              <w:jc w:val="center"/>
              <w:rPr>
                <w:rFonts w:asciiTheme="minorBidi" w:hAnsiTheme="minorBidi"/>
                <w:b/>
                <w:bCs/>
                <w:sz w:val="24"/>
                <w:szCs w:val="24"/>
              </w:rPr>
            </w:pPr>
            <w:r>
              <w:rPr>
                <w:rFonts w:asciiTheme="minorBidi" w:hAnsiTheme="minorBidi"/>
                <w:b/>
                <w:bCs/>
                <w:sz w:val="24"/>
                <w:szCs w:val="24"/>
              </w:rPr>
              <w:t>18</w:t>
            </w:r>
          </w:p>
        </w:tc>
        <w:tc>
          <w:tcPr>
            <w:tcW w:w="2520"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 xml:space="preserve">Ahmose I </w:t>
            </w:r>
            <w:r w:rsidR="00E064B3">
              <w:rPr>
                <w:rFonts w:asciiTheme="minorBidi" w:hAnsiTheme="minorBidi"/>
                <w:sz w:val="24"/>
                <w:szCs w:val="24"/>
              </w:rPr>
              <w:t>–</w:t>
            </w:r>
            <w:r>
              <w:rPr>
                <w:rFonts w:asciiTheme="minorBidi" w:hAnsiTheme="minorBidi"/>
                <w:sz w:val="24"/>
                <w:szCs w:val="24"/>
              </w:rPr>
              <w:t xml:space="preserve"> </w:t>
            </w:r>
            <w:r w:rsidR="00E064B3">
              <w:rPr>
                <w:rFonts w:asciiTheme="minorBidi" w:hAnsiTheme="minorBidi"/>
                <w:sz w:val="24"/>
                <w:szCs w:val="24"/>
              </w:rPr>
              <w:t>expulsion of the Hyksos</w:t>
            </w:r>
          </w:p>
          <w:p w:rsidR="00F326A0" w:rsidRDefault="00F326A0" w:rsidP="00C24F73">
            <w:pPr>
              <w:jc w:val="center"/>
              <w:rPr>
                <w:rFonts w:asciiTheme="minorBidi" w:hAnsiTheme="minorBidi"/>
                <w:sz w:val="24"/>
                <w:szCs w:val="24"/>
              </w:rPr>
            </w:pPr>
            <w:r>
              <w:rPr>
                <w:rFonts w:asciiTheme="minorBidi" w:hAnsiTheme="minorBidi"/>
                <w:sz w:val="24"/>
                <w:szCs w:val="24"/>
              </w:rPr>
              <w:t>Tuthmose III</w:t>
            </w:r>
          </w:p>
        </w:tc>
        <w:tc>
          <w:tcPr>
            <w:tcW w:w="1667" w:type="dxa"/>
            <w:vAlign w:val="center"/>
          </w:tcPr>
          <w:p w:rsidR="00F326A0" w:rsidRDefault="00F326A0" w:rsidP="00C24F73">
            <w:pPr>
              <w:jc w:val="center"/>
              <w:rPr>
                <w:rFonts w:asciiTheme="minorBidi" w:hAnsiTheme="minorBidi"/>
                <w:sz w:val="24"/>
                <w:szCs w:val="24"/>
              </w:rPr>
            </w:pP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~1450</w:t>
            </w:r>
          </w:p>
        </w:tc>
        <w:tc>
          <w:tcPr>
            <w:tcW w:w="2250" w:type="dxa"/>
            <w:vAlign w:val="center"/>
          </w:tcPr>
          <w:p w:rsidR="00F326A0" w:rsidRDefault="00F326A0" w:rsidP="00C24F73">
            <w:pPr>
              <w:jc w:val="center"/>
              <w:rPr>
                <w:rFonts w:asciiTheme="minorBidi" w:hAnsiTheme="minorBidi"/>
                <w:sz w:val="24"/>
                <w:szCs w:val="24"/>
              </w:rPr>
            </w:pPr>
          </w:p>
        </w:tc>
        <w:tc>
          <w:tcPr>
            <w:tcW w:w="1170" w:type="dxa"/>
            <w:vAlign w:val="center"/>
          </w:tcPr>
          <w:p w:rsidR="00F326A0" w:rsidRPr="00F326A0" w:rsidRDefault="00F326A0" w:rsidP="00C24F73">
            <w:pPr>
              <w:jc w:val="center"/>
              <w:rPr>
                <w:rFonts w:asciiTheme="minorBidi" w:hAnsiTheme="minorBidi"/>
                <w:b/>
                <w:bCs/>
                <w:sz w:val="24"/>
                <w:szCs w:val="24"/>
              </w:rPr>
            </w:pPr>
          </w:p>
        </w:tc>
        <w:tc>
          <w:tcPr>
            <w:tcW w:w="2520" w:type="dxa"/>
            <w:vAlign w:val="center"/>
          </w:tcPr>
          <w:p w:rsidR="00F326A0" w:rsidRDefault="00E064B3" w:rsidP="00C24F73">
            <w:pPr>
              <w:jc w:val="center"/>
              <w:rPr>
                <w:rFonts w:asciiTheme="minorBidi" w:hAnsiTheme="minorBidi"/>
                <w:sz w:val="24"/>
                <w:szCs w:val="24"/>
              </w:rPr>
            </w:pPr>
            <w:r>
              <w:rPr>
                <w:rFonts w:asciiTheme="minorBidi" w:hAnsiTheme="minorBidi"/>
                <w:sz w:val="24"/>
                <w:szCs w:val="24"/>
              </w:rPr>
              <w:t>Amenhotep II</w:t>
            </w:r>
          </w:p>
        </w:tc>
        <w:tc>
          <w:tcPr>
            <w:tcW w:w="1667" w:type="dxa"/>
            <w:vAlign w:val="center"/>
          </w:tcPr>
          <w:p w:rsidR="00F326A0" w:rsidRDefault="00E064B3" w:rsidP="00C24F73">
            <w:pPr>
              <w:jc w:val="center"/>
              <w:rPr>
                <w:rFonts w:asciiTheme="minorBidi" w:hAnsiTheme="minorBidi"/>
                <w:sz w:val="24"/>
                <w:szCs w:val="24"/>
              </w:rPr>
            </w:pPr>
            <w:r>
              <w:rPr>
                <w:rFonts w:asciiTheme="minorBidi" w:hAnsiTheme="minorBidi"/>
                <w:sz w:val="24"/>
                <w:szCs w:val="24"/>
              </w:rPr>
              <w:t xml:space="preserve">Exodus according to </w:t>
            </w:r>
            <w:r w:rsidRPr="00E064B3">
              <w:rPr>
                <w:rFonts w:asciiTheme="minorBidi" w:hAnsiTheme="minorBidi"/>
                <w:i/>
                <w:iCs/>
                <w:sz w:val="24"/>
                <w:szCs w:val="24"/>
              </w:rPr>
              <w:t>Tanakh</w:t>
            </w: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~1400</w:t>
            </w:r>
          </w:p>
        </w:tc>
        <w:tc>
          <w:tcPr>
            <w:tcW w:w="2250" w:type="dxa"/>
            <w:vAlign w:val="center"/>
          </w:tcPr>
          <w:p w:rsidR="00F326A0" w:rsidRDefault="00F326A0" w:rsidP="00C24F73">
            <w:pPr>
              <w:jc w:val="center"/>
              <w:rPr>
                <w:rFonts w:asciiTheme="minorBidi" w:hAnsiTheme="minorBidi"/>
                <w:sz w:val="24"/>
                <w:szCs w:val="24"/>
              </w:rPr>
            </w:pPr>
          </w:p>
        </w:tc>
        <w:tc>
          <w:tcPr>
            <w:tcW w:w="1170" w:type="dxa"/>
            <w:vAlign w:val="center"/>
          </w:tcPr>
          <w:p w:rsidR="00F326A0" w:rsidRPr="00F326A0" w:rsidRDefault="00F326A0" w:rsidP="00C24F73">
            <w:pPr>
              <w:jc w:val="center"/>
              <w:rPr>
                <w:rFonts w:asciiTheme="minorBidi" w:hAnsiTheme="minorBidi"/>
                <w:b/>
                <w:bCs/>
                <w:sz w:val="24"/>
                <w:szCs w:val="24"/>
              </w:rPr>
            </w:pPr>
          </w:p>
        </w:tc>
        <w:tc>
          <w:tcPr>
            <w:tcW w:w="2520" w:type="dxa"/>
            <w:vAlign w:val="center"/>
          </w:tcPr>
          <w:p w:rsidR="00F326A0" w:rsidRDefault="00E064B3" w:rsidP="00C24F73">
            <w:pPr>
              <w:jc w:val="center"/>
              <w:rPr>
                <w:rFonts w:asciiTheme="minorBidi" w:hAnsiTheme="minorBidi"/>
                <w:sz w:val="24"/>
                <w:szCs w:val="24"/>
              </w:rPr>
            </w:pPr>
            <w:r>
              <w:rPr>
                <w:rFonts w:asciiTheme="minorBidi" w:hAnsiTheme="minorBidi"/>
                <w:sz w:val="24"/>
                <w:szCs w:val="24"/>
              </w:rPr>
              <w:t>Amenhotep III – Amarna letters</w:t>
            </w:r>
          </w:p>
          <w:p w:rsidR="00E064B3" w:rsidRDefault="00E064B3" w:rsidP="00C24F73">
            <w:pPr>
              <w:jc w:val="center"/>
              <w:rPr>
                <w:rFonts w:asciiTheme="minorBidi" w:hAnsiTheme="minorBidi"/>
                <w:sz w:val="24"/>
                <w:szCs w:val="24"/>
              </w:rPr>
            </w:pPr>
            <w:r>
              <w:rPr>
                <w:rFonts w:asciiTheme="minorBidi" w:hAnsiTheme="minorBidi"/>
                <w:sz w:val="24"/>
                <w:szCs w:val="24"/>
              </w:rPr>
              <w:t>Amenhotep IV = Akhenaten</w:t>
            </w:r>
          </w:p>
        </w:tc>
        <w:tc>
          <w:tcPr>
            <w:tcW w:w="1667" w:type="dxa"/>
            <w:vAlign w:val="center"/>
          </w:tcPr>
          <w:p w:rsidR="00F326A0" w:rsidRDefault="00E064B3" w:rsidP="00C24F73">
            <w:pPr>
              <w:jc w:val="center"/>
              <w:rPr>
                <w:rFonts w:asciiTheme="minorBidi" w:hAnsiTheme="minorBidi"/>
                <w:sz w:val="24"/>
                <w:szCs w:val="24"/>
              </w:rPr>
            </w:pPr>
            <w:r>
              <w:rPr>
                <w:rFonts w:asciiTheme="minorBidi" w:hAnsiTheme="minorBidi"/>
                <w:sz w:val="24"/>
                <w:szCs w:val="24"/>
              </w:rPr>
              <w:t xml:space="preserve">Conquest of Canaan according to </w:t>
            </w:r>
            <w:r w:rsidRPr="00E064B3">
              <w:rPr>
                <w:rFonts w:asciiTheme="minorBidi" w:hAnsiTheme="minorBidi"/>
                <w:i/>
                <w:iCs/>
                <w:sz w:val="24"/>
                <w:szCs w:val="24"/>
              </w:rPr>
              <w:t>Tanakh</w:t>
            </w: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~1320</w:t>
            </w:r>
          </w:p>
        </w:tc>
        <w:tc>
          <w:tcPr>
            <w:tcW w:w="2250" w:type="dxa"/>
            <w:vAlign w:val="center"/>
          </w:tcPr>
          <w:p w:rsidR="00F326A0" w:rsidRDefault="00F326A0" w:rsidP="00C24F73">
            <w:pPr>
              <w:jc w:val="center"/>
              <w:rPr>
                <w:rFonts w:asciiTheme="minorBidi" w:hAnsiTheme="minorBidi"/>
                <w:sz w:val="24"/>
                <w:szCs w:val="24"/>
              </w:rPr>
            </w:pPr>
          </w:p>
        </w:tc>
        <w:tc>
          <w:tcPr>
            <w:tcW w:w="1170" w:type="dxa"/>
            <w:vAlign w:val="center"/>
          </w:tcPr>
          <w:p w:rsidR="00F326A0" w:rsidRPr="00F326A0" w:rsidRDefault="00F326A0" w:rsidP="00C24F73">
            <w:pPr>
              <w:jc w:val="center"/>
              <w:rPr>
                <w:rFonts w:asciiTheme="minorBidi" w:hAnsiTheme="minorBidi"/>
                <w:b/>
                <w:bCs/>
                <w:sz w:val="24"/>
                <w:szCs w:val="24"/>
              </w:rPr>
            </w:pPr>
            <w:r>
              <w:rPr>
                <w:rFonts w:asciiTheme="minorBidi" w:hAnsiTheme="minorBidi"/>
                <w:b/>
                <w:bCs/>
                <w:sz w:val="24"/>
                <w:szCs w:val="24"/>
              </w:rPr>
              <w:t>19</w:t>
            </w:r>
          </w:p>
        </w:tc>
        <w:tc>
          <w:tcPr>
            <w:tcW w:w="2520" w:type="dxa"/>
            <w:vAlign w:val="center"/>
          </w:tcPr>
          <w:p w:rsidR="00F326A0" w:rsidRDefault="00E064B3" w:rsidP="00C24F73">
            <w:pPr>
              <w:jc w:val="center"/>
              <w:rPr>
                <w:rFonts w:asciiTheme="minorBidi" w:hAnsiTheme="minorBidi"/>
                <w:sz w:val="24"/>
                <w:szCs w:val="24"/>
              </w:rPr>
            </w:pPr>
            <w:r>
              <w:rPr>
                <w:rFonts w:asciiTheme="minorBidi" w:hAnsiTheme="minorBidi"/>
                <w:sz w:val="24"/>
                <w:szCs w:val="24"/>
              </w:rPr>
              <w:t>Seti I</w:t>
            </w:r>
          </w:p>
        </w:tc>
        <w:tc>
          <w:tcPr>
            <w:tcW w:w="1667" w:type="dxa"/>
            <w:vAlign w:val="center"/>
          </w:tcPr>
          <w:p w:rsidR="00F326A0" w:rsidRDefault="00F326A0" w:rsidP="00C24F73">
            <w:pPr>
              <w:jc w:val="center"/>
              <w:rPr>
                <w:rFonts w:asciiTheme="minorBidi" w:hAnsiTheme="minorBidi"/>
                <w:sz w:val="24"/>
                <w:szCs w:val="24"/>
              </w:rPr>
            </w:pP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~1290</w:t>
            </w:r>
          </w:p>
        </w:tc>
        <w:tc>
          <w:tcPr>
            <w:tcW w:w="2250" w:type="dxa"/>
            <w:vAlign w:val="center"/>
          </w:tcPr>
          <w:p w:rsidR="00F326A0" w:rsidRDefault="00F326A0" w:rsidP="00C24F73">
            <w:pPr>
              <w:jc w:val="center"/>
              <w:rPr>
                <w:rFonts w:asciiTheme="minorBidi" w:hAnsiTheme="minorBidi"/>
                <w:sz w:val="24"/>
                <w:szCs w:val="24"/>
              </w:rPr>
            </w:pPr>
          </w:p>
        </w:tc>
        <w:tc>
          <w:tcPr>
            <w:tcW w:w="1170" w:type="dxa"/>
            <w:vAlign w:val="center"/>
          </w:tcPr>
          <w:p w:rsidR="00F326A0" w:rsidRPr="00F326A0" w:rsidRDefault="00F326A0" w:rsidP="00C24F73">
            <w:pPr>
              <w:jc w:val="center"/>
              <w:rPr>
                <w:rFonts w:asciiTheme="minorBidi" w:hAnsiTheme="minorBidi"/>
                <w:b/>
                <w:bCs/>
                <w:sz w:val="24"/>
                <w:szCs w:val="24"/>
              </w:rPr>
            </w:pPr>
          </w:p>
        </w:tc>
        <w:tc>
          <w:tcPr>
            <w:tcW w:w="2520" w:type="dxa"/>
            <w:vAlign w:val="center"/>
          </w:tcPr>
          <w:p w:rsidR="00F326A0" w:rsidRDefault="00793664" w:rsidP="00C24F73">
            <w:pPr>
              <w:jc w:val="center"/>
              <w:rPr>
                <w:rFonts w:asciiTheme="minorBidi" w:hAnsiTheme="minorBidi"/>
                <w:sz w:val="24"/>
                <w:szCs w:val="24"/>
              </w:rPr>
            </w:pPr>
            <w:r>
              <w:rPr>
                <w:rFonts w:asciiTheme="minorBidi" w:hAnsiTheme="minorBidi"/>
                <w:sz w:val="24"/>
                <w:szCs w:val="24"/>
              </w:rPr>
              <w:t>Ramesses</w:t>
            </w:r>
            <w:r w:rsidR="00E064B3">
              <w:rPr>
                <w:rFonts w:asciiTheme="minorBidi" w:hAnsiTheme="minorBidi"/>
                <w:sz w:val="24"/>
                <w:szCs w:val="24"/>
              </w:rPr>
              <w:t xml:space="preserve"> II</w:t>
            </w:r>
          </w:p>
        </w:tc>
        <w:tc>
          <w:tcPr>
            <w:tcW w:w="1667" w:type="dxa"/>
            <w:vAlign w:val="center"/>
          </w:tcPr>
          <w:p w:rsidR="00F326A0" w:rsidRDefault="00E064B3" w:rsidP="00C24F73">
            <w:pPr>
              <w:jc w:val="center"/>
              <w:rPr>
                <w:rFonts w:asciiTheme="minorBidi" w:hAnsiTheme="minorBidi"/>
                <w:sz w:val="24"/>
                <w:szCs w:val="24"/>
              </w:rPr>
            </w:pPr>
            <w:r>
              <w:rPr>
                <w:rFonts w:asciiTheme="minorBidi" w:hAnsiTheme="minorBidi"/>
                <w:sz w:val="24"/>
                <w:szCs w:val="24"/>
              </w:rPr>
              <w:t>Exodus (accepted)</w:t>
            </w: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lastRenderedPageBreak/>
              <w:t>~1230</w:t>
            </w:r>
          </w:p>
        </w:tc>
        <w:tc>
          <w:tcPr>
            <w:tcW w:w="2250" w:type="dxa"/>
            <w:vAlign w:val="center"/>
          </w:tcPr>
          <w:p w:rsidR="00F326A0" w:rsidRDefault="00F326A0" w:rsidP="00C24F73">
            <w:pPr>
              <w:jc w:val="center"/>
              <w:rPr>
                <w:rFonts w:asciiTheme="minorBidi" w:hAnsiTheme="minorBidi"/>
                <w:sz w:val="24"/>
                <w:szCs w:val="24"/>
              </w:rPr>
            </w:pPr>
          </w:p>
        </w:tc>
        <w:tc>
          <w:tcPr>
            <w:tcW w:w="1170" w:type="dxa"/>
            <w:vAlign w:val="center"/>
          </w:tcPr>
          <w:p w:rsidR="00F326A0" w:rsidRPr="00F326A0" w:rsidRDefault="00F326A0" w:rsidP="00C24F73">
            <w:pPr>
              <w:jc w:val="center"/>
              <w:rPr>
                <w:rFonts w:asciiTheme="minorBidi" w:hAnsiTheme="minorBidi"/>
                <w:b/>
                <w:bCs/>
                <w:sz w:val="24"/>
                <w:szCs w:val="24"/>
              </w:rPr>
            </w:pPr>
          </w:p>
        </w:tc>
        <w:tc>
          <w:tcPr>
            <w:tcW w:w="2520" w:type="dxa"/>
            <w:vAlign w:val="center"/>
          </w:tcPr>
          <w:p w:rsidR="00F326A0" w:rsidRDefault="00E064B3" w:rsidP="00C24F73">
            <w:pPr>
              <w:jc w:val="center"/>
              <w:rPr>
                <w:rFonts w:asciiTheme="minorBidi" w:hAnsiTheme="minorBidi"/>
                <w:sz w:val="24"/>
                <w:szCs w:val="24"/>
              </w:rPr>
            </w:pPr>
            <w:r>
              <w:rPr>
                <w:rFonts w:asciiTheme="minorBidi" w:hAnsiTheme="minorBidi"/>
                <w:sz w:val="24"/>
                <w:szCs w:val="24"/>
              </w:rPr>
              <w:t>Merneptah – “Israel Stele”</w:t>
            </w:r>
          </w:p>
        </w:tc>
        <w:tc>
          <w:tcPr>
            <w:tcW w:w="1667" w:type="dxa"/>
            <w:vAlign w:val="center"/>
          </w:tcPr>
          <w:p w:rsidR="00F326A0" w:rsidRDefault="00E064B3" w:rsidP="00C24F73">
            <w:pPr>
              <w:jc w:val="center"/>
              <w:rPr>
                <w:rFonts w:asciiTheme="minorBidi" w:hAnsiTheme="minorBidi"/>
                <w:sz w:val="24"/>
                <w:szCs w:val="24"/>
              </w:rPr>
            </w:pPr>
            <w:r>
              <w:rPr>
                <w:rFonts w:asciiTheme="minorBidi" w:hAnsiTheme="minorBidi"/>
                <w:sz w:val="24"/>
                <w:szCs w:val="24"/>
              </w:rPr>
              <w:t>Conquest of Canaan (accepted)</w:t>
            </w: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~1200</w:t>
            </w:r>
          </w:p>
        </w:tc>
        <w:tc>
          <w:tcPr>
            <w:tcW w:w="2250"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Iron I</w:t>
            </w:r>
          </w:p>
        </w:tc>
        <w:tc>
          <w:tcPr>
            <w:tcW w:w="1170" w:type="dxa"/>
            <w:vAlign w:val="center"/>
          </w:tcPr>
          <w:p w:rsidR="00F326A0" w:rsidRPr="00F326A0" w:rsidRDefault="00F326A0" w:rsidP="00C24F73">
            <w:pPr>
              <w:jc w:val="center"/>
              <w:rPr>
                <w:rFonts w:asciiTheme="minorBidi" w:hAnsiTheme="minorBidi"/>
                <w:b/>
                <w:bCs/>
                <w:sz w:val="24"/>
                <w:szCs w:val="24"/>
              </w:rPr>
            </w:pPr>
            <w:r>
              <w:rPr>
                <w:rFonts w:asciiTheme="minorBidi" w:hAnsiTheme="minorBidi"/>
                <w:b/>
                <w:bCs/>
                <w:sz w:val="24"/>
                <w:szCs w:val="24"/>
              </w:rPr>
              <w:t>20</w:t>
            </w:r>
          </w:p>
        </w:tc>
        <w:tc>
          <w:tcPr>
            <w:tcW w:w="2520" w:type="dxa"/>
            <w:vAlign w:val="center"/>
          </w:tcPr>
          <w:p w:rsidR="00F326A0" w:rsidRDefault="00793664" w:rsidP="00C24F73">
            <w:pPr>
              <w:jc w:val="center"/>
              <w:rPr>
                <w:rFonts w:asciiTheme="minorBidi" w:hAnsiTheme="minorBidi"/>
                <w:sz w:val="24"/>
                <w:szCs w:val="24"/>
              </w:rPr>
            </w:pPr>
            <w:r>
              <w:rPr>
                <w:rFonts w:asciiTheme="minorBidi" w:hAnsiTheme="minorBidi"/>
                <w:sz w:val="24"/>
                <w:szCs w:val="24"/>
              </w:rPr>
              <w:t>Ramesses</w:t>
            </w:r>
            <w:r w:rsidR="00E064B3">
              <w:rPr>
                <w:rFonts w:asciiTheme="minorBidi" w:hAnsiTheme="minorBidi"/>
                <w:sz w:val="24"/>
                <w:szCs w:val="24"/>
              </w:rPr>
              <w:t xml:space="preserve"> III</w:t>
            </w:r>
          </w:p>
        </w:tc>
        <w:tc>
          <w:tcPr>
            <w:tcW w:w="1667" w:type="dxa"/>
            <w:vAlign w:val="center"/>
          </w:tcPr>
          <w:p w:rsidR="00F326A0" w:rsidRDefault="00F326A0" w:rsidP="00C24F73">
            <w:pPr>
              <w:jc w:val="center"/>
              <w:rPr>
                <w:rFonts w:asciiTheme="minorBidi" w:hAnsiTheme="minorBidi"/>
                <w:sz w:val="24"/>
                <w:szCs w:val="24"/>
              </w:rPr>
            </w:pP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~1100</w:t>
            </w:r>
          </w:p>
        </w:tc>
        <w:tc>
          <w:tcPr>
            <w:tcW w:w="2250"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Iron II</w:t>
            </w:r>
          </w:p>
        </w:tc>
        <w:tc>
          <w:tcPr>
            <w:tcW w:w="1170" w:type="dxa"/>
            <w:vAlign w:val="center"/>
          </w:tcPr>
          <w:p w:rsidR="00F326A0" w:rsidRPr="00F326A0" w:rsidRDefault="00F326A0" w:rsidP="00C24F73">
            <w:pPr>
              <w:jc w:val="center"/>
              <w:rPr>
                <w:rFonts w:asciiTheme="minorBidi" w:hAnsiTheme="minorBidi"/>
                <w:b/>
                <w:bCs/>
                <w:sz w:val="24"/>
                <w:szCs w:val="24"/>
              </w:rPr>
            </w:pPr>
          </w:p>
        </w:tc>
        <w:tc>
          <w:tcPr>
            <w:tcW w:w="2520" w:type="dxa"/>
            <w:vAlign w:val="center"/>
          </w:tcPr>
          <w:p w:rsidR="00F326A0" w:rsidRDefault="00793664" w:rsidP="00C24F73">
            <w:pPr>
              <w:jc w:val="center"/>
              <w:rPr>
                <w:rFonts w:asciiTheme="minorBidi" w:hAnsiTheme="minorBidi"/>
                <w:sz w:val="24"/>
                <w:szCs w:val="24"/>
              </w:rPr>
            </w:pPr>
            <w:r>
              <w:rPr>
                <w:rFonts w:asciiTheme="minorBidi" w:hAnsiTheme="minorBidi"/>
                <w:sz w:val="24"/>
                <w:szCs w:val="24"/>
              </w:rPr>
              <w:t>Ramesses</w:t>
            </w:r>
            <w:r w:rsidR="00E064B3">
              <w:rPr>
                <w:rFonts w:asciiTheme="minorBidi" w:hAnsiTheme="minorBidi"/>
                <w:sz w:val="24"/>
                <w:szCs w:val="24"/>
              </w:rPr>
              <w:t xml:space="preserve"> XI</w:t>
            </w:r>
          </w:p>
        </w:tc>
        <w:tc>
          <w:tcPr>
            <w:tcW w:w="1667" w:type="dxa"/>
            <w:vAlign w:val="center"/>
          </w:tcPr>
          <w:p w:rsidR="00F326A0" w:rsidRDefault="00F326A0" w:rsidP="00C24F73">
            <w:pPr>
              <w:jc w:val="center"/>
              <w:rPr>
                <w:rFonts w:asciiTheme="minorBidi" w:hAnsiTheme="minorBidi"/>
                <w:sz w:val="24"/>
                <w:szCs w:val="24"/>
              </w:rPr>
            </w:pP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~1070</w:t>
            </w:r>
          </w:p>
        </w:tc>
        <w:tc>
          <w:tcPr>
            <w:tcW w:w="2250" w:type="dxa"/>
            <w:vAlign w:val="center"/>
          </w:tcPr>
          <w:p w:rsidR="00F326A0" w:rsidRDefault="00F326A0" w:rsidP="00C24F73">
            <w:pPr>
              <w:jc w:val="center"/>
              <w:rPr>
                <w:rFonts w:asciiTheme="minorBidi" w:hAnsiTheme="minorBidi"/>
                <w:sz w:val="24"/>
                <w:szCs w:val="24"/>
              </w:rPr>
            </w:pPr>
          </w:p>
        </w:tc>
        <w:tc>
          <w:tcPr>
            <w:tcW w:w="1170" w:type="dxa"/>
            <w:vAlign w:val="center"/>
          </w:tcPr>
          <w:p w:rsidR="00F326A0" w:rsidRPr="00F326A0" w:rsidRDefault="00F326A0" w:rsidP="00C24F73">
            <w:pPr>
              <w:jc w:val="center"/>
              <w:rPr>
                <w:rFonts w:asciiTheme="minorBidi" w:hAnsiTheme="minorBidi"/>
                <w:b/>
                <w:bCs/>
                <w:sz w:val="24"/>
                <w:szCs w:val="24"/>
              </w:rPr>
            </w:pPr>
            <w:r>
              <w:rPr>
                <w:rFonts w:asciiTheme="minorBidi" w:hAnsiTheme="minorBidi"/>
                <w:b/>
                <w:bCs/>
                <w:sz w:val="24"/>
                <w:szCs w:val="24"/>
              </w:rPr>
              <w:t>21</w:t>
            </w:r>
          </w:p>
        </w:tc>
        <w:tc>
          <w:tcPr>
            <w:tcW w:w="2520" w:type="dxa"/>
            <w:vAlign w:val="center"/>
          </w:tcPr>
          <w:p w:rsidR="00F326A0" w:rsidRDefault="00F326A0" w:rsidP="00C24F73">
            <w:pPr>
              <w:jc w:val="center"/>
              <w:rPr>
                <w:rFonts w:asciiTheme="minorBidi" w:hAnsiTheme="minorBidi"/>
                <w:sz w:val="24"/>
                <w:szCs w:val="24"/>
              </w:rPr>
            </w:pPr>
          </w:p>
        </w:tc>
        <w:tc>
          <w:tcPr>
            <w:tcW w:w="1667" w:type="dxa"/>
            <w:vAlign w:val="center"/>
          </w:tcPr>
          <w:p w:rsidR="00F326A0" w:rsidRDefault="00F326A0" w:rsidP="00C24F73">
            <w:pPr>
              <w:jc w:val="center"/>
              <w:rPr>
                <w:rFonts w:asciiTheme="minorBidi" w:hAnsiTheme="minorBidi"/>
                <w:sz w:val="24"/>
                <w:szCs w:val="24"/>
              </w:rPr>
            </w:pP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~1010</w:t>
            </w:r>
          </w:p>
        </w:tc>
        <w:tc>
          <w:tcPr>
            <w:tcW w:w="2250" w:type="dxa"/>
            <w:vAlign w:val="center"/>
          </w:tcPr>
          <w:p w:rsidR="00F326A0" w:rsidRDefault="00F326A0" w:rsidP="00C24F73">
            <w:pPr>
              <w:jc w:val="center"/>
              <w:rPr>
                <w:rFonts w:asciiTheme="minorBidi" w:hAnsiTheme="minorBidi"/>
                <w:sz w:val="24"/>
                <w:szCs w:val="24"/>
              </w:rPr>
            </w:pPr>
          </w:p>
        </w:tc>
        <w:tc>
          <w:tcPr>
            <w:tcW w:w="1170" w:type="dxa"/>
            <w:vAlign w:val="center"/>
          </w:tcPr>
          <w:p w:rsidR="00F326A0" w:rsidRPr="00F326A0" w:rsidRDefault="00F326A0" w:rsidP="00C24F73">
            <w:pPr>
              <w:jc w:val="center"/>
              <w:rPr>
                <w:rFonts w:asciiTheme="minorBidi" w:hAnsiTheme="minorBidi"/>
                <w:b/>
                <w:bCs/>
                <w:sz w:val="24"/>
                <w:szCs w:val="24"/>
              </w:rPr>
            </w:pPr>
          </w:p>
        </w:tc>
        <w:tc>
          <w:tcPr>
            <w:tcW w:w="2520" w:type="dxa"/>
            <w:vAlign w:val="center"/>
          </w:tcPr>
          <w:p w:rsidR="00F326A0" w:rsidRDefault="00F326A0" w:rsidP="00C24F73">
            <w:pPr>
              <w:jc w:val="center"/>
              <w:rPr>
                <w:rFonts w:asciiTheme="minorBidi" w:hAnsiTheme="minorBidi"/>
                <w:sz w:val="24"/>
                <w:szCs w:val="24"/>
              </w:rPr>
            </w:pPr>
          </w:p>
        </w:tc>
        <w:tc>
          <w:tcPr>
            <w:tcW w:w="1667" w:type="dxa"/>
            <w:vAlign w:val="center"/>
          </w:tcPr>
          <w:p w:rsidR="00F326A0" w:rsidRDefault="00E064B3" w:rsidP="00C24F73">
            <w:pPr>
              <w:jc w:val="center"/>
              <w:rPr>
                <w:rFonts w:asciiTheme="minorBidi" w:hAnsiTheme="minorBidi"/>
                <w:sz w:val="24"/>
                <w:szCs w:val="24"/>
              </w:rPr>
            </w:pPr>
            <w:r>
              <w:rPr>
                <w:rFonts w:asciiTheme="minorBidi" w:hAnsiTheme="minorBidi"/>
                <w:sz w:val="24"/>
                <w:szCs w:val="24"/>
              </w:rPr>
              <w:t>David</w:t>
            </w:r>
          </w:p>
        </w:tc>
      </w:tr>
      <w:tr w:rsidR="00E064B3" w:rsidTr="00E064B3">
        <w:trPr>
          <w:jc w:val="center"/>
        </w:trPr>
        <w:tc>
          <w:tcPr>
            <w:tcW w:w="918" w:type="dxa"/>
            <w:vAlign w:val="center"/>
          </w:tcPr>
          <w:p w:rsidR="00F326A0" w:rsidRDefault="00F326A0" w:rsidP="00C24F73">
            <w:pPr>
              <w:jc w:val="center"/>
              <w:rPr>
                <w:rFonts w:asciiTheme="minorBidi" w:hAnsiTheme="minorBidi"/>
                <w:sz w:val="24"/>
                <w:szCs w:val="24"/>
              </w:rPr>
            </w:pPr>
            <w:r>
              <w:rPr>
                <w:rFonts w:asciiTheme="minorBidi" w:hAnsiTheme="minorBidi"/>
                <w:sz w:val="24"/>
                <w:szCs w:val="24"/>
              </w:rPr>
              <w:t>~970</w:t>
            </w:r>
          </w:p>
        </w:tc>
        <w:tc>
          <w:tcPr>
            <w:tcW w:w="2250" w:type="dxa"/>
            <w:vAlign w:val="center"/>
          </w:tcPr>
          <w:p w:rsidR="00F326A0" w:rsidRDefault="00F326A0" w:rsidP="00C24F73">
            <w:pPr>
              <w:jc w:val="center"/>
              <w:rPr>
                <w:rFonts w:asciiTheme="minorBidi" w:hAnsiTheme="minorBidi"/>
                <w:sz w:val="24"/>
                <w:szCs w:val="24"/>
              </w:rPr>
            </w:pPr>
          </w:p>
        </w:tc>
        <w:tc>
          <w:tcPr>
            <w:tcW w:w="1170" w:type="dxa"/>
            <w:vAlign w:val="center"/>
          </w:tcPr>
          <w:p w:rsidR="00F326A0" w:rsidRPr="00F326A0" w:rsidRDefault="00F326A0" w:rsidP="00C24F73">
            <w:pPr>
              <w:jc w:val="center"/>
              <w:rPr>
                <w:rFonts w:asciiTheme="minorBidi" w:hAnsiTheme="minorBidi"/>
                <w:b/>
                <w:bCs/>
                <w:sz w:val="24"/>
                <w:szCs w:val="24"/>
              </w:rPr>
            </w:pPr>
          </w:p>
        </w:tc>
        <w:tc>
          <w:tcPr>
            <w:tcW w:w="2520" w:type="dxa"/>
            <w:vAlign w:val="center"/>
          </w:tcPr>
          <w:p w:rsidR="00F326A0" w:rsidRDefault="00F326A0" w:rsidP="00C24F73">
            <w:pPr>
              <w:jc w:val="center"/>
              <w:rPr>
                <w:rFonts w:asciiTheme="minorBidi" w:hAnsiTheme="minorBidi"/>
                <w:sz w:val="24"/>
                <w:szCs w:val="24"/>
              </w:rPr>
            </w:pPr>
          </w:p>
        </w:tc>
        <w:tc>
          <w:tcPr>
            <w:tcW w:w="1667" w:type="dxa"/>
            <w:vAlign w:val="center"/>
          </w:tcPr>
          <w:p w:rsidR="00F326A0" w:rsidRDefault="00E064B3" w:rsidP="00C24F73">
            <w:pPr>
              <w:jc w:val="center"/>
              <w:rPr>
                <w:rFonts w:asciiTheme="minorBidi" w:hAnsiTheme="minorBidi"/>
                <w:sz w:val="24"/>
                <w:szCs w:val="24"/>
              </w:rPr>
            </w:pPr>
            <w:r>
              <w:rPr>
                <w:rFonts w:asciiTheme="minorBidi" w:hAnsiTheme="minorBidi"/>
                <w:sz w:val="24"/>
                <w:szCs w:val="24"/>
              </w:rPr>
              <w:t>Solomon – construction of First Temple</w:t>
            </w:r>
          </w:p>
        </w:tc>
      </w:tr>
    </w:tbl>
    <w:p w:rsidR="00F326A0" w:rsidRPr="00F945DC" w:rsidRDefault="00F326A0" w:rsidP="00C24F73">
      <w:pPr>
        <w:spacing w:after="0" w:line="240" w:lineRule="auto"/>
        <w:jc w:val="both"/>
        <w:rPr>
          <w:rFonts w:asciiTheme="minorBidi" w:hAnsiTheme="minorBidi"/>
          <w:sz w:val="24"/>
          <w:szCs w:val="24"/>
        </w:rPr>
      </w:pPr>
    </w:p>
    <w:p w:rsidR="008C5424" w:rsidRDefault="00BD2069" w:rsidP="00C24F73">
      <w:pPr>
        <w:spacing w:after="0" w:line="240" w:lineRule="auto"/>
        <w:jc w:val="both"/>
        <w:rPr>
          <w:rFonts w:asciiTheme="minorBidi" w:hAnsiTheme="minorBidi"/>
          <w:b/>
          <w:bCs/>
          <w:sz w:val="24"/>
          <w:szCs w:val="24"/>
        </w:rPr>
      </w:pPr>
      <w:r>
        <w:rPr>
          <w:rFonts w:asciiTheme="minorBidi" w:hAnsiTheme="minorBidi"/>
          <w:b/>
          <w:bCs/>
          <w:sz w:val="24"/>
          <w:szCs w:val="24"/>
        </w:rPr>
        <w:t>For further study:</w:t>
      </w:r>
    </w:p>
    <w:p w:rsidR="00BD2069" w:rsidRDefault="00BD2069" w:rsidP="00C24F73">
      <w:pPr>
        <w:spacing w:after="0" w:line="240" w:lineRule="auto"/>
        <w:jc w:val="both"/>
        <w:rPr>
          <w:rFonts w:asciiTheme="minorBidi" w:hAnsiTheme="minorBidi"/>
          <w:b/>
          <w:bCs/>
          <w:sz w:val="24"/>
          <w:szCs w:val="24"/>
        </w:rPr>
      </w:pPr>
    </w:p>
    <w:p w:rsidR="0047169D" w:rsidRDefault="0047169D" w:rsidP="00C24F73">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S. Ahituv, </w:t>
      </w:r>
      <w:r w:rsidR="00501E48">
        <w:rPr>
          <w:rFonts w:asciiTheme="minorBidi" w:hAnsiTheme="minorBidi"/>
          <w:sz w:val="24"/>
          <w:szCs w:val="24"/>
        </w:rPr>
        <w:t>“</w:t>
      </w:r>
      <w:r w:rsidR="00501E48">
        <w:rPr>
          <w:rFonts w:asciiTheme="minorBidi" w:hAnsiTheme="minorBidi"/>
          <w:i/>
          <w:iCs/>
          <w:sz w:val="24"/>
          <w:szCs w:val="24"/>
        </w:rPr>
        <w:t>Le-zeihuyah shel Pitom</w:t>
      </w:r>
      <w:r w:rsidR="00501E48">
        <w:rPr>
          <w:rFonts w:asciiTheme="minorBidi" w:hAnsiTheme="minorBidi"/>
          <w:sz w:val="24"/>
          <w:szCs w:val="24"/>
        </w:rPr>
        <w:t>,” in B. Oppenheimer (ed.), Bible and Jewish History: Studies in Bible and Jewish History Dedicated to the Memory of Jacob Liver, Tel Aviv 1971, 157-160 [Hebrew].</w:t>
      </w:r>
    </w:p>
    <w:p w:rsidR="00501E48" w:rsidRDefault="00501E48" w:rsidP="00C24F73">
      <w:pPr>
        <w:spacing w:after="0" w:line="240" w:lineRule="auto"/>
        <w:ind w:left="720" w:hanging="720"/>
        <w:jc w:val="both"/>
        <w:rPr>
          <w:rFonts w:asciiTheme="minorBidi" w:hAnsiTheme="minorBidi"/>
          <w:sz w:val="24"/>
          <w:szCs w:val="24"/>
        </w:rPr>
      </w:pPr>
    </w:p>
    <w:p w:rsidR="00501E48" w:rsidRDefault="00501E48" w:rsidP="00C24F73">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J. H. Breasted, </w:t>
      </w:r>
      <w:r>
        <w:rPr>
          <w:rFonts w:asciiTheme="minorBidi" w:hAnsiTheme="minorBidi"/>
          <w:i/>
          <w:iCs/>
          <w:sz w:val="24"/>
          <w:szCs w:val="24"/>
        </w:rPr>
        <w:t>A History of Egypt</w:t>
      </w:r>
      <w:r>
        <w:rPr>
          <w:rFonts w:asciiTheme="minorBidi" w:hAnsiTheme="minorBidi"/>
          <w:sz w:val="24"/>
          <w:szCs w:val="24"/>
        </w:rPr>
        <w:t xml:space="preserve">, II, </w:t>
      </w:r>
      <w:r w:rsidR="00962B65">
        <w:rPr>
          <w:rFonts w:asciiTheme="minorBidi" w:hAnsiTheme="minorBidi"/>
          <w:sz w:val="24"/>
          <w:szCs w:val="24"/>
        </w:rPr>
        <w:t>Tel Aviv 1963.</w:t>
      </w:r>
    </w:p>
    <w:p w:rsidR="00962B65" w:rsidRPr="00501E48" w:rsidRDefault="00962B65" w:rsidP="00C24F73">
      <w:pPr>
        <w:spacing w:after="0" w:line="240" w:lineRule="auto"/>
        <w:ind w:left="720" w:hanging="720"/>
        <w:jc w:val="both"/>
        <w:rPr>
          <w:rFonts w:asciiTheme="minorBidi" w:hAnsiTheme="minorBidi"/>
          <w:sz w:val="24"/>
          <w:szCs w:val="24"/>
        </w:rPr>
      </w:pPr>
    </w:p>
    <w:p w:rsidR="0047169D" w:rsidRDefault="0047169D" w:rsidP="00C24F73">
      <w:pPr>
        <w:spacing w:after="0" w:line="240" w:lineRule="auto"/>
        <w:jc w:val="both"/>
        <w:rPr>
          <w:rFonts w:asciiTheme="minorBidi" w:hAnsiTheme="minorBidi"/>
          <w:sz w:val="24"/>
          <w:szCs w:val="24"/>
        </w:rPr>
      </w:pPr>
      <w:r>
        <w:rPr>
          <w:rFonts w:asciiTheme="minorBidi" w:hAnsiTheme="minorBidi"/>
          <w:sz w:val="24"/>
          <w:szCs w:val="24"/>
        </w:rPr>
        <w:t xml:space="preserve">J. J. Bimson, </w:t>
      </w:r>
      <w:r>
        <w:rPr>
          <w:rFonts w:asciiTheme="minorBidi" w:hAnsiTheme="minorBidi"/>
          <w:i/>
          <w:iCs/>
          <w:sz w:val="24"/>
          <w:szCs w:val="24"/>
        </w:rPr>
        <w:t>Redating the Exodus and Conquest</w:t>
      </w:r>
      <w:r>
        <w:rPr>
          <w:rFonts w:asciiTheme="minorBidi" w:hAnsiTheme="minorBidi"/>
          <w:sz w:val="24"/>
          <w:szCs w:val="24"/>
        </w:rPr>
        <w:t>, Sheffield 1981.</w:t>
      </w:r>
    </w:p>
    <w:p w:rsidR="0047169D" w:rsidRPr="0047169D" w:rsidRDefault="0047169D" w:rsidP="00C24F73">
      <w:pPr>
        <w:spacing w:after="0" w:line="240" w:lineRule="auto"/>
        <w:jc w:val="both"/>
        <w:rPr>
          <w:rFonts w:asciiTheme="minorBidi" w:hAnsiTheme="minorBidi"/>
          <w:sz w:val="24"/>
          <w:szCs w:val="24"/>
        </w:rPr>
      </w:pPr>
    </w:p>
    <w:p w:rsidR="00B25AD1" w:rsidRDefault="0047169D" w:rsidP="00C24F73">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J. Garstang, “Chronology and Dates,” </w:t>
      </w:r>
      <w:r>
        <w:rPr>
          <w:rFonts w:asciiTheme="minorBidi" w:hAnsiTheme="minorBidi"/>
          <w:i/>
          <w:iCs/>
          <w:sz w:val="24"/>
          <w:szCs w:val="24"/>
        </w:rPr>
        <w:t>Joshua Judges</w:t>
      </w:r>
      <w:r>
        <w:rPr>
          <w:rFonts w:asciiTheme="minorBidi" w:hAnsiTheme="minorBidi"/>
          <w:sz w:val="24"/>
          <w:szCs w:val="24"/>
        </w:rPr>
        <w:t>, London 1931, 51-66.</w:t>
      </w:r>
    </w:p>
    <w:p w:rsidR="0047169D" w:rsidRDefault="0047169D" w:rsidP="00C24F73">
      <w:pPr>
        <w:spacing w:after="0" w:line="240" w:lineRule="auto"/>
        <w:ind w:left="720" w:hanging="720"/>
        <w:jc w:val="both"/>
        <w:rPr>
          <w:rFonts w:asciiTheme="minorBidi" w:hAnsiTheme="minorBidi"/>
          <w:sz w:val="24"/>
          <w:szCs w:val="24"/>
        </w:rPr>
      </w:pPr>
    </w:p>
    <w:p w:rsidR="0047169D" w:rsidRPr="0047169D" w:rsidRDefault="0047169D" w:rsidP="00C24F73">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J. Garstang, “The Hornet,” </w:t>
      </w:r>
      <w:r>
        <w:rPr>
          <w:rFonts w:asciiTheme="minorBidi" w:hAnsiTheme="minorBidi"/>
          <w:i/>
          <w:iCs/>
          <w:sz w:val="24"/>
          <w:szCs w:val="24"/>
        </w:rPr>
        <w:t>Joshua Judges</w:t>
      </w:r>
      <w:r>
        <w:rPr>
          <w:rFonts w:asciiTheme="minorBidi" w:hAnsiTheme="minorBidi"/>
          <w:sz w:val="24"/>
          <w:szCs w:val="24"/>
        </w:rPr>
        <w:t>, London 1931, 112-115.</w:t>
      </w:r>
    </w:p>
    <w:p w:rsidR="00962B65" w:rsidRDefault="00962B65" w:rsidP="00C24F73">
      <w:pPr>
        <w:spacing w:after="0" w:line="240" w:lineRule="auto"/>
        <w:ind w:left="720" w:hanging="720"/>
        <w:rPr>
          <w:rFonts w:asciiTheme="minorBidi" w:hAnsiTheme="minorBidi"/>
          <w:sz w:val="24"/>
          <w:szCs w:val="24"/>
        </w:rPr>
      </w:pPr>
    </w:p>
    <w:p w:rsidR="00962B65" w:rsidRDefault="00962B65" w:rsidP="00C24F73">
      <w:pPr>
        <w:spacing w:after="0" w:line="240" w:lineRule="auto"/>
        <w:ind w:left="720" w:hanging="720"/>
        <w:rPr>
          <w:rFonts w:asciiTheme="minorBidi" w:hAnsiTheme="minorBidi"/>
          <w:sz w:val="24"/>
          <w:szCs w:val="24"/>
        </w:rPr>
      </w:pPr>
      <w:r>
        <w:rPr>
          <w:rFonts w:asciiTheme="minorBidi" w:hAnsiTheme="minorBidi"/>
          <w:sz w:val="24"/>
          <w:szCs w:val="24"/>
        </w:rPr>
        <w:t>Y</w:t>
      </w:r>
      <w:r w:rsidR="00FF015D">
        <w:rPr>
          <w:rFonts w:asciiTheme="minorBidi" w:hAnsiTheme="minorBidi"/>
          <w:sz w:val="24"/>
          <w:szCs w:val="24"/>
        </w:rPr>
        <w:t>ehudah</w:t>
      </w:r>
      <w:r>
        <w:rPr>
          <w:rFonts w:asciiTheme="minorBidi" w:hAnsiTheme="minorBidi"/>
          <w:sz w:val="24"/>
          <w:szCs w:val="24"/>
        </w:rPr>
        <w:t xml:space="preserve"> Elitzur, “</w:t>
      </w:r>
      <w:r>
        <w:rPr>
          <w:rFonts w:asciiTheme="minorBidi" w:hAnsiTheme="minorBidi"/>
          <w:i/>
          <w:iCs/>
          <w:sz w:val="24"/>
          <w:szCs w:val="24"/>
        </w:rPr>
        <w:t>Yetzi’at Mitzrayim Le-or Ha-historiya</w:t>
      </w:r>
      <w:r>
        <w:rPr>
          <w:rFonts w:asciiTheme="minorBidi" w:hAnsiTheme="minorBidi"/>
          <w:sz w:val="24"/>
          <w:szCs w:val="24"/>
        </w:rPr>
        <w:t xml:space="preserve">,” </w:t>
      </w:r>
      <w:r w:rsidR="00FF015D">
        <w:rPr>
          <w:rFonts w:asciiTheme="minorBidi" w:hAnsiTheme="minorBidi"/>
          <w:i/>
          <w:iCs/>
          <w:sz w:val="24"/>
          <w:szCs w:val="24"/>
        </w:rPr>
        <w:t>Israel and the Bible</w:t>
      </w:r>
      <w:r>
        <w:rPr>
          <w:rFonts w:asciiTheme="minorBidi" w:hAnsiTheme="minorBidi"/>
          <w:sz w:val="24"/>
          <w:szCs w:val="24"/>
        </w:rPr>
        <w:t>, Ramat Gan 2000, 51-53 [Hebrew].</w:t>
      </w:r>
    </w:p>
    <w:p w:rsidR="00962B65" w:rsidRDefault="00962B65" w:rsidP="00C24F73">
      <w:pPr>
        <w:spacing w:after="0" w:line="240" w:lineRule="auto"/>
        <w:rPr>
          <w:rFonts w:asciiTheme="minorBidi" w:hAnsiTheme="minorBidi"/>
          <w:sz w:val="24"/>
          <w:szCs w:val="24"/>
        </w:rPr>
      </w:pPr>
    </w:p>
    <w:p w:rsidR="002B10E1" w:rsidRPr="00962B65" w:rsidRDefault="002B10E1" w:rsidP="00C24F73">
      <w:pPr>
        <w:spacing w:after="0" w:line="240" w:lineRule="auto"/>
        <w:ind w:left="720" w:hanging="720"/>
        <w:rPr>
          <w:rFonts w:asciiTheme="minorBidi" w:hAnsiTheme="minorBidi"/>
          <w:sz w:val="24"/>
          <w:szCs w:val="24"/>
        </w:rPr>
      </w:pPr>
      <w:r>
        <w:rPr>
          <w:rFonts w:asciiTheme="minorBidi" w:hAnsiTheme="minorBidi"/>
          <w:sz w:val="24"/>
          <w:szCs w:val="24"/>
        </w:rPr>
        <w:t>Yoel Elitzur, “</w:t>
      </w:r>
      <w:r>
        <w:rPr>
          <w:rFonts w:asciiTheme="minorBidi" w:hAnsiTheme="minorBidi"/>
          <w:i/>
          <w:iCs/>
          <w:sz w:val="24"/>
          <w:szCs w:val="24"/>
        </w:rPr>
        <w:t>Al Ofnot Be-cheker Toldot Yisrael</w:t>
      </w:r>
      <w:r>
        <w:rPr>
          <w:rFonts w:asciiTheme="minorBidi" w:hAnsiTheme="minorBidi"/>
          <w:sz w:val="24"/>
          <w:szCs w:val="24"/>
        </w:rPr>
        <w:t xml:space="preserve">,” </w:t>
      </w:r>
      <w:r>
        <w:rPr>
          <w:rFonts w:asciiTheme="minorBidi" w:hAnsiTheme="minorBidi"/>
          <w:i/>
          <w:iCs/>
          <w:sz w:val="24"/>
          <w:szCs w:val="24"/>
        </w:rPr>
        <w:t>Al Atar</w:t>
      </w:r>
      <w:r>
        <w:rPr>
          <w:rFonts w:asciiTheme="minorBidi" w:hAnsiTheme="minorBidi"/>
          <w:sz w:val="24"/>
          <w:szCs w:val="24"/>
        </w:rPr>
        <w:t xml:space="preserve"> 7 (2000), 23-41 [Hebrew].</w:t>
      </w:r>
    </w:p>
    <w:p w:rsidR="002B10E1" w:rsidRDefault="002B10E1" w:rsidP="00C24F73">
      <w:pPr>
        <w:spacing w:after="0" w:line="240" w:lineRule="auto"/>
        <w:rPr>
          <w:rFonts w:asciiTheme="minorBidi" w:hAnsiTheme="minorBidi"/>
          <w:sz w:val="24"/>
          <w:szCs w:val="24"/>
        </w:rPr>
      </w:pPr>
    </w:p>
    <w:p w:rsidR="002B10E1" w:rsidRPr="002B10E1" w:rsidRDefault="002B10E1" w:rsidP="00C24F73">
      <w:pPr>
        <w:spacing w:after="0" w:line="240" w:lineRule="auto"/>
        <w:rPr>
          <w:rFonts w:asciiTheme="minorBidi" w:hAnsiTheme="minorBidi"/>
          <w:sz w:val="24"/>
          <w:szCs w:val="24"/>
        </w:rPr>
      </w:pPr>
      <w:r>
        <w:rPr>
          <w:rFonts w:asciiTheme="minorBidi" w:hAnsiTheme="minorBidi"/>
          <w:sz w:val="24"/>
          <w:szCs w:val="24"/>
        </w:rPr>
        <w:t xml:space="preserve">I. Meitlis, </w:t>
      </w:r>
      <w:r>
        <w:rPr>
          <w:rFonts w:asciiTheme="minorBidi" w:hAnsiTheme="minorBidi"/>
          <w:i/>
          <w:iCs/>
          <w:sz w:val="24"/>
          <w:szCs w:val="24"/>
        </w:rPr>
        <w:t>Excavating the Bible</w:t>
      </w:r>
      <w:r>
        <w:rPr>
          <w:rFonts w:asciiTheme="minorBidi" w:hAnsiTheme="minorBidi"/>
          <w:sz w:val="24"/>
          <w:szCs w:val="24"/>
        </w:rPr>
        <w:t>, Baltimore 2012</w:t>
      </w:r>
      <w:r w:rsidR="00CD3CA4">
        <w:rPr>
          <w:rFonts w:asciiTheme="minorBidi" w:hAnsiTheme="minorBidi"/>
          <w:sz w:val="24"/>
          <w:szCs w:val="24"/>
        </w:rPr>
        <w:t>.</w:t>
      </w:r>
    </w:p>
    <w:p w:rsidR="00962B65" w:rsidRPr="000F0A56" w:rsidRDefault="00962B65" w:rsidP="00C24F73">
      <w:pPr>
        <w:spacing w:after="0" w:line="240" w:lineRule="auto"/>
        <w:ind w:left="720" w:hanging="720"/>
        <w:rPr>
          <w:rFonts w:asciiTheme="minorBidi" w:hAnsiTheme="minorBidi"/>
          <w:sz w:val="24"/>
          <w:szCs w:val="24"/>
        </w:rPr>
      </w:pPr>
    </w:p>
    <w:p w:rsidR="00962B65" w:rsidRDefault="00962B65" w:rsidP="00C24F73">
      <w:pPr>
        <w:spacing w:after="0" w:line="240" w:lineRule="auto"/>
        <w:rPr>
          <w:rFonts w:asciiTheme="minorBidi" w:hAnsiTheme="minorBidi"/>
          <w:sz w:val="24"/>
          <w:szCs w:val="24"/>
        </w:rPr>
      </w:pPr>
    </w:p>
    <w:p w:rsidR="00BB755B" w:rsidRPr="00FC7BF8" w:rsidRDefault="00BB755B" w:rsidP="00C24F73">
      <w:pPr>
        <w:spacing w:after="0" w:line="240" w:lineRule="auto"/>
        <w:rPr>
          <w:rFonts w:asciiTheme="minorBidi" w:hAnsiTheme="minorBidi"/>
          <w:sz w:val="24"/>
          <w:szCs w:val="24"/>
        </w:rPr>
      </w:pPr>
      <w:r w:rsidRPr="00FC7BF8">
        <w:rPr>
          <w:rFonts w:asciiTheme="minorBidi" w:hAnsiTheme="minorBidi"/>
          <w:sz w:val="24"/>
          <w:szCs w:val="24"/>
        </w:rPr>
        <w:t>Translated by Daniel Landman</w:t>
      </w:r>
    </w:p>
    <w:p w:rsidR="00114F97" w:rsidRPr="00FC7BF8" w:rsidRDefault="00114F97" w:rsidP="00C24F73">
      <w:pPr>
        <w:spacing w:after="0" w:line="240" w:lineRule="auto"/>
        <w:jc w:val="both"/>
        <w:rPr>
          <w:rFonts w:asciiTheme="minorBidi" w:hAnsiTheme="minorBidi"/>
          <w:sz w:val="24"/>
          <w:szCs w:val="24"/>
        </w:rPr>
      </w:pPr>
      <w:r w:rsidRPr="00FC7BF8">
        <w:rPr>
          <w:rFonts w:asciiTheme="minorBidi" w:hAnsiTheme="minorBidi"/>
          <w:sz w:val="24"/>
          <w:szCs w:val="24"/>
        </w:rPr>
        <w:tab/>
      </w:r>
    </w:p>
    <w:sectPr w:rsidR="00114F97" w:rsidRPr="00FC7BF8" w:rsidSect="00C016C3">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159" w:rsidRDefault="00184159" w:rsidP="00F94FA1">
      <w:pPr>
        <w:spacing w:after="0" w:line="240" w:lineRule="auto"/>
      </w:pPr>
      <w:r>
        <w:separator/>
      </w:r>
    </w:p>
  </w:endnote>
  <w:endnote w:type="continuationSeparator" w:id="0">
    <w:p w:rsidR="00184159" w:rsidRDefault="00184159"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159" w:rsidRDefault="00184159" w:rsidP="00F94FA1">
      <w:pPr>
        <w:spacing w:after="0" w:line="240" w:lineRule="auto"/>
      </w:pPr>
      <w:r>
        <w:separator/>
      </w:r>
    </w:p>
  </w:footnote>
  <w:footnote w:type="continuationSeparator" w:id="0">
    <w:p w:rsidR="00184159" w:rsidRDefault="00184159" w:rsidP="00F94FA1">
      <w:pPr>
        <w:spacing w:after="0" w:line="240" w:lineRule="auto"/>
      </w:pPr>
      <w:r>
        <w:continuationSeparator/>
      </w:r>
    </w:p>
  </w:footnote>
  <w:footnote w:id="1">
    <w:p w:rsidR="00973CDF" w:rsidRDefault="00973CDF">
      <w:pPr>
        <w:pStyle w:val="aa"/>
      </w:pPr>
      <w:r>
        <w:rPr>
          <w:rStyle w:val="ac"/>
        </w:rPr>
        <w:footnoteRef/>
      </w:r>
      <w:r>
        <w:t xml:space="preserve"> </w:t>
      </w:r>
      <w:r>
        <w:rPr>
          <w:rFonts w:ascii="Calibri" w:hAnsi="Calibri" w:cs="Calibri"/>
          <w:color w:val="222222"/>
          <w:sz w:val="22"/>
          <w:szCs w:val="22"/>
          <w:shd w:val="clear" w:color="auto" w:fill="FFFFFF"/>
        </w:rPr>
        <w:t>Prof. Elitzur’s series i</w:t>
      </w:r>
      <w:bookmarkStart w:id="0" w:name="_GoBack"/>
      <w:bookmarkEnd w:id="0"/>
      <w:r>
        <w:rPr>
          <w:rFonts w:ascii="Calibri" w:hAnsi="Calibri" w:cs="Calibri"/>
          <w:color w:val="222222"/>
          <w:sz w:val="22"/>
          <w:szCs w:val="22"/>
          <w:shd w:val="clear" w:color="auto" w:fill="FFFFFF"/>
        </w:rPr>
        <w:t>s now available as a book: </w:t>
      </w:r>
      <w:hyperlink r:id="rId1" w:tgtFrame="_blank" w:history="1">
        <w:r>
          <w:rPr>
            <w:rStyle w:val="Hyperlink"/>
            <w:rFonts w:ascii="Calibri" w:hAnsi="Calibri" w:cs="Calibri"/>
            <w:i/>
            <w:iCs/>
            <w:sz w:val="22"/>
            <w:szCs w:val="22"/>
            <w:shd w:val="clear" w:color="auto" w:fill="FFFFFF"/>
          </w:rPr>
          <w:t>Places in the Parasha: Biblical Geography and Its Meaning</w:t>
        </w:r>
      </w:hyperlink>
      <w:r>
        <w:rPr>
          <w:rFonts w:ascii="Calibri" w:hAnsi="Calibri" w:cs="Calibri"/>
          <w:color w:val="222222"/>
          <w:sz w:val="22"/>
          <w:szCs w:val="22"/>
          <w:shd w:val="clear" w:color="auto" w:fill="FFFFFF"/>
        </w:rPr>
        <w:t> (Maggid, 2020).</w:t>
      </w:r>
    </w:p>
  </w:footnote>
  <w:footnote w:id="2">
    <w:p w:rsidR="007D6ECD" w:rsidRPr="003376EB" w:rsidRDefault="007D6ECD" w:rsidP="003376EB">
      <w:pPr>
        <w:pStyle w:val="aa"/>
        <w:spacing w:line="360" w:lineRule="auto"/>
        <w:jc w:val="both"/>
        <w:rPr>
          <w:rFonts w:asciiTheme="minorBidi" w:hAnsiTheme="minorBidi"/>
        </w:rPr>
      </w:pPr>
      <w:r w:rsidRPr="003376EB">
        <w:rPr>
          <w:rStyle w:val="ac"/>
          <w:rFonts w:asciiTheme="minorBidi" w:hAnsiTheme="minorBidi"/>
        </w:rPr>
        <w:footnoteRef/>
      </w:r>
      <w:r w:rsidRPr="003376EB">
        <w:rPr>
          <w:rFonts w:asciiTheme="minorBidi" w:hAnsiTheme="minorBidi"/>
        </w:rPr>
        <w:t xml:space="preserve"> See </w:t>
      </w:r>
      <w:r w:rsidRPr="003376EB">
        <w:rPr>
          <w:rFonts w:asciiTheme="minorBidi" w:hAnsiTheme="minorBidi"/>
          <w:i/>
          <w:iCs/>
        </w:rPr>
        <w:t>Mishna Yoma</w:t>
      </w:r>
      <w:r w:rsidRPr="003376EB">
        <w:rPr>
          <w:rFonts w:asciiTheme="minorBidi" w:hAnsiTheme="minorBidi"/>
        </w:rPr>
        <w:t xml:space="preserve"> 3:7: “In the morning he put on Pelusium linen worth twelve minas</w:t>
      </w:r>
      <w:r w:rsidR="005B1E18" w:rsidRPr="003376EB">
        <w:rPr>
          <w:rFonts w:asciiTheme="minorBidi" w:hAnsiTheme="minorBidi"/>
        </w:rPr>
        <w:t>.”</w:t>
      </w:r>
    </w:p>
  </w:footnote>
  <w:footnote w:id="3">
    <w:p w:rsidR="00E0670B" w:rsidRPr="003376EB" w:rsidRDefault="00E0670B" w:rsidP="003F0245">
      <w:pPr>
        <w:pStyle w:val="aa"/>
        <w:spacing w:line="360" w:lineRule="auto"/>
        <w:jc w:val="both"/>
        <w:rPr>
          <w:rFonts w:asciiTheme="minorBidi" w:hAnsiTheme="minorBidi"/>
        </w:rPr>
      </w:pPr>
      <w:r w:rsidRPr="003376EB">
        <w:rPr>
          <w:rStyle w:val="ac"/>
          <w:rFonts w:asciiTheme="minorBidi" w:hAnsiTheme="minorBidi"/>
        </w:rPr>
        <w:footnoteRef/>
      </w:r>
      <w:r w:rsidRPr="003376EB">
        <w:rPr>
          <w:rFonts w:asciiTheme="minorBidi" w:hAnsiTheme="minorBidi"/>
        </w:rPr>
        <w:t xml:space="preserve"> </w:t>
      </w:r>
      <w:r w:rsidR="003F0245">
        <w:rPr>
          <w:rFonts w:asciiTheme="minorBidi" w:hAnsiTheme="minorBidi"/>
        </w:rPr>
        <w:t>See map below.</w:t>
      </w:r>
    </w:p>
  </w:footnote>
  <w:footnote w:id="4">
    <w:p w:rsidR="00BC08EB" w:rsidRPr="003376EB" w:rsidRDefault="00BC08EB" w:rsidP="003376EB">
      <w:pPr>
        <w:pStyle w:val="aa"/>
        <w:spacing w:line="360" w:lineRule="auto"/>
        <w:jc w:val="both"/>
        <w:rPr>
          <w:rFonts w:asciiTheme="minorBidi" w:hAnsiTheme="minorBidi"/>
        </w:rPr>
      </w:pPr>
      <w:r w:rsidRPr="003376EB">
        <w:rPr>
          <w:rStyle w:val="ac"/>
          <w:rFonts w:asciiTheme="minorBidi" w:hAnsiTheme="minorBidi"/>
        </w:rPr>
        <w:footnoteRef/>
      </w:r>
      <w:r w:rsidRPr="003376EB">
        <w:rPr>
          <w:rFonts w:asciiTheme="minorBidi" w:hAnsiTheme="minorBidi"/>
        </w:rPr>
        <w:t xml:space="preserve"> </w:t>
      </w:r>
      <w:r w:rsidRPr="003376EB">
        <w:rPr>
          <w:rFonts w:asciiTheme="minorBidi" w:hAnsiTheme="minorBidi"/>
          <w:i/>
          <w:iCs/>
        </w:rPr>
        <w:t xml:space="preserve">Per </w:t>
      </w:r>
      <w:r w:rsidRPr="003376EB">
        <w:rPr>
          <w:rFonts w:asciiTheme="minorBidi" w:hAnsiTheme="minorBidi"/>
        </w:rPr>
        <w:t>is the Egyptian word for “house.”</w:t>
      </w:r>
    </w:p>
  </w:footnote>
  <w:footnote w:id="5">
    <w:p w:rsidR="006D76F7" w:rsidRPr="003376EB" w:rsidRDefault="006D76F7" w:rsidP="0078232D">
      <w:pPr>
        <w:pStyle w:val="aa"/>
        <w:spacing w:line="360" w:lineRule="auto"/>
        <w:jc w:val="both"/>
        <w:rPr>
          <w:rFonts w:asciiTheme="minorBidi" w:hAnsiTheme="minorBidi"/>
        </w:rPr>
      </w:pPr>
      <w:r w:rsidRPr="003376EB">
        <w:rPr>
          <w:rStyle w:val="ac"/>
          <w:rFonts w:asciiTheme="minorBidi" w:hAnsiTheme="minorBidi"/>
        </w:rPr>
        <w:footnoteRef/>
      </w:r>
      <w:r w:rsidRPr="003376EB">
        <w:rPr>
          <w:rFonts w:asciiTheme="minorBidi" w:hAnsiTheme="minorBidi"/>
        </w:rPr>
        <w:t xml:space="preserve"> It should be noted that, according to Egyptian sources, there were </w:t>
      </w:r>
      <w:r w:rsidR="0078232D">
        <w:rPr>
          <w:rFonts w:asciiTheme="minorBidi" w:hAnsiTheme="minorBidi"/>
        </w:rPr>
        <w:t>se</w:t>
      </w:r>
      <w:r w:rsidR="000D3098">
        <w:rPr>
          <w:rFonts w:asciiTheme="minorBidi" w:hAnsiTheme="minorBidi"/>
        </w:rPr>
        <w:t>v</w:t>
      </w:r>
      <w:r w:rsidR="0078232D">
        <w:rPr>
          <w:rFonts w:asciiTheme="minorBidi" w:hAnsiTheme="minorBidi"/>
        </w:rPr>
        <w:t>eral</w:t>
      </w:r>
      <w:r w:rsidR="0078232D" w:rsidRPr="003376EB">
        <w:rPr>
          <w:rFonts w:asciiTheme="minorBidi" w:hAnsiTheme="minorBidi"/>
        </w:rPr>
        <w:t xml:space="preserve"> </w:t>
      </w:r>
      <w:r w:rsidRPr="003376EB">
        <w:rPr>
          <w:rFonts w:asciiTheme="minorBidi" w:hAnsiTheme="minorBidi"/>
        </w:rPr>
        <w:t>locations called “</w:t>
      </w:r>
      <w:r w:rsidR="00793664">
        <w:rPr>
          <w:rFonts w:asciiTheme="minorBidi" w:hAnsiTheme="minorBidi"/>
        </w:rPr>
        <w:t>Ramesses</w:t>
      </w:r>
      <w:r w:rsidRPr="003376EB">
        <w:rPr>
          <w:rFonts w:asciiTheme="minorBidi" w:hAnsiTheme="minorBidi"/>
        </w:rPr>
        <w:t>.”</w:t>
      </w:r>
    </w:p>
  </w:footnote>
  <w:footnote w:id="6">
    <w:p w:rsidR="00CB23DA" w:rsidRPr="003376EB" w:rsidRDefault="00CB23DA" w:rsidP="003376EB">
      <w:pPr>
        <w:pStyle w:val="aa"/>
        <w:spacing w:line="360" w:lineRule="auto"/>
        <w:jc w:val="both"/>
        <w:rPr>
          <w:rFonts w:asciiTheme="minorBidi" w:hAnsiTheme="minorBidi"/>
        </w:rPr>
      </w:pPr>
      <w:r w:rsidRPr="003376EB">
        <w:rPr>
          <w:rStyle w:val="ac"/>
          <w:rFonts w:asciiTheme="minorBidi" w:hAnsiTheme="minorBidi"/>
        </w:rPr>
        <w:footnoteRef/>
      </w:r>
      <w:r w:rsidRPr="003376EB">
        <w:rPr>
          <w:rFonts w:asciiTheme="minorBidi" w:hAnsiTheme="minorBidi"/>
        </w:rPr>
        <w:t xml:space="preserve"> See the list of years of the Judges, as well as the “three hundred years” (Judges 11:26) that Jephthah mentions. Also see the list of generations of High Priests and </w:t>
      </w:r>
      <w:r w:rsidR="00053788" w:rsidRPr="003376EB">
        <w:rPr>
          <w:rFonts w:asciiTheme="minorBidi" w:hAnsiTheme="minorBidi"/>
        </w:rPr>
        <w:t>Levite singers in I Chronicles 5-6.</w:t>
      </w:r>
    </w:p>
  </w:footnote>
  <w:footnote w:id="7">
    <w:p w:rsidR="00D9371C" w:rsidRPr="003376EB" w:rsidRDefault="00D9371C" w:rsidP="003376EB">
      <w:pPr>
        <w:pStyle w:val="aa"/>
        <w:spacing w:line="360" w:lineRule="auto"/>
        <w:jc w:val="both"/>
        <w:rPr>
          <w:rFonts w:asciiTheme="minorBidi" w:hAnsiTheme="minorBidi"/>
        </w:rPr>
      </w:pPr>
      <w:r w:rsidRPr="003376EB">
        <w:rPr>
          <w:rStyle w:val="ac"/>
          <w:rFonts w:asciiTheme="minorBidi" w:hAnsiTheme="minorBidi"/>
        </w:rPr>
        <w:footnoteRef/>
      </w:r>
      <w:r w:rsidRPr="003376EB">
        <w:rPr>
          <w:rFonts w:asciiTheme="minorBidi" w:hAnsiTheme="minorBidi"/>
        </w:rPr>
        <w:t xml:space="preserve"> The Torah hints at this as well: “Both the land of Egypt and the land of Canaan languished because of the famine” (Genesis 47:13); “Chariots, too, and horsemen went up with him</w:t>
      </w:r>
      <w:r w:rsidR="00D4213A" w:rsidRPr="003376EB">
        <w:rPr>
          <w:rFonts w:asciiTheme="minorBidi" w:hAnsiTheme="minorBidi"/>
        </w:rPr>
        <w:t>” (50:9).</w:t>
      </w:r>
    </w:p>
  </w:footnote>
  <w:footnote w:id="8">
    <w:p w:rsidR="00044ACE" w:rsidRPr="003376EB" w:rsidRDefault="00044ACE" w:rsidP="003376EB">
      <w:pPr>
        <w:spacing w:line="360" w:lineRule="auto"/>
        <w:jc w:val="both"/>
        <w:rPr>
          <w:rFonts w:asciiTheme="minorBidi" w:hAnsiTheme="minorBidi"/>
          <w:sz w:val="20"/>
          <w:szCs w:val="20"/>
        </w:rPr>
      </w:pPr>
      <w:r w:rsidRPr="003376EB">
        <w:rPr>
          <w:rStyle w:val="ac"/>
          <w:rFonts w:asciiTheme="minorBidi" w:hAnsiTheme="minorBidi"/>
          <w:sz w:val="20"/>
          <w:szCs w:val="20"/>
        </w:rPr>
        <w:footnoteRef/>
      </w:r>
      <w:r w:rsidRPr="003376EB">
        <w:rPr>
          <w:rFonts w:asciiTheme="minorBidi" w:hAnsiTheme="minorBidi"/>
          <w:sz w:val="20"/>
          <w:szCs w:val="20"/>
        </w:rPr>
        <w:t xml:space="preserve"> This discussion is connected to another secondary discussion regarding the question of dating the transition from the Middle Bronze Age to the Late Bronze Age</w:t>
      </w:r>
      <w:r w:rsidR="009B678A" w:rsidRPr="003376EB">
        <w:rPr>
          <w:rFonts w:asciiTheme="minorBidi" w:hAnsiTheme="minorBidi"/>
          <w:sz w:val="20"/>
          <w:szCs w:val="20"/>
        </w:rPr>
        <w:t>. Those interested in reading a more comprehensive analysis are encouraged to consult the bibliography.</w:t>
      </w:r>
    </w:p>
  </w:footnote>
  <w:footnote w:id="9">
    <w:p w:rsidR="003376EB" w:rsidRDefault="003376EB" w:rsidP="003376EB">
      <w:pPr>
        <w:pStyle w:val="aa"/>
        <w:spacing w:line="360" w:lineRule="auto"/>
        <w:jc w:val="both"/>
      </w:pPr>
      <w:r w:rsidRPr="003376EB">
        <w:rPr>
          <w:rStyle w:val="ac"/>
          <w:rFonts w:asciiTheme="minorBidi" w:hAnsiTheme="minorBidi"/>
        </w:rPr>
        <w:footnoteRef/>
      </w:r>
      <w:r w:rsidRPr="003376EB">
        <w:rPr>
          <w:rFonts w:asciiTheme="minorBidi" w:hAnsiTheme="minorBidi"/>
        </w:rPr>
        <w:t xml:space="preserve"> </w:t>
      </w:r>
      <w:r>
        <w:rPr>
          <w:rFonts w:asciiTheme="minorBidi" w:hAnsiTheme="minorBidi"/>
        </w:rPr>
        <w:t>See the sources listed in the bibliography for more on the Amarna letters.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A68B6"/>
    <w:multiLevelType w:val="hybridMultilevel"/>
    <w:tmpl w:val="5E46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AF4363"/>
    <w:multiLevelType w:val="hybridMultilevel"/>
    <w:tmpl w:val="C484881E"/>
    <w:lvl w:ilvl="0" w:tplc="700020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4C0773"/>
    <w:multiLevelType w:val="hybridMultilevel"/>
    <w:tmpl w:val="C30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C22642"/>
    <w:multiLevelType w:val="hybridMultilevel"/>
    <w:tmpl w:val="7EE4895A"/>
    <w:lvl w:ilvl="0" w:tplc="522CE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1950A55"/>
    <w:multiLevelType w:val="hybridMultilevel"/>
    <w:tmpl w:val="5E9C0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EB2AF5"/>
    <w:multiLevelType w:val="hybridMultilevel"/>
    <w:tmpl w:val="C8A6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9E7B01"/>
    <w:multiLevelType w:val="hybridMultilevel"/>
    <w:tmpl w:val="9CC8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D85253"/>
    <w:multiLevelType w:val="hybridMultilevel"/>
    <w:tmpl w:val="7794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F243C0"/>
    <w:multiLevelType w:val="hybridMultilevel"/>
    <w:tmpl w:val="E41209E8"/>
    <w:lvl w:ilvl="0" w:tplc="9F70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8"/>
  </w:num>
  <w:num w:numId="5">
    <w:abstractNumId w:val="0"/>
  </w:num>
  <w:num w:numId="6">
    <w:abstractNumId w:val="9"/>
  </w:num>
  <w:num w:numId="7">
    <w:abstractNumId w:val="6"/>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0C7"/>
    <w:rsid w:val="000006F2"/>
    <w:rsid w:val="0000401F"/>
    <w:rsid w:val="000040AA"/>
    <w:rsid w:val="000071A3"/>
    <w:rsid w:val="000075D7"/>
    <w:rsid w:val="000105C5"/>
    <w:rsid w:val="00013EC3"/>
    <w:rsid w:val="0001628B"/>
    <w:rsid w:val="0001665C"/>
    <w:rsid w:val="000219D2"/>
    <w:rsid w:val="000238F5"/>
    <w:rsid w:val="00023C30"/>
    <w:rsid w:val="00026EBD"/>
    <w:rsid w:val="00030106"/>
    <w:rsid w:val="000349A0"/>
    <w:rsid w:val="00035B20"/>
    <w:rsid w:val="000378B4"/>
    <w:rsid w:val="00041E7F"/>
    <w:rsid w:val="00043301"/>
    <w:rsid w:val="00044018"/>
    <w:rsid w:val="00044ACE"/>
    <w:rsid w:val="00045408"/>
    <w:rsid w:val="0005334B"/>
    <w:rsid w:val="00053788"/>
    <w:rsid w:val="00062239"/>
    <w:rsid w:val="000667A0"/>
    <w:rsid w:val="00067381"/>
    <w:rsid w:val="000728F0"/>
    <w:rsid w:val="0007379D"/>
    <w:rsid w:val="000741BD"/>
    <w:rsid w:val="0007561D"/>
    <w:rsid w:val="00081F8B"/>
    <w:rsid w:val="00082125"/>
    <w:rsid w:val="00086C79"/>
    <w:rsid w:val="00090BF6"/>
    <w:rsid w:val="00096619"/>
    <w:rsid w:val="000A773A"/>
    <w:rsid w:val="000B551A"/>
    <w:rsid w:val="000B77A8"/>
    <w:rsid w:val="000C3E56"/>
    <w:rsid w:val="000D1D50"/>
    <w:rsid w:val="000D3098"/>
    <w:rsid w:val="000D77D0"/>
    <w:rsid w:val="000D7EB4"/>
    <w:rsid w:val="000E03B4"/>
    <w:rsid w:val="000E1026"/>
    <w:rsid w:val="000F0A56"/>
    <w:rsid w:val="000F1918"/>
    <w:rsid w:val="000F5740"/>
    <w:rsid w:val="00102C26"/>
    <w:rsid w:val="0010561F"/>
    <w:rsid w:val="00107B29"/>
    <w:rsid w:val="00110506"/>
    <w:rsid w:val="0011115B"/>
    <w:rsid w:val="00114F97"/>
    <w:rsid w:val="00130137"/>
    <w:rsid w:val="00133773"/>
    <w:rsid w:val="00140E8E"/>
    <w:rsid w:val="00141C7B"/>
    <w:rsid w:val="001420BC"/>
    <w:rsid w:val="00143823"/>
    <w:rsid w:val="00146E64"/>
    <w:rsid w:val="00154D4B"/>
    <w:rsid w:val="0016148C"/>
    <w:rsid w:val="0016481B"/>
    <w:rsid w:val="001727E6"/>
    <w:rsid w:val="0017412F"/>
    <w:rsid w:val="00175E69"/>
    <w:rsid w:val="00183D39"/>
    <w:rsid w:val="00184159"/>
    <w:rsid w:val="001846E3"/>
    <w:rsid w:val="00187110"/>
    <w:rsid w:val="001A1A82"/>
    <w:rsid w:val="001A2F72"/>
    <w:rsid w:val="001A4355"/>
    <w:rsid w:val="001A4A4A"/>
    <w:rsid w:val="001A531A"/>
    <w:rsid w:val="001A5F24"/>
    <w:rsid w:val="001B085E"/>
    <w:rsid w:val="001C09BE"/>
    <w:rsid w:val="001C1A7B"/>
    <w:rsid w:val="001C1B40"/>
    <w:rsid w:val="001C5046"/>
    <w:rsid w:val="001D3C3F"/>
    <w:rsid w:val="001D561B"/>
    <w:rsid w:val="001D69FE"/>
    <w:rsid w:val="001D6BEA"/>
    <w:rsid w:val="001E43CA"/>
    <w:rsid w:val="001E61AE"/>
    <w:rsid w:val="001F1753"/>
    <w:rsid w:val="002031A5"/>
    <w:rsid w:val="00204C4D"/>
    <w:rsid w:val="00211B6D"/>
    <w:rsid w:val="00215ADA"/>
    <w:rsid w:val="0022116B"/>
    <w:rsid w:val="0022119B"/>
    <w:rsid w:val="00221A0A"/>
    <w:rsid w:val="00221EA0"/>
    <w:rsid w:val="00222077"/>
    <w:rsid w:val="00224E5C"/>
    <w:rsid w:val="00226A12"/>
    <w:rsid w:val="00227263"/>
    <w:rsid w:val="002332F7"/>
    <w:rsid w:val="002345B7"/>
    <w:rsid w:val="002432F4"/>
    <w:rsid w:val="00243BB2"/>
    <w:rsid w:val="00243CCA"/>
    <w:rsid w:val="00244B14"/>
    <w:rsid w:val="00245299"/>
    <w:rsid w:val="002460AB"/>
    <w:rsid w:val="002468A5"/>
    <w:rsid w:val="0025460D"/>
    <w:rsid w:val="0025659F"/>
    <w:rsid w:val="00266A0A"/>
    <w:rsid w:val="00270143"/>
    <w:rsid w:val="00270509"/>
    <w:rsid w:val="0027357C"/>
    <w:rsid w:val="002821E6"/>
    <w:rsid w:val="00283999"/>
    <w:rsid w:val="002841E0"/>
    <w:rsid w:val="002855E6"/>
    <w:rsid w:val="002911EB"/>
    <w:rsid w:val="00291289"/>
    <w:rsid w:val="0029214A"/>
    <w:rsid w:val="00293294"/>
    <w:rsid w:val="002957AA"/>
    <w:rsid w:val="00296DF8"/>
    <w:rsid w:val="00297EFE"/>
    <w:rsid w:val="002A12C0"/>
    <w:rsid w:val="002B10E1"/>
    <w:rsid w:val="002B27F7"/>
    <w:rsid w:val="002B3A32"/>
    <w:rsid w:val="002B4434"/>
    <w:rsid w:val="002B72AA"/>
    <w:rsid w:val="002C1FD4"/>
    <w:rsid w:val="002C390F"/>
    <w:rsid w:val="002C400D"/>
    <w:rsid w:val="002C4D84"/>
    <w:rsid w:val="002C7F83"/>
    <w:rsid w:val="002D0CA4"/>
    <w:rsid w:val="002D2B6C"/>
    <w:rsid w:val="002D3A89"/>
    <w:rsid w:val="002D400C"/>
    <w:rsid w:val="002D5215"/>
    <w:rsid w:val="002D68CA"/>
    <w:rsid w:val="002D7FE7"/>
    <w:rsid w:val="002E2A4E"/>
    <w:rsid w:val="002E5C09"/>
    <w:rsid w:val="002E5FA5"/>
    <w:rsid w:val="002F680A"/>
    <w:rsid w:val="00304A9B"/>
    <w:rsid w:val="00305262"/>
    <w:rsid w:val="00305598"/>
    <w:rsid w:val="003121E8"/>
    <w:rsid w:val="00312989"/>
    <w:rsid w:val="00315608"/>
    <w:rsid w:val="003232FD"/>
    <w:rsid w:val="00323B98"/>
    <w:rsid w:val="0033025C"/>
    <w:rsid w:val="003376EB"/>
    <w:rsid w:val="003407F5"/>
    <w:rsid w:val="003436F9"/>
    <w:rsid w:val="003440B6"/>
    <w:rsid w:val="00344392"/>
    <w:rsid w:val="00346C1D"/>
    <w:rsid w:val="00353F40"/>
    <w:rsid w:val="003569BC"/>
    <w:rsid w:val="0036102D"/>
    <w:rsid w:val="00366E79"/>
    <w:rsid w:val="00370D1F"/>
    <w:rsid w:val="00373BDF"/>
    <w:rsid w:val="00375C1F"/>
    <w:rsid w:val="003777F8"/>
    <w:rsid w:val="00380C59"/>
    <w:rsid w:val="003819A7"/>
    <w:rsid w:val="0038444A"/>
    <w:rsid w:val="00385415"/>
    <w:rsid w:val="00386882"/>
    <w:rsid w:val="00392969"/>
    <w:rsid w:val="0039612A"/>
    <w:rsid w:val="003B00D9"/>
    <w:rsid w:val="003B5A41"/>
    <w:rsid w:val="003B7A1C"/>
    <w:rsid w:val="003C2BB2"/>
    <w:rsid w:val="003C2FA9"/>
    <w:rsid w:val="003C68D8"/>
    <w:rsid w:val="003C6D51"/>
    <w:rsid w:val="003D341D"/>
    <w:rsid w:val="003D65D8"/>
    <w:rsid w:val="003D6D2D"/>
    <w:rsid w:val="003E0CD1"/>
    <w:rsid w:val="003E108F"/>
    <w:rsid w:val="003F0245"/>
    <w:rsid w:val="003F0C45"/>
    <w:rsid w:val="003F20C2"/>
    <w:rsid w:val="003F50C7"/>
    <w:rsid w:val="00401308"/>
    <w:rsid w:val="0040492A"/>
    <w:rsid w:val="0040533B"/>
    <w:rsid w:val="00407A9E"/>
    <w:rsid w:val="00410800"/>
    <w:rsid w:val="004133E7"/>
    <w:rsid w:val="0041532B"/>
    <w:rsid w:val="00420969"/>
    <w:rsid w:val="00427FC6"/>
    <w:rsid w:val="00431248"/>
    <w:rsid w:val="00437119"/>
    <w:rsid w:val="004429E2"/>
    <w:rsid w:val="00447F02"/>
    <w:rsid w:val="004508BD"/>
    <w:rsid w:val="00451BDD"/>
    <w:rsid w:val="004525CE"/>
    <w:rsid w:val="00460C6E"/>
    <w:rsid w:val="00461C3B"/>
    <w:rsid w:val="00463B9B"/>
    <w:rsid w:val="0047169D"/>
    <w:rsid w:val="0047261D"/>
    <w:rsid w:val="00472B66"/>
    <w:rsid w:val="00475DC1"/>
    <w:rsid w:val="0047698F"/>
    <w:rsid w:val="0048207C"/>
    <w:rsid w:val="00493081"/>
    <w:rsid w:val="00494A65"/>
    <w:rsid w:val="004A3B56"/>
    <w:rsid w:val="004A6EF7"/>
    <w:rsid w:val="004B1483"/>
    <w:rsid w:val="004B19BA"/>
    <w:rsid w:val="004B6C38"/>
    <w:rsid w:val="004C3FB8"/>
    <w:rsid w:val="004C66CA"/>
    <w:rsid w:val="004D7B3B"/>
    <w:rsid w:val="004E30F0"/>
    <w:rsid w:val="004F0F02"/>
    <w:rsid w:val="004F1154"/>
    <w:rsid w:val="004F36C0"/>
    <w:rsid w:val="004F39C6"/>
    <w:rsid w:val="004F507D"/>
    <w:rsid w:val="004F5B18"/>
    <w:rsid w:val="004F6CCA"/>
    <w:rsid w:val="00500BAE"/>
    <w:rsid w:val="00501E48"/>
    <w:rsid w:val="005027CD"/>
    <w:rsid w:val="00512415"/>
    <w:rsid w:val="00512D65"/>
    <w:rsid w:val="005156CE"/>
    <w:rsid w:val="0051681A"/>
    <w:rsid w:val="00525633"/>
    <w:rsid w:val="005257E0"/>
    <w:rsid w:val="00530E10"/>
    <w:rsid w:val="00532396"/>
    <w:rsid w:val="00533472"/>
    <w:rsid w:val="00534401"/>
    <w:rsid w:val="0054065F"/>
    <w:rsid w:val="00540DCC"/>
    <w:rsid w:val="005417F5"/>
    <w:rsid w:val="0054404B"/>
    <w:rsid w:val="005446B0"/>
    <w:rsid w:val="00544CDD"/>
    <w:rsid w:val="00550BF0"/>
    <w:rsid w:val="00552E02"/>
    <w:rsid w:val="00563022"/>
    <w:rsid w:val="00567560"/>
    <w:rsid w:val="00567D91"/>
    <w:rsid w:val="00571144"/>
    <w:rsid w:val="00576914"/>
    <w:rsid w:val="0058123C"/>
    <w:rsid w:val="00587D15"/>
    <w:rsid w:val="0059291C"/>
    <w:rsid w:val="005960B7"/>
    <w:rsid w:val="005A0252"/>
    <w:rsid w:val="005A1DB0"/>
    <w:rsid w:val="005A5995"/>
    <w:rsid w:val="005A6DE6"/>
    <w:rsid w:val="005B1E18"/>
    <w:rsid w:val="005B41C7"/>
    <w:rsid w:val="005B42B9"/>
    <w:rsid w:val="005C2052"/>
    <w:rsid w:val="005C2988"/>
    <w:rsid w:val="005C2A4E"/>
    <w:rsid w:val="005C7FBE"/>
    <w:rsid w:val="005D2126"/>
    <w:rsid w:val="005D269F"/>
    <w:rsid w:val="005D4B63"/>
    <w:rsid w:val="005E38C6"/>
    <w:rsid w:val="005E49C1"/>
    <w:rsid w:val="005E5705"/>
    <w:rsid w:val="005E70EC"/>
    <w:rsid w:val="005F1C77"/>
    <w:rsid w:val="005F2583"/>
    <w:rsid w:val="005F6924"/>
    <w:rsid w:val="005F77C8"/>
    <w:rsid w:val="00601095"/>
    <w:rsid w:val="00601514"/>
    <w:rsid w:val="006044B4"/>
    <w:rsid w:val="00606F75"/>
    <w:rsid w:val="00607973"/>
    <w:rsid w:val="00611629"/>
    <w:rsid w:val="00612333"/>
    <w:rsid w:val="00612420"/>
    <w:rsid w:val="00615B27"/>
    <w:rsid w:val="006336F0"/>
    <w:rsid w:val="00642309"/>
    <w:rsid w:val="0064344D"/>
    <w:rsid w:val="0064547D"/>
    <w:rsid w:val="0065123A"/>
    <w:rsid w:val="0065597C"/>
    <w:rsid w:val="00665449"/>
    <w:rsid w:val="0067659B"/>
    <w:rsid w:val="00685B0F"/>
    <w:rsid w:val="006904EB"/>
    <w:rsid w:val="00691837"/>
    <w:rsid w:val="006A2141"/>
    <w:rsid w:val="006A721E"/>
    <w:rsid w:val="006A7334"/>
    <w:rsid w:val="006A7B72"/>
    <w:rsid w:val="006B22F3"/>
    <w:rsid w:val="006B4943"/>
    <w:rsid w:val="006C1443"/>
    <w:rsid w:val="006C30AC"/>
    <w:rsid w:val="006C55E4"/>
    <w:rsid w:val="006C571D"/>
    <w:rsid w:val="006C5F2A"/>
    <w:rsid w:val="006C5FAD"/>
    <w:rsid w:val="006C778F"/>
    <w:rsid w:val="006D13E4"/>
    <w:rsid w:val="006D2B95"/>
    <w:rsid w:val="006D2DB6"/>
    <w:rsid w:val="006D3DA0"/>
    <w:rsid w:val="006D4372"/>
    <w:rsid w:val="006D76F7"/>
    <w:rsid w:val="006E3860"/>
    <w:rsid w:val="006E3A89"/>
    <w:rsid w:val="006E5367"/>
    <w:rsid w:val="006E7851"/>
    <w:rsid w:val="006F32D9"/>
    <w:rsid w:val="006F635D"/>
    <w:rsid w:val="006F77D5"/>
    <w:rsid w:val="007016BB"/>
    <w:rsid w:val="00701C64"/>
    <w:rsid w:val="007173E1"/>
    <w:rsid w:val="00724896"/>
    <w:rsid w:val="007256A1"/>
    <w:rsid w:val="00725EE9"/>
    <w:rsid w:val="00726705"/>
    <w:rsid w:val="007310B9"/>
    <w:rsid w:val="007439F4"/>
    <w:rsid w:val="00746A11"/>
    <w:rsid w:val="00763697"/>
    <w:rsid w:val="00766D37"/>
    <w:rsid w:val="00770A85"/>
    <w:rsid w:val="0077133E"/>
    <w:rsid w:val="00777035"/>
    <w:rsid w:val="0078232D"/>
    <w:rsid w:val="00782D07"/>
    <w:rsid w:val="007850BE"/>
    <w:rsid w:val="00791945"/>
    <w:rsid w:val="00793664"/>
    <w:rsid w:val="0079439B"/>
    <w:rsid w:val="00797D4E"/>
    <w:rsid w:val="007A092A"/>
    <w:rsid w:val="007A1107"/>
    <w:rsid w:val="007A1622"/>
    <w:rsid w:val="007A6653"/>
    <w:rsid w:val="007B26BB"/>
    <w:rsid w:val="007B68A4"/>
    <w:rsid w:val="007C34F8"/>
    <w:rsid w:val="007D0F6E"/>
    <w:rsid w:val="007D1786"/>
    <w:rsid w:val="007D68B3"/>
    <w:rsid w:val="007D6ECD"/>
    <w:rsid w:val="007E06CB"/>
    <w:rsid w:val="007E106C"/>
    <w:rsid w:val="007E1AAE"/>
    <w:rsid w:val="007E2128"/>
    <w:rsid w:val="007E76F5"/>
    <w:rsid w:val="007F440D"/>
    <w:rsid w:val="007F4C83"/>
    <w:rsid w:val="007F510E"/>
    <w:rsid w:val="00803309"/>
    <w:rsid w:val="00805925"/>
    <w:rsid w:val="00807FC9"/>
    <w:rsid w:val="00810B1E"/>
    <w:rsid w:val="00816772"/>
    <w:rsid w:val="00817263"/>
    <w:rsid w:val="00825DA1"/>
    <w:rsid w:val="00832EC2"/>
    <w:rsid w:val="00832F08"/>
    <w:rsid w:val="00833C2B"/>
    <w:rsid w:val="00841785"/>
    <w:rsid w:val="00844414"/>
    <w:rsid w:val="0084664F"/>
    <w:rsid w:val="00851066"/>
    <w:rsid w:val="0085239C"/>
    <w:rsid w:val="00853BC2"/>
    <w:rsid w:val="0085631A"/>
    <w:rsid w:val="008563D2"/>
    <w:rsid w:val="00856D77"/>
    <w:rsid w:val="00863508"/>
    <w:rsid w:val="0086662F"/>
    <w:rsid w:val="00875834"/>
    <w:rsid w:val="0087704B"/>
    <w:rsid w:val="00877A8D"/>
    <w:rsid w:val="008802DF"/>
    <w:rsid w:val="00881769"/>
    <w:rsid w:val="008830C6"/>
    <w:rsid w:val="00892254"/>
    <w:rsid w:val="00892A6C"/>
    <w:rsid w:val="00892F0E"/>
    <w:rsid w:val="00893059"/>
    <w:rsid w:val="00894F80"/>
    <w:rsid w:val="008B120A"/>
    <w:rsid w:val="008B278A"/>
    <w:rsid w:val="008B2F9B"/>
    <w:rsid w:val="008B36F4"/>
    <w:rsid w:val="008B6FBE"/>
    <w:rsid w:val="008C233C"/>
    <w:rsid w:val="008C2CB2"/>
    <w:rsid w:val="008C3B05"/>
    <w:rsid w:val="008C5424"/>
    <w:rsid w:val="008C61B6"/>
    <w:rsid w:val="008D1E8D"/>
    <w:rsid w:val="008D22E7"/>
    <w:rsid w:val="008D4104"/>
    <w:rsid w:val="008D4DDC"/>
    <w:rsid w:val="008D6B03"/>
    <w:rsid w:val="008E1EFF"/>
    <w:rsid w:val="008E29F6"/>
    <w:rsid w:val="008E55C7"/>
    <w:rsid w:val="008E64F5"/>
    <w:rsid w:val="008E7541"/>
    <w:rsid w:val="008F0873"/>
    <w:rsid w:val="008F50B8"/>
    <w:rsid w:val="008F6BE0"/>
    <w:rsid w:val="008F71EA"/>
    <w:rsid w:val="008F7208"/>
    <w:rsid w:val="00900F17"/>
    <w:rsid w:val="009011D6"/>
    <w:rsid w:val="0090354F"/>
    <w:rsid w:val="00910EBB"/>
    <w:rsid w:val="009141D6"/>
    <w:rsid w:val="0091696C"/>
    <w:rsid w:val="00930905"/>
    <w:rsid w:val="009321AB"/>
    <w:rsid w:val="00934983"/>
    <w:rsid w:val="00950A89"/>
    <w:rsid w:val="00954A02"/>
    <w:rsid w:val="00954C15"/>
    <w:rsid w:val="00957DD9"/>
    <w:rsid w:val="00962B65"/>
    <w:rsid w:val="00962F7C"/>
    <w:rsid w:val="00965435"/>
    <w:rsid w:val="00972740"/>
    <w:rsid w:val="00973CDF"/>
    <w:rsid w:val="00976868"/>
    <w:rsid w:val="00977EF3"/>
    <w:rsid w:val="00980571"/>
    <w:rsid w:val="00986C57"/>
    <w:rsid w:val="00990125"/>
    <w:rsid w:val="00995EA9"/>
    <w:rsid w:val="009A062A"/>
    <w:rsid w:val="009A26ED"/>
    <w:rsid w:val="009A2BF3"/>
    <w:rsid w:val="009A45EE"/>
    <w:rsid w:val="009A4FD1"/>
    <w:rsid w:val="009A68AF"/>
    <w:rsid w:val="009B497A"/>
    <w:rsid w:val="009B678A"/>
    <w:rsid w:val="009B77BF"/>
    <w:rsid w:val="009C16CF"/>
    <w:rsid w:val="009D394F"/>
    <w:rsid w:val="009D53DA"/>
    <w:rsid w:val="009D6181"/>
    <w:rsid w:val="009D64D4"/>
    <w:rsid w:val="009E1A77"/>
    <w:rsid w:val="009E4D40"/>
    <w:rsid w:val="009E798B"/>
    <w:rsid w:val="009F0970"/>
    <w:rsid w:val="009F61E6"/>
    <w:rsid w:val="009F7E29"/>
    <w:rsid w:val="00A04BBD"/>
    <w:rsid w:val="00A111E9"/>
    <w:rsid w:val="00A14456"/>
    <w:rsid w:val="00A15F8E"/>
    <w:rsid w:val="00A16154"/>
    <w:rsid w:val="00A16756"/>
    <w:rsid w:val="00A173CA"/>
    <w:rsid w:val="00A334BD"/>
    <w:rsid w:val="00A34FB4"/>
    <w:rsid w:val="00A35DD0"/>
    <w:rsid w:val="00A36222"/>
    <w:rsid w:val="00A3726E"/>
    <w:rsid w:val="00A40C0C"/>
    <w:rsid w:val="00A460C5"/>
    <w:rsid w:val="00A461F8"/>
    <w:rsid w:val="00A468EE"/>
    <w:rsid w:val="00A53DD7"/>
    <w:rsid w:val="00A60C18"/>
    <w:rsid w:val="00A62C8C"/>
    <w:rsid w:val="00A734F9"/>
    <w:rsid w:val="00A775C7"/>
    <w:rsid w:val="00A777D1"/>
    <w:rsid w:val="00A85567"/>
    <w:rsid w:val="00A86F0B"/>
    <w:rsid w:val="00A87725"/>
    <w:rsid w:val="00A91D74"/>
    <w:rsid w:val="00A92F4B"/>
    <w:rsid w:val="00AA562B"/>
    <w:rsid w:val="00AA6616"/>
    <w:rsid w:val="00AB10B2"/>
    <w:rsid w:val="00AB7C77"/>
    <w:rsid w:val="00AC148D"/>
    <w:rsid w:val="00AC2266"/>
    <w:rsid w:val="00AC57BC"/>
    <w:rsid w:val="00AD2D82"/>
    <w:rsid w:val="00AD2D98"/>
    <w:rsid w:val="00AD549C"/>
    <w:rsid w:val="00AD6FAD"/>
    <w:rsid w:val="00AD79C1"/>
    <w:rsid w:val="00AE0F50"/>
    <w:rsid w:val="00AE3D64"/>
    <w:rsid w:val="00AE6898"/>
    <w:rsid w:val="00B0757F"/>
    <w:rsid w:val="00B121AD"/>
    <w:rsid w:val="00B12DD6"/>
    <w:rsid w:val="00B14CAF"/>
    <w:rsid w:val="00B2102D"/>
    <w:rsid w:val="00B2249B"/>
    <w:rsid w:val="00B2329A"/>
    <w:rsid w:val="00B25AD1"/>
    <w:rsid w:val="00B31446"/>
    <w:rsid w:val="00B315E9"/>
    <w:rsid w:val="00B32DB6"/>
    <w:rsid w:val="00B359A3"/>
    <w:rsid w:val="00B35CD1"/>
    <w:rsid w:val="00B36E57"/>
    <w:rsid w:val="00B378D6"/>
    <w:rsid w:val="00B40FB9"/>
    <w:rsid w:val="00B41666"/>
    <w:rsid w:val="00B41F90"/>
    <w:rsid w:val="00B42FB5"/>
    <w:rsid w:val="00B538A2"/>
    <w:rsid w:val="00B54638"/>
    <w:rsid w:val="00B60C15"/>
    <w:rsid w:val="00B6292C"/>
    <w:rsid w:val="00B64296"/>
    <w:rsid w:val="00B750D1"/>
    <w:rsid w:val="00B76FF4"/>
    <w:rsid w:val="00B77457"/>
    <w:rsid w:val="00B810AF"/>
    <w:rsid w:val="00B82D4D"/>
    <w:rsid w:val="00B84F87"/>
    <w:rsid w:val="00B86E3F"/>
    <w:rsid w:val="00B8748F"/>
    <w:rsid w:val="00B97CAE"/>
    <w:rsid w:val="00BA2722"/>
    <w:rsid w:val="00BB1121"/>
    <w:rsid w:val="00BB1686"/>
    <w:rsid w:val="00BB5E21"/>
    <w:rsid w:val="00BB755B"/>
    <w:rsid w:val="00BC08EB"/>
    <w:rsid w:val="00BC71DC"/>
    <w:rsid w:val="00BD09AF"/>
    <w:rsid w:val="00BD2069"/>
    <w:rsid w:val="00BD4AA4"/>
    <w:rsid w:val="00BE08A6"/>
    <w:rsid w:val="00BE118C"/>
    <w:rsid w:val="00BE150A"/>
    <w:rsid w:val="00BE43CF"/>
    <w:rsid w:val="00BE780C"/>
    <w:rsid w:val="00BE7B22"/>
    <w:rsid w:val="00C016C3"/>
    <w:rsid w:val="00C027D9"/>
    <w:rsid w:val="00C06A69"/>
    <w:rsid w:val="00C10558"/>
    <w:rsid w:val="00C10F5F"/>
    <w:rsid w:val="00C1254B"/>
    <w:rsid w:val="00C12B3D"/>
    <w:rsid w:val="00C1375E"/>
    <w:rsid w:val="00C1397E"/>
    <w:rsid w:val="00C15713"/>
    <w:rsid w:val="00C213DD"/>
    <w:rsid w:val="00C24F73"/>
    <w:rsid w:val="00C336FC"/>
    <w:rsid w:val="00C33CC2"/>
    <w:rsid w:val="00C34AD3"/>
    <w:rsid w:val="00C34DE1"/>
    <w:rsid w:val="00C35509"/>
    <w:rsid w:val="00C43842"/>
    <w:rsid w:val="00C44235"/>
    <w:rsid w:val="00C44A1A"/>
    <w:rsid w:val="00C45177"/>
    <w:rsid w:val="00C5015C"/>
    <w:rsid w:val="00C50A68"/>
    <w:rsid w:val="00C56CD1"/>
    <w:rsid w:val="00C5745B"/>
    <w:rsid w:val="00C62EEA"/>
    <w:rsid w:val="00C6448A"/>
    <w:rsid w:val="00C64527"/>
    <w:rsid w:val="00C73FBD"/>
    <w:rsid w:val="00C75610"/>
    <w:rsid w:val="00C77EB9"/>
    <w:rsid w:val="00C80D04"/>
    <w:rsid w:val="00C829C7"/>
    <w:rsid w:val="00C82B87"/>
    <w:rsid w:val="00C843E4"/>
    <w:rsid w:val="00C85A8B"/>
    <w:rsid w:val="00C85F2F"/>
    <w:rsid w:val="00C91788"/>
    <w:rsid w:val="00C93912"/>
    <w:rsid w:val="00C95904"/>
    <w:rsid w:val="00CA1667"/>
    <w:rsid w:val="00CA1711"/>
    <w:rsid w:val="00CA7822"/>
    <w:rsid w:val="00CA7E99"/>
    <w:rsid w:val="00CB23DA"/>
    <w:rsid w:val="00CB4628"/>
    <w:rsid w:val="00CB5704"/>
    <w:rsid w:val="00CB5C9C"/>
    <w:rsid w:val="00CC1431"/>
    <w:rsid w:val="00CC1E38"/>
    <w:rsid w:val="00CC647E"/>
    <w:rsid w:val="00CC73F0"/>
    <w:rsid w:val="00CC7E2B"/>
    <w:rsid w:val="00CD0AA1"/>
    <w:rsid w:val="00CD3CA4"/>
    <w:rsid w:val="00CE278A"/>
    <w:rsid w:val="00CE2C75"/>
    <w:rsid w:val="00CF29A8"/>
    <w:rsid w:val="00D01C96"/>
    <w:rsid w:val="00D10283"/>
    <w:rsid w:val="00D1326D"/>
    <w:rsid w:val="00D145F4"/>
    <w:rsid w:val="00D2278F"/>
    <w:rsid w:val="00D33827"/>
    <w:rsid w:val="00D33AB2"/>
    <w:rsid w:val="00D350DC"/>
    <w:rsid w:val="00D4099C"/>
    <w:rsid w:val="00D4213A"/>
    <w:rsid w:val="00D42AD1"/>
    <w:rsid w:val="00D47EDD"/>
    <w:rsid w:val="00D50DC8"/>
    <w:rsid w:val="00D53E05"/>
    <w:rsid w:val="00D55E20"/>
    <w:rsid w:val="00D56318"/>
    <w:rsid w:val="00D56B03"/>
    <w:rsid w:val="00D609ED"/>
    <w:rsid w:val="00D62593"/>
    <w:rsid w:val="00D649BB"/>
    <w:rsid w:val="00D64CFA"/>
    <w:rsid w:val="00D67A8C"/>
    <w:rsid w:val="00D73229"/>
    <w:rsid w:val="00D74602"/>
    <w:rsid w:val="00D80FDB"/>
    <w:rsid w:val="00D832D7"/>
    <w:rsid w:val="00D85754"/>
    <w:rsid w:val="00D915CE"/>
    <w:rsid w:val="00D929A4"/>
    <w:rsid w:val="00D9371C"/>
    <w:rsid w:val="00D96D1E"/>
    <w:rsid w:val="00DA3EEC"/>
    <w:rsid w:val="00DA62FF"/>
    <w:rsid w:val="00DB1ADD"/>
    <w:rsid w:val="00DB22BE"/>
    <w:rsid w:val="00DB4D72"/>
    <w:rsid w:val="00DC08C5"/>
    <w:rsid w:val="00DC2A67"/>
    <w:rsid w:val="00DC5DE7"/>
    <w:rsid w:val="00DC603A"/>
    <w:rsid w:val="00DC60BA"/>
    <w:rsid w:val="00DC7103"/>
    <w:rsid w:val="00DC749D"/>
    <w:rsid w:val="00DD35CB"/>
    <w:rsid w:val="00DD3841"/>
    <w:rsid w:val="00DD7A6A"/>
    <w:rsid w:val="00DE0D6C"/>
    <w:rsid w:val="00DE1524"/>
    <w:rsid w:val="00DE5260"/>
    <w:rsid w:val="00DE6122"/>
    <w:rsid w:val="00DF05C6"/>
    <w:rsid w:val="00DF21F7"/>
    <w:rsid w:val="00DF529B"/>
    <w:rsid w:val="00DF7B3D"/>
    <w:rsid w:val="00E06024"/>
    <w:rsid w:val="00E064B3"/>
    <w:rsid w:val="00E0670B"/>
    <w:rsid w:val="00E0683E"/>
    <w:rsid w:val="00E14758"/>
    <w:rsid w:val="00E24C42"/>
    <w:rsid w:val="00E24DB5"/>
    <w:rsid w:val="00E27145"/>
    <w:rsid w:val="00E34915"/>
    <w:rsid w:val="00E40144"/>
    <w:rsid w:val="00E40C85"/>
    <w:rsid w:val="00E45CE9"/>
    <w:rsid w:val="00E55A1A"/>
    <w:rsid w:val="00E63077"/>
    <w:rsid w:val="00E64DD2"/>
    <w:rsid w:val="00E67FC9"/>
    <w:rsid w:val="00E704E5"/>
    <w:rsid w:val="00E774B4"/>
    <w:rsid w:val="00E77DC5"/>
    <w:rsid w:val="00E82E4E"/>
    <w:rsid w:val="00E85641"/>
    <w:rsid w:val="00E857D3"/>
    <w:rsid w:val="00E86CEA"/>
    <w:rsid w:val="00E93223"/>
    <w:rsid w:val="00E94443"/>
    <w:rsid w:val="00E94906"/>
    <w:rsid w:val="00E95A5B"/>
    <w:rsid w:val="00E97CA2"/>
    <w:rsid w:val="00EA2215"/>
    <w:rsid w:val="00EB4E05"/>
    <w:rsid w:val="00EB6083"/>
    <w:rsid w:val="00EB6835"/>
    <w:rsid w:val="00ED1F05"/>
    <w:rsid w:val="00ED5CE4"/>
    <w:rsid w:val="00ED7F6F"/>
    <w:rsid w:val="00EE2CD0"/>
    <w:rsid w:val="00EE2D2F"/>
    <w:rsid w:val="00EE47BA"/>
    <w:rsid w:val="00EE4CAA"/>
    <w:rsid w:val="00EE67B3"/>
    <w:rsid w:val="00EF2048"/>
    <w:rsid w:val="00EF300A"/>
    <w:rsid w:val="00EF3A51"/>
    <w:rsid w:val="00F03B49"/>
    <w:rsid w:val="00F07A61"/>
    <w:rsid w:val="00F07BD1"/>
    <w:rsid w:val="00F10523"/>
    <w:rsid w:val="00F15A2A"/>
    <w:rsid w:val="00F208E2"/>
    <w:rsid w:val="00F20967"/>
    <w:rsid w:val="00F2219D"/>
    <w:rsid w:val="00F249C6"/>
    <w:rsid w:val="00F25E4B"/>
    <w:rsid w:val="00F26730"/>
    <w:rsid w:val="00F27510"/>
    <w:rsid w:val="00F326A0"/>
    <w:rsid w:val="00F36167"/>
    <w:rsid w:val="00F40596"/>
    <w:rsid w:val="00F5286A"/>
    <w:rsid w:val="00F53A4E"/>
    <w:rsid w:val="00F61340"/>
    <w:rsid w:val="00F6150C"/>
    <w:rsid w:val="00F63C04"/>
    <w:rsid w:val="00F72EB3"/>
    <w:rsid w:val="00F7770D"/>
    <w:rsid w:val="00F91509"/>
    <w:rsid w:val="00F9382F"/>
    <w:rsid w:val="00F945DC"/>
    <w:rsid w:val="00F94B1B"/>
    <w:rsid w:val="00F94FA1"/>
    <w:rsid w:val="00F963E9"/>
    <w:rsid w:val="00F97F25"/>
    <w:rsid w:val="00FA1386"/>
    <w:rsid w:val="00FA53F1"/>
    <w:rsid w:val="00FA69DF"/>
    <w:rsid w:val="00FB1599"/>
    <w:rsid w:val="00FB2D72"/>
    <w:rsid w:val="00FC2717"/>
    <w:rsid w:val="00FC284A"/>
    <w:rsid w:val="00FC2C65"/>
    <w:rsid w:val="00FC7BF8"/>
    <w:rsid w:val="00FD081F"/>
    <w:rsid w:val="00FD0F7A"/>
    <w:rsid w:val="00FD4D5A"/>
    <w:rsid w:val="00FE258D"/>
    <w:rsid w:val="00FE3829"/>
    <w:rsid w:val="00FE3972"/>
    <w:rsid w:val="00FE497C"/>
    <w:rsid w:val="00FF015D"/>
    <w:rsid w:val="00FF56CF"/>
    <w:rsid w:val="00FF573D"/>
    <w:rsid w:val="00FF59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43114-825C-44B7-BBF4-1B7CC79A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13EC3"/>
  </w:style>
  <w:style w:type="character" w:styleId="a3">
    <w:name w:val="annotation reference"/>
    <w:basedOn w:val="a0"/>
    <w:uiPriority w:val="99"/>
    <w:semiHidden/>
    <w:unhideWhenUsed/>
    <w:rsid w:val="00ED1F05"/>
    <w:rPr>
      <w:sz w:val="16"/>
      <w:szCs w:val="16"/>
    </w:rPr>
  </w:style>
  <w:style w:type="paragraph" w:styleId="a4">
    <w:name w:val="annotation text"/>
    <w:basedOn w:val="a"/>
    <w:link w:val="a5"/>
    <w:uiPriority w:val="99"/>
    <w:semiHidden/>
    <w:unhideWhenUsed/>
    <w:rsid w:val="00ED1F05"/>
    <w:pPr>
      <w:spacing w:line="240" w:lineRule="auto"/>
    </w:pPr>
    <w:rPr>
      <w:sz w:val="20"/>
      <w:szCs w:val="20"/>
    </w:rPr>
  </w:style>
  <w:style w:type="character" w:customStyle="1" w:styleId="a5">
    <w:name w:val="טקסט הערה תו"/>
    <w:basedOn w:val="a0"/>
    <w:link w:val="a4"/>
    <w:uiPriority w:val="99"/>
    <w:semiHidden/>
    <w:rsid w:val="00ED1F05"/>
    <w:rPr>
      <w:sz w:val="20"/>
      <w:szCs w:val="20"/>
    </w:rPr>
  </w:style>
  <w:style w:type="paragraph" w:styleId="a6">
    <w:name w:val="annotation subject"/>
    <w:basedOn w:val="a4"/>
    <w:next w:val="a4"/>
    <w:link w:val="a7"/>
    <w:uiPriority w:val="99"/>
    <w:semiHidden/>
    <w:unhideWhenUsed/>
    <w:rsid w:val="00ED1F05"/>
    <w:rPr>
      <w:b/>
      <w:bCs/>
    </w:rPr>
  </w:style>
  <w:style w:type="character" w:customStyle="1" w:styleId="a7">
    <w:name w:val="נושא הערה תו"/>
    <w:basedOn w:val="a5"/>
    <w:link w:val="a6"/>
    <w:uiPriority w:val="99"/>
    <w:semiHidden/>
    <w:rsid w:val="00ED1F05"/>
    <w:rPr>
      <w:b/>
      <w:bCs/>
      <w:sz w:val="20"/>
      <w:szCs w:val="20"/>
    </w:rPr>
  </w:style>
  <w:style w:type="paragraph" w:styleId="a8">
    <w:name w:val="Balloon Text"/>
    <w:basedOn w:val="a"/>
    <w:link w:val="a9"/>
    <w:uiPriority w:val="99"/>
    <w:semiHidden/>
    <w:unhideWhenUsed/>
    <w:rsid w:val="00ED1F05"/>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ED1F05"/>
    <w:rPr>
      <w:rFonts w:ascii="Tahoma" w:hAnsi="Tahoma" w:cs="Tahoma"/>
      <w:sz w:val="16"/>
      <w:szCs w:val="16"/>
    </w:rPr>
  </w:style>
  <w:style w:type="paragraph" w:styleId="aa">
    <w:name w:val="footnote text"/>
    <w:basedOn w:val="a"/>
    <w:link w:val="ab"/>
    <w:uiPriority w:val="99"/>
    <w:semiHidden/>
    <w:unhideWhenUsed/>
    <w:rsid w:val="00F94FA1"/>
    <w:pPr>
      <w:spacing w:after="0" w:line="240" w:lineRule="auto"/>
    </w:pPr>
    <w:rPr>
      <w:sz w:val="20"/>
      <w:szCs w:val="20"/>
    </w:rPr>
  </w:style>
  <w:style w:type="character" w:customStyle="1" w:styleId="ab">
    <w:name w:val="טקסט הערת שוליים תו"/>
    <w:basedOn w:val="a0"/>
    <w:link w:val="aa"/>
    <w:uiPriority w:val="99"/>
    <w:semiHidden/>
    <w:rsid w:val="00F94FA1"/>
    <w:rPr>
      <w:sz w:val="20"/>
      <w:szCs w:val="20"/>
    </w:rPr>
  </w:style>
  <w:style w:type="character" w:styleId="ac">
    <w:name w:val="footnote reference"/>
    <w:basedOn w:val="a0"/>
    <w:uiPriority w:val="99"/>
    <w:semiHidden/>
    <w:unhideWhenUsed/>
    <w:rsid w:val="00F94FA1"/>
    <w:rPr>
      <w:vertAlign w:val="superscript"/>
    </w:rPr>
  </w:style>
  <w:style w:type="paragraph" w:styleId="ad">
    <w:name w:val="Revision"/>
    <w:hidden/>
    <w:uiPriority w:val="99"/>
    <w:semiHidden/>
    <w:rsid w:val="002D0CA4"/>
    <w:pPr>
      <w:spacing w:after="0" w:line="240" w:lineRule="auto"/>
    </w:pPr>
  </w:style>
  <w:style w:type="paragraph" w:styleId="ae">
    <w:name w:val="List Paragraph"/>
    <w:basedOn w:val="a"/>
    <w:uiPriority w:val="34"/>
    <w:qFormat/>
    <w:rsid w:val="0064344D"/>
    <w:pPr>
      <w:ind w:left="720"/>
      <w:contextualSpacing/>
    </w:pPr>
  </w:style>
  <w:style w:type="table" w:styleId="af">
    <w:name w:val="Table Grid"/>
    <w:basedOn w:val="a1"/>
    <w:uiPriority w:val="59"/>
    <w:rsid w:val="001A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6C5FAD"/>
    <w:rPr>
      <w:rFonts w:ascii="Times New Roman" w:eastAsia="Times New Roman" w:hAnsi="Times New Roman" w:cs="Times New Roman"/>
      <w:b/>
      <w:bCs/>
      <w:sz w:val="27"/>
      <w:szCs w:val="27"/>
    </w:rPr>
  </w:style>
  <w:style w:type="character" w:styleId="af0">
    <w:name w:val="Emphasis"/>
    <w:basedOn w:val="a0"/>
    <w:uiPriority w:val="20"/>
    <w:qFormat/>
    <w:rsid w:val="006C5FAD"/>
    <w:rPr>
      <w:i/>
      <w:iCs/>
    </w:rPr>
  </w:style>
  <w:style w:type="character" w:styleId="Hyperlink">
    <w:name w:val="Hyperlink"/>
    <w:basedOn w:val="a0"/>
    <w:uiPriority w:val="99"/>
    <w:unhideWhenUsed/>
    <w:rsid w:val="00844414"/>
    <w:rPr>
      <w:color w:val="0000FF" w:themeColor="hyperlink"/>
      <w:u w:val="single"/>
    </w:rPr>
  </w:style>
  <w:style w:type="character" w:styleId="FollowedHyperlink">
    <w:name w:val="FollowedHyperlink"/>
    <w:basedOn w:val="a0"/>
    <w:uiPriority w:val="99"/>
    <w:semiHidden/>
    <w:unhideWhenUsed/>
    <w:rsid w:val="00844414"/>
    <w:rPr>
      <w:color w:val="800080" w:themeColor="followedHyperlink"/>
      <w:u w:val="single"/>
    </w:rPr>
  </w:style>
  <w:style w:type="paragraph" w:styleId="HTML">
    <w:name w:val="HTML Preformatted"/>
    <w:basedOn w:val="a"/>
    <w:link w:val="HTML0"/>
    <w:uiPriority w:val="99"/>
    <w:unhideWhenUsed/>
    <w:rsid w:val="00930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rsid w:val="00930905"/>
    <w:rPr>
      <w:rFonts w:ascii="Courier New" w:eastAsia="Times New Roman" w:hAnsi="Courier New" w:cs="Courier New"/>
      <w:sz w:val="20"/>
      <w:szCs w:val="20"/>
    </w:rPr>
  </w:style>
  <w:style w:type="paragraph" w:customStyle="1" w:styleId="CC">
    <w:name w:val="CC"/>
    <w:basedOn w:val="af1"/>
    <w:uiPriority w:val="99"/>
    <w:rsid w:val="0058123C"/>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af1">
    <w:name w:val="Body Text"/>
    <w:basedOn w:val="a"/>
    <w:link w:val="af2"/>
    <w:uiPriority w:val="99"/>
    <w:semiHidden/>
    <w:unhideWhenUsed/>
    <w:rsid w:val="0058123C"/>
    <w:pPr>
      <w:spacing w:after="120"/>
    </w:pPr>
  </w:style>
  <w:style w:type="character" w:customStyle="1" w:styleId="af2">
    <w:name w:val="גוף טקסט תו"/>
    <w:basedOn w:val="a0"/>
    <w:link w:val="af1"/>
    <w:uiPriority w:val="99"/>
    <w:semiHidden/>
    <w:rsid w:val="0058123C"/>
  </w:style>
  <w:style w:type="character" w:customStyle="1" w:styleId="unicode">
    <w:name w:val="unicode"/>
    <w:basedOn w:val="a0"/>
    <w:rsid w:val="00B750D1"/>
  </w:style>
  <w:style w:type="paragraph" w:styleId="af3">
    <w:name w:val="caption"/>
    <w:basedOn w:val="a"/>
    <w:next w:val="a"/>
    <w:uiPriority w:val="35"/>
    <w:unhideWhenUsed/>
    <w:qFormat/>
    <w:rsid w:val="002B72AA"/>
    <w:pPr>
      <w:spacing w:line="240" w:lineRule="auto"/>
    </w:pPr>
    <w:rPr>
      <w:b/>
      <w:bCs/>
      <w:color w:val="4F81BD" w:themeColor="accent1"/>
      <w:sz w:val="18"/>
      <w:szCs w:val="18"/>
    </w:rPr>
  </w:style>
  <w:style w:type="paragraph" w:customStyle="1" w:styleId="style3">
    <w:name w:val="style3"/>
    <w:basedOn w:val="a"/>
    <w:rsid w:val="00C64527"/>
    <w:pPr>
      <w:spacing w:after="0"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134268">
      <w:bodyDiv w:val="1"/>
      <w:marLeft w:val="0"/>
      <w:marRight w:val="0"/>
      <w:marTop w:val="0"/>
      <w:marBottom w:val="0"/>
      <w:divBdr>
        <w:top w:val="none" w:sz="0" w:space="0" w:color="auto"/>
        <w:left w:val="none" w:sz="0" w:space="0" w:color="auto"/>
        <w:bottom w:val="none" w:sz="0" w:space="0" w:color="auto"/>
        <w:right w:val="none" w:sz="0" w:space="0" w:color="auto"/>
      </w:divBdr>
    </w:div>
    <w:div w:id="696274692">
      <w:bodyDiv w:val="1"/>
      <w:marLeft w:val="0"/>
      <w:marRight w:val="0"/>
      <w:marTop w:val="0"/>
      <w:marBottom w:val="0"/>
      <w:divBdr>
        <w:top w:val="none" w:sz="0" w:space="0" w:color="auto"/>
        <w:left w:val="none" w:sz="0" w:space="0" w:color="auto"/>
        <w:bottom w:val="none" w:sz="0" w:space="0" w:color="auto"/>
        <w:right w:val="none" w:sz="0" w:space="0" w:color="auto"/>
      </w:divBdr>
    </w:div>
    <w:div w:id="1124350831">
      <w:bodyDiv w:val="1"/>
      <w:marLeft w:val="0"/>
      <w:marRight w:val="0"/>
      <w:marTop w:val="0"/>
      <w:marBottom w:val="0"/>
      <w:divBdr>
        <w:top w:val="none" w:sz="0" w:space="0" w:color="auto"/>
        <w:left w:val="none" w:sz="0" w:space="0" w:color="auto"/>
        <w:bottom w:val="none" w:sz="0" w:space="0" w:color="auto"/>
        <w:right w:val="none" w:sz="0" w:space="0" w:color="auto"/>
      </w:divBdr>
    </w:div>
    <w:div w:id="119900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korenpub.com/products/places-in-the-parash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2A38D2-9F55-4A54-B40A-713B298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3297</Words>
  <Characters>16881</Characters>
  <Application>Microsoft Office Word</Application>
  <DocSecurity>0</DocSecurity>
  <Lines>263</Lines>
  <Paragraphs>156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user</cp:lastModifiedBy>
  <cp:revision>2</cp:revision>
  <dcterms:created xsi:type="dcterms:W3CDTF">2021-03-21T07:05:00Z</dcterms:created>
  <dcterms:modified xsi:type="dcterms:W3CDTF">2021-03-21T07:05:00Z</dcterms:modified>
</cp:coreProperties>
</file>