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AD" w:rsidRDefault="00331AB7" w:rsidP="00331AB7">
      <w:pPr>
        <w:pStyle w:val="20"/>
        <w:rPr>
          <w:rFonts w:ascii="Narkisim" w:hAnsi="Narkisim" w:cs="Narkisim"/>
          <w:sz w:val="36"/>
          <w:szCs w:val="36"/>
          <w:rtl/>
        </w:rPr>
      </w:pPr>
      <w:r w:rsidRPr="00331AB7">
        <w:rPr>
          <w:rFonts w:ascii="Narkisim" w:hAnsi="Narkisim" w:cs="Narkisim"/>
          <w:sz w:val="36"/>
          <w:szCs w:val="36"/>
          <w:rtl/>
        </w:rPr>
        <w:t>המצוות התלויות בארץ</w:t>
      </w:r>
      <w:r w:rsidR="008369D0" w:rsidRPr="008369D0">
        <w:rPr>
          <w:rFonts w:ascii="Narkisim" w:hAnsi="Narkisim" w:cs="Narkisim" w:hint="cs"/>
          <w:sz w:val="36"/>
          <w:szCs w:val="36"/>
          <w:vertAlign w:val="superscript"/>
          <w:rtl/>
        </w:rPr>
        <w:t>1</w:t>
      </w:r>
    </w:p>
    <w:p w:rsidR="00535514" w:rsidRDefault="00535514" w:rsidP="00800A35">
      <w:pPr>
        <w:pStyle w:val="20"/>
        <w:jc w:val="both"/>
        <w:rPr>
          <w:rFonts w:ascii="Narkisim" w:hAnsi="Narkisim" w:cs="Narkisim" w:hint="cs"/>
          <w:rtl/>
        </w:rPr>
      </w:pPr>
    </w:p>
    <w:p w:rsidR="007B7CFE" w:rsidRPr="002538AD" w:rsidRDefault="007B7CFE" w:rsidP="00800A35">
      <w:pPr>
        <w:pStyle w:val="20"/>
        <w:jc w:val="both"/>
        <w:rPr>
          <w:rFonts w:ascii="Narkisim" w:hAnsi="Narkisim" w:cs="Narkisim"/>
          <w:rtl/>
        </w:rPr>
        <w:sectPr w:rsidR="007B7CFE" w:rsidRPr="002538AD" w:rsidSect="00535514">
          <w:headerReference w:type="default" r:id="rId9"/>
          <w:type w:val="continuous"/>
          <w:pgSz w:w="12240" w:h="15840"/>
          <w:pgMar w:top="1134" w:right="1134" w:bottom="964" w:left="1134" w:header="720" w:footer="720" w:gutter="0"/>
          <w:cols w:space="720"/>
          <w:bidi/>
          <w:docGrid w:linePitch="360"/>
        </w:sectPr>
      </w:pPr>
    </w:p>
    <w:p w:rsidR="00331AB7" w:rsidRPr="003C6D1A" w:rsidRDefault="00331AB7" w:rsidP="003C6D1A">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lastRenderedPageBreak/>
        <w:t xml:space="preserve">מטרתנו בשיעור זה היא לסקור בצורה כללית את סדר זרעים ואת הנושאים המרכזיים הנידונים בו. הדיון בנושא זה </w:t>
      </w:r>
      <w:r w:rsidR="00F657E9">
        <w:rPr>
          <w:rFonts w:ascii="Narkisim" w:eastAsia="Calibri" w:hAnsi="Narkisim" w:hint="cs"/>
          <w:sz w:val="24"/>
          <w:szCs w:val="24"/>
          <w:rtl/>
        </w:rPr>
        <w:t>ייעשה</w:t>
      </w:r>
      <w:r w:rsidRPr="00331AB7">
        <w:rPr>
          <w:rFonts w:ascii="Narkisim" w:eastAsia="Calibri" w:hAnsi="Narkisim"/>
          <w:sz w:val="24"/>
          <w:szCs w:val="24"/>
          <w:rtl/>
        </w:rPr>
        <w:t xml:space="preserve"> בעיקר תחת שתי מסגרות. המסגרת הראשונה היא המשניות והתלמוד הירושלמי על המשניות, והמסגרת השנייה היא הרמב"ם. אמנם, לא כל מה שנמצא בספר זרעים של הרמב"ם כלול בסדר זרעים במשניות, כמו נושא הצדקה וכדומה.</w:t>
      </w:r>
      <w:r w:rsidR="003C6D1A" w:rsidRPr="003C6D1A">
        <w:rPr>
          <w:rFonts w:ascii="Narkisim" w:eastAsia="Calibri" w:hAnsi="Narkisim" w:hint="cs"/>
          <w:color w:val="FFFFFF" w:themeColor="background1"/>
          <w:sz w:val="24"/>
          <w:szCs w:val="24"/>
          <w:rtl/>
        </w:rPr>
        <w:footnoteReference w:customMarkFollows="1" w:id="1"/>
        <w:t>*</w:t>
      </w:r>
      <w:r w:rsidR="003C6D1A" w:rsidRPr="003C6D1A">
        <w:rPr>
          <w:rFonts w:ascii="Narkisim" w:eastAsia="Calibri" w:hAnsi="Narkisim"/>
          <w:color w:val="FFFFFF" w:themeColor="background1"/>
          <w:sz w:val="24"/>
          <w:szCs w:val="24"/>
          <w:rtl/>
        </w:rPr>
        <w:t xml:space="preserve"> </w:t>
      </w:r>
    </w:p>
    <w:p w:rsidR="00331AB7" w:rsidRPr="00F657E9" w:rsidRDefault="00331AB7" w:rsidP="00F657E9">
      <w:pPr>
        <w:pStyle w:val="2"/>
        <w:rPr>
          <w:rtl/>
        </w:rPr>
      </w:pPr>
      <w:r w:rsidRPr="00F657E9">
        <w:rPr>
          <w:rtl/>
        </w:rPr>
        <w:t>א. מצוות עשה ולא-תעשה</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תחום הנושאים הקשורים לזרעים הוא תחום עצמאי</w:t>
      </w:r>
      <w:r w:rsidR="00F657E9" w:rsidRPr="00F657E9">
        <w:rPr>
          <w:rFonts w:ascii="Narkisim" w:eastAsia="Calibri" w:hAnsi="Narkisim"/>
          <w:sz w:val="24"/>
          <w:szCs w:val="24"/>
          <w:rtl/>
        </w:rPr>
        <w:t xml:space="preserve"> </w:t>
      </w:r>
      <w:r w:rsidR="00F657E9" w:rsidRPr="00331AB7">
        <w:rPr>
          <w:rFonts w:ascii="Narkisim" w:eastAsia="Calibri" w:hAnsi="Narkisim"/>
          <w:sz w:val="24"/>
          <w:szCs w:val="24"/>
          <w:rtl/>
        </w:rPr>
        <w:t>במובן אחד</w:t>
      </w:r>
      <w:r w:rsidR="00F657E9">
        <w:rPr>
          <w:rFonts w:ascii="Narkisim" w:eastAsia="Calibri" w:hAnsi="Narkisim" w:hint="cs"/>
          <w:sz w:val="24"/>
          <w:szCs w:val="24"/>
          <w:rtl/>
        </w:rPr>
        <w:t>;</w:t>
      </w:r>
      <w:r w:rsidRPr="00331AB7">
        <w:rPr>
          <w:rFonts w:ascii="Narkisim" w:eastAsia="Calibri" w:hAnsi="Narkisim"/>
          <w:sz w:val="24"/>
          <w:szCs w:val="24"/>
          <w:rtl/>
        </w:rPr>
        <w:t xml:space="preserve"> אך במובן </w:t>
      </w:r>
      <w:r w:rsidR="00F657E9">
        <w:rPr>
          <w:rFonts w:ascii="Narkisim" w:eastAsia="Calibri" w:hAnsi="Narkisim" w:hint="cs"/>
          <w:sz w:val="24"/>
          <w:szCs w:val="24"/>
          <w:rtl/>
        </w:rPr>
        <w:t>אחר</w:t>
      </w:r>
      <w:r w:rsidRPr="00331AB7">
        <w:rPr>
          <w:rFonts w:ascii="Narkisim" w:eastAsia="Calibri" w:hAnsi="Narkisim"/>
          <w:sz w:val="24"/>
          <w:szCs w:val="24"/>
          <w:rtl/>
        </w:rPr>
        <w:t xml:space="preserve">, יש בתוכו מרכיבים המקבילים לתחומים אחרים. </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במובן הראשון, ישנם עניינים השייכים למצוות עשה ולא תעשה. מצוות אלו מתחלקות לשני מישורים, ישנן מצוות בהן קיים פן של קיום, כגון: תרומות ומעשרות, חלה, ביכורים וכדומה. המצוות הללו הן מצוות מותנות, כלומר רק אם האדם נמצא במצב מסוים, הוא מתחייב במצוות אלו. בנוסף לכך, מצוות אלו מחייבות פעולה מסוימת של האדם. ישנן מצוות אחרות, השייכות אף הן למערכת של זרעים, אך לגביהן המצווה היא פחות פעילות יזומה, ויותר עמידה פסיבית. מצוות אלו קשורות לתחום של מתנות עניים. התורה, בחומש דברים אומרת:</w:t>
      </w:r>
    </w:p>
    <w:p w:rsidR="00331AB7" w:rsidRPr="00F657E9" w:rsidRDefault="00331AB7" w:rsidP="00F657E9">
      <w:pPr>
        <w:pStyle w:val="aa"/>
        <w:rPr>
          <w:sz w:val="22"/>
          <w:szCs w:val="24"/>
          <w:rtl/>
        </w:rPr>
      </w:pPr>
      <w:r w:rsidRPr="00F657E9">
        <w:rPr>
          <w:sz w:val="22"/>
          <w:szCs w:val="24"/>
          <w:rtl/>
        </w:rPr>
        <w:t xml:space="preserve">כי תקצר קצירך בשדך, ושכחת עומר בשדה – לא תשוב לקחתו, לגר, ליתום ולאלמנה יהיה, למען יברכך ה' אלוקיך בכל מעשה ידיך. כי </w:t>
      </w:r>
      <w:proofErr w:type="spellStart"/>
      <w:r w:rsidRPr="00F657E9">
        <w:rPr>
          <w:sz w:val="22"/>
          <w:szCs w:val="24"/>
          <w:rtl/>
        </w:rPr>
        <w:t>תחבט</w:t>
      </w:r>
      <w:proofErr w:type="spellEnd"/>
      <w:r w:rsidRPr="00F657E9">
        <w:rPr>
          <w:sz w:val="22"/>
          <w:szCs w:val="24"/>
          <w:rtl/>
        </w:rPr>
        <w:t xml:space="preserve"> זיתך – לא תפאר אחריך, לגר, ליתום ולאלמנה יהיה. כי תבצר כרמך – לא תעולל אחריך, לגר, ליתום ולאלמנה יהיה. וזכרת כי עבד היית בארץ מצרים, על </w:t>
      </w:r>
      <w:r w:rsidR="00F657E9">
        <w:rPr>
          <w:sz w:val="22"/>
          <w:szCs w:val="24"/>
          <w:rtl/>
        </w:rPr>
        <w:t xml:space="preserve">כן אנכי </w:t>
      </w:r>
      <w:proofErr w:type="spellStart"/>
      <w:r w:rsidR="00F657E9">
        <w:rPr>
          <w:sz w:val="22"/>
          <w:szCs w:val="24"/>
          <w:rtl/>
        </w:rPr>
        <w:t>מצוך</w:t>
      </w:r>
      <w:proofErr w:type="spellEnd"/>
      <w:r w:rsidR="00F657E9">
        <w:rPr>
          <w:sz w:val="22"/>
          <w:szCs w:val="24"/>
          <w:rtl/>
        </w:rPr>
        <w:t xml:space="preserve"> לעשות את הדבר הזה.</w:t>
      </w:r>
      <w:r w:rsidR="00F657E9">
        <w:rPr>
          <w:rFonts w:hint="cs"/>
          <w:sz w:val="22"/>
          <w:szCs w:val="24"/>
          <w:rtl/>
        </w:rPr>
        <w:tab/>
      </w:r>
      <w:r w:rsidR="00F657E9">
        <w:rPr>
          <w:rFonts w:hint="cs"/>
          <w:sz w:val="18"/>
          <w:szCs w:val="20"/>
          <w:rtl/>
        </w:rPr>
        <w:t xml:space="preserve">(דברים כד, </w:t>
      </w:r>
      <w:proofErr w:type="spellStart"/>
      <w:r w:rsidR="00F657E9">
        <w:rPr>
          <w:rFonts w:hint="cs"/>
          <w:sz w:val="18"/>
          <w:szCs w:val="20"/>
          <w:rtl/>
        </w:rPr>
        <w:t>יט</w:t>
      </w:r>
      <w:proofErr w:type="spellEnd"/>
      <w:r w:rsidR="00F657E9">
        <w:rPr>
          <w:rFonts w:hint="cs"/>
          <w:sz w:val="18"/>
          <w:szCs w:val="20"/>
          <w:rtl/>
        </w:rPr>
        <w:t>)</w:t>
      </w:r>
      <w:r w:rsidR="00F657E9">
        <w:rPr>
          <w:rFonts w:hint="cs"/>
          <w:sz w:val="22"/>
          <w:szCs w:val="24"/>
          <w:rtl/>
        </w:rPr>
        <w:t>.</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lastRenderedPageBreak/>
        <w:t>כאן מדובר על שכחה, פרט ועוללות. בכולם נאמר שהפירות אמורים ללכת לגר, ליתום ולאלמנה. יש פה גם מצוַת לא תעשה של לא תשוב לקחתו, וגם מצוַת עשה שהפירות הללו</w:t>
      </w:r>
      <w:r w:rsidR="00F657E9">
        <w:rPr>
          <w:rFonts w:ascii="Narkisim" w:eastAsia="Calibri" w:hAnsi="Narkisim" w:hint="cs"/>
          <w:sz w:val="24"/>
          <w:szCs w:val="24"/>
          <w:rtl/>
        </w:rPr>
        <w:t xml:space="preserve"> </w:t>
      </w:r>
      <w:r w:rsidRPr="00331AB7">
        <w:rPr>
          <w:rFonts w:ascii="Narkisim" w:eastAsia="Calibri" w:hAnsi="Narkisim"/>
          <w:sz w:val="24"/>
          <w:szCs w:val="24"/>
          <w:rtl/>
        </w:rPr>
        <w:t>צריכים להיות שייכים לגר, ליתום ולאלמנה.</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לגבי מצוַת לקט, אומרת התורה בחומש ויקרא:</w:t>
      </w:r>
    </w:p>
    <w:p w:rsidR="00331AB7" w:rsidRPr="00F657E9" w:rsidRDefault="00331AB7" w:rsidP="00F657E9">
      <w:pPr>
        <w:pStyle w:val="aa"/>
        <w:rPr>
          <w:sz w:val="22"/>
          <w:szCs w:val="24"/>
          <w:rtl/>
        </w:rPr>
      </w:pPr>
      <w:r w:rsidRPr="00F657E9">
        <w:rPr>
          <w:sz w:val="22"/>
          <w:szCs w:val="24"/>
          <w:rtl/>
        </w:rPr>
        <w:t>ובקצרכם את קציר ארצכם – לא תכלה פאת שדך לקצר, ולקט קצירך לא תלקט, וכרמך לא תעולל, ופרט כרמך לא תלקט, לעני</w:t>
      </w:r>
      <w:r w:rsidR="00F657E9" w:rsidRPr="00F657E9">
        <w:rPr>
          <w:sz w:val="22"/>
          <w:szCs w:val="24"/>
          <w:rtl/>
        </w:rPr>
        <w:t xml:space="preserve"> ולגר </w:t>
      </w:r>
      <w:proofErr w:type="spellStart"/>
      <w:r w:rsidR="00F657E9" w:rsidRPr="00F657E9">
        <w:rPr>
          <w:sz w:val="22"/>
          <w:szCs w:val="24"/>
          <w:rtl/>
        </w:rPr>
        <w:t>תעזב</w:t>
      </w:r>
      <w:proofErr w:type="spellEnd"/>
      <w:r w:rsidR="00F657E9" w:rsidRPr="00F657E9">
        <w:rPr>
          <w:sz w:val="22"/>
          <w:szCs w:val="24"/>
          <w:rtl/>
        </w:rPr>
        <w:t xml:space="preserve"> אתם, אני ה' אלוקיכם.</w:t>
      </w:r>
      <w:r w:rsidR="00F657E9" w:rsidRPr="00F657E9">
        <w:rPr>
          <w:rFonts w:hint="cs"/>
          <w:sz w:val="22"/>
          <w:szCs w:val="24"/>
          <w:rtl/>
        </w:rPr>
        <w:tab/>
      </w:r>
      <w:r w:rsidR="00F657E9" w:rsidRPr="00F657E9">
        <w:rPr>
          <w:rFonts w:hint="cs"/>
          <w:sz w:val="18"/>
          <w:szCs w:val="20"/>
          <w:rtl/>
        </w:rPr>
        <w:t xml:space="preserve">(ויקרא </w:t>
      </w:r>
      <w:proofErr w:type="spellStart"/>
      <w:r w:rsidR="00F657E9" w:rsidRPr="00F657E9">
        <w:rPr>
          <w:rFonts w:hint="cs"/>
          <w:sz w:val="18"/>
          <w:szCs w:val="20"/>
          <w:rtl/>
        </w:rPr>
        <w:t>יט</w:t>
      </w:r>
      <w:proofErr w:type="spellEnd"/>
      <w:r w:rsidR="00F657E9">
        <w:rPr>
          <w:rFonts w:hint="cs"/>
          <w:sz w:val="18"/>
          <w:szCs w:val="20"/>
          <w:rtl/>
        </w:rPr>
        <w:t>.</w:t>
      </w:r>
      <w:r w:rsidR="00F657E9" w:rsidRPr="00F657E9">
        <w:rPr>
          <w:rFonts w:hint="cs"/>
          <w:sz w:val="18"/>
          <w:szCs w:val="20"/>
          <w:rtl/>
        </w:rPr>
        <w:t xml:space="preserve"> ט)</w:t>
      </w:r>
      <w:r w:rsidR="00F657E9" w:rsidRPr="00F657E9">
        <w:rPr>
          <w:rFonts w:hint="cs"/>
          <w:sz w:val="22"/>
          <w:szCs w:val="24"/>
          <w:rtl/>
        </w:rPr>
        <w:t>.</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 xml:space="preserve">בפרשה זו, מופיעה מצוַת </w:t>
      </w:r>
      <w:proofErr w:type="spellStart"/>
      <w:r w:rsidRPr="00331AB7">
        <w:rPr>
          <w:rFonts w:ascii="Narkisim" w:eastAsia="Calibri" w:hAnsi="Narkisim"/>
          <w:sz w:val="24"/>
          <w:szCs w:val="24"/>
          <w:rtl/>
        </w:rPr>
        <w:t>העשה</w:t>
      </w:r>
      <w:proofErr w:type="spellEnd"/>
      <w:r w:rsidRPr="00331AB7">
        <w:rPr>
          <w:rFonts w:ascii="Narkisim" w:eastAsia="Calibri" w:hAnsi="Narkisim"/>
          <w:sz w:val="24"/>
          <w:szCs w:val="24"/>
          <w:rtl/>
        </w:rPr>
        <w:t xml:space="preserve"> באופן יותר ברור. בפסוקים</w:t>
      </w:r>
      <w:r w:rsidR="00F657E9">
        <w:rPr>
          <w:rFonts w:ascii="Narkisim" w:eastAsia="Calibri" w:hAnsi="Narkisim"/>
          <w:sz w:val="24"/>
          <w:szCs w:val="24"/>
          <w:rtl/>
        </w:rPr>
        <w:t xml:space="preserve"> שהבאנו לעיל בנוגע למצוַת השכחה</w:t>
      </w:r>
      <w:r w:rsidR="00F657E9">
        <w:rPr>
          <w:rFonts w:ascii="Narkisim" w:eastAsia="Calibri" w:hAnsi="Narkisim" w:hint="cs"/>
          <w:sz w:val="24"/>
          <w:szCs w:val="24"/>
          <w:rtl/>
        </w:rPr>
        <w:t>,</w:t>
      </w:r>
      <w:r w:rsidRPr="00331AB7">
        <w:rPr>
          <w:rFonts w:ascii="Narkisim" w:eastAsia="Calibri" w:hAnsi="Narkisim"/>
          <w:sz w:val="24"/>
          <w:szCs w:val="24"/>
          <w:rtl/>
        </w:rPr>
        <w:t xml:space="preserve"> ניתן להבין שכוונת התורה היא רק לתאר את הבעלות הממונית ע</w:t>
      </w:r>
      <w:r w:rsidR="00F657E9">
        <w:rPr>
          <w:rFonts w:ascii="Narkisim" w:eastAsia="Calibri" w:hAnsi="Narkisim"/>
          <w:sz w:val="24"/>
          <w:szCs w:val="24"/>
          <w:rtl/>
        </w:rPr>
        <w:t>ל הפירות הנשכחים, ואין פה ציווי</w:t>
      </w:r>
      <w:r w:rsidR="00F657E9">
        <w:rPr>
          <w:rFonts w:ascii="Narkisim" w:eastAsia="Calibri" w:hAnsi="Narkisim" w:hint="cs"/>
          <w:sz w:val="24"/>
          <w:szCs w:val="24"/>
          <w:rtl/>
        </w:rPr>
        <w:t>.</w:t>
      </w:r>
      <w:r w:rsidRPr="00331AB7">
        <w:rPr>
          <w:rFonts w:ascii="Narkisim" w:eastAsia="Calibri" w:hAnsi="Narkisim"/>
          <w:sz w:val="24"/>
          <w:szCs w:val="24"/>
          <w:rtl/>
        </w:rPr>
        <w:t xml:space="preserve"> </w:t>
      </w:r>
      <w:r w:rsidR="00F657E9">
        <w:rPr>
          <w:rFonts w:ascii="Narkisim" w:eastAsia="Calibri" w:hAnsi="Narkisim" w:hint="cs"/>
          <w:sz w:val="24"/>
          <w:szCs w:val="24"/>
          <w:rtl/>
        </w:rPr>
        <w:t xml:space="preserve">לעומת זאת, </w:t>
      </w:r>
      <w:r w:rsidRPr="00331AB7">
        <w:rPr>
          <w:rFonts w:ascii="Narkisim" w:eastAsia="Calibri" w:hAnsi="Narkisim"/>
          <w:sz w:val="24"/>
          <w:szCs w:val="24"/>
          <w:rtl/>
        </w:rPr>
        <w:t>בפ</w:t>
      </w:r>
      <w:r w:rsidR="00F657E9">
        <w:rPr>
          <w:rFonts w:ascii="Narkisim" w:eastAsia="Calibri" w:hAnsi="Narkisim"/>
          <w:sz w:val="24"/>
          <w:szCs w:val="24"/>
          <w:rtl/>
        </w:rPr>
        <w:t>סוקים העוסקים במצוַת הלקט,</w:t>
      </w:r>
      <w:r w:rsidRPr="00331AB7">
        <w:rPr>
          <w:rFonts w:ascii="Narkisim" w:eastAsia="Calibri" w:hAnsi="Narkisim"/>
          <w:sz w:val="24"/>
          <w:szCs w:val="24"/>
          <w:rtl/>
        </w:rPr>
        <w:t xml:space="preserve"> די ברור שיש ציווי. בכל אופן, הרמב"ם, הן בספר המצוות והן בהלכות מתנות עניים, מונה את החיובים הללו כמצוות עשה.</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מצוות לקט, שכחה ופאה מופיעות תחת אותה כותרת, אך ישנו הבדל מסוים בין לקט ושכחה לבין פאה. בלקט ושכחה האדם אינו נדרש לעשות מאומה, ואילו בפאה יש מעשה של הפרשה. בגלל העיקרון הזה, מתעוררת השאלה מה היחס בין ההפרשה הזו לבין חובת ההפרשה של תרומות ומעשרות. האם ההפרשות דומות ואז ישנה חובת הפרשה אף בפאה, או שמא הנדרש בפאה הוא רק הגדרה של החלק המדובר, ואזי קיים דמיון יותר ללקט ושכחה, שאינם צריכים הפרשה כיון שהמציאות מגדירה מהו לקט ומהו שכחה. דיון נוסף הקיים, וכנראה קשור אף הוא לנקודה שהעלינו, הוא האם ניתן להישאל על פאה כמו שניתן להישאל על תרומות ומעשרות.</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lastRenderedPageBreak/>
        <w:t xml:space="preserve">בצד מצוות </w:t>
      </w:r>
      <w:proofErr w:type="spellStart"/>
      <w:r w:rsidRPr="00331AB7">
        <w:rPr>
          <w:rFonts w:ascii="Narkisim" w:eastAsia="Calibri" w:hAnsi="Narkisim"/>
          <w:sz w:val="24"/>
          <w:szCs w:val="24"/>
          <w:rtl/>
        </w:rPr>
        <w:t>העשה</w:t>
      </w:r>
      <w:proofErr w:type="spellEnd"/>
      <w:r w:rsidRPr="00331AB7">
        <w:rPr>
          <w:rFonts w:ascii="Narkisim" w:eastAsia="Calibri" w:hAnsi="Narkisim"/>
          <w:sz w:val="24"/>
          <w:szCs w:val="24"/>
          <w:rtl/>
        </w:rPr>
        <w:t xml:space="preserve">, ישנם איסורים. האיסורים מחולקים לשני סוגים: </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ה</w:t>
      </w:r>
      <w:r w:rsidR="00F657E9">
        <w:rPr>
          <w:rFonts w:ascii="Narkisim" w:eastAsia="Calibri" w:hAnsi="Narkisim" w:hint="cs"/>
          <w:sz w:val="24"/>
          <w:szCs w:val="24"/>
          <w:rtl/>
        </w:rPr>
        <w:t>סוג  הא</w:t>
      </w:r>
      <w:r w:rsidRPr="00331AB7">
        <w:rPr>
          <w:rFonts w:ascii="Narkisim" w:eastAsia="Calibri" w:hAnsi="Narkisim"/>
          <w:sz w:val="24"/>
          <w:szCs w:val="24"/>
          <w:rtl/>
        </w:rPr>
        <w:t>חד</w:t>
      </w:r>
      <w:r w:rsidR="00F657E9">
        <w:rPr>
          <w:rFonts w:ascii="Narkisim" w:eastAsia="Calibri" w:hAnsi="Narkisim" w:hint="cs"/>
          <w:sz w:val="24"/>
          <w:szCs w:val="24"/>
          <w:rtl/>
        </w:rPr>
        <w:t xml:space="preserve"> כולל</w:t>
      </w:r>
      <w:r w:rsidRPr="00331AB7">
        <w:rPr>
          <w:rFonts w:ascii="Narkisim" w:eastAsia="Calibri" w:hAnsi="Narkisim"/>
          <w:sz w:val="24"/>
          <w:szCs w:val="24"/>
          <w:rtl/>
        </w:rPr>
        <w:t xml:space="preserve"> איסורים הקשורים לפעולות מסוימות שלא נוגעות ליבול מצד עצמו. דוגמא בולטת לכך היא כלאיים. איסור כלאיים קיים אפילו אם אין לו שום תוצאה, ואז האדם עובר על לאו זה למרות שלא התרחש שום דבר לאחר עבירת הכלאיים.</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 xml:space="preserve">השני, כולל איסורים הקשורים ליבול עצמו. בתרומות ומעשרות אין איסורים מצד המעשה, אלא איסורים הקשורים בעיקר לעולם של אכילה - מה מותר ומה אסור לעשות עם היבול. </w:t>
      </w:r>
    </w:p>
    <w:p w:rsidR="00331AB7" w:rsidRPr="00F657E9" w:rsidRDefault="00331AB7" w:rsidP="00F657E9">
      <w:pPr>
        <w:pStyle w:val="2"/>
        <w:rPr>
          <w:rtl/>
        </w:rPr>
      </w:pPr>
      <w:r w:rsidRPr="00F657E9">
        <w:rPr>
          <w:rtl/>
        </w:rPr>
        <w:t>ב. הקשר בין חובת ההפרשה לבין איסור האכילה</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 xml:space="preserve">אם נתבונן ברמב"ם, ענייני זרעים מופיעים, כמובן, בספר זרעים, אך יש הלכות נוספות המופיעות בהלכות מאכלות אסורות שבספר קדושה. הלכות אלו מתייחסות לאיסורי האכילה הקשורים לזרעים: טבל, חדש, כלאיים מסוג מסוים וערלה. </w:t>
      </w:r>
      <w:r w:rsidR="00F657E9">
        <w:rPr>
          <w:rFonts w:ascii="Narkisim" w:eastAsia="Calibri" w:hAnsi="Narkisim" w:hint="cs"/>
          <w:sz w:val="24"/>
          <w:szCs w:val="24"/>
          <w:rtl/>
        </w:rPr>
        <w:t>על אף</w:t>
      </w:r>
      <w:r w:rsidRPr="00331AB7">
        <w:rPr>
          <w:rFonts w:ascii="Narkisim" w:eastAsia="Calibri" w:hAnsi="Narkisim"/>
          <w:sz w:val="24"/>
          <w:szCs w:val="24"/>
          <w:rtl/>
        </w:rPr>
        <w:t xml:space="preserve"> שהרמב"ם כולל את כל התחומים האלו באותו פרק, חשוב לשים לב שישנם הבדלים בין האיסורים </w:t>
      </w:r>
      <w:r w:rsidR="00F657E9">
        <w:rPr>
          <w:rFonts w:ascii="Narkisim" w:eastAsia="Calibri" w:hAnsi="Narkisim"/>
          <w:sz w:val="24"/>
          <w:szCs w:val="24"/>
          <w:rtl/>
        </w:rPr>
        <w:t>השונים: הן מצד חומרתו של האיסור</w:t>
      </w:r>
      <w:r w:rsidRPr="00331AB7">
        <w:rPr>
          <w:rFonts w:ascii="Narkisim" w:eastAsia="Calibri" w:hAnsi="Narkisim"/>
          <w:sz w:val="24"/>
          <w:szCs w:val="24"/>
          <w:rtl/>
        </w:rPr>
        <w:t xml:space="preserve"> </w:t>
      </w:r>
      <w:r w:rsidR="00F657E9">
        <w:rPr>
          <w:rFonts w:ascii="Narkisim" w:eastAsia="Calibri" w:hAnsi="Narkisim" w:hint="cs"/>
          <w:sz w:val="24"/>
          <w:szCs w:val="24"/>
          <w:rtl/>
        </w:rPr>
        <w:t>והן</w:t>
      </w:r>
      <w:r w:rsidRPr="00331AB7">
        <w:rPr>
          <w:rFonts w:ascii="Narkisim" w:eastAsia="Calibri" w:hAnsi="Narkisim"/>
          <w:sz w:val="24"/>
          <w:szCs w:val="24"/>
          <w:rtl/>
        </w:rPr>
        <w:t xml:space="preserve"> בזיקה שבין האיסורים לבין חובת הבעלים. </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 xml:space="preserve">קיים הבדל ברור בין חדש, ערלה וכלאיים לבין טבל. בערלה, בפשטות, האיסור לא קשור למעמד הבעלים, שהרי האיסור הוא מצד החפץ, יש פה </w:t>
      </w:r>
      <w:proofErr w:type="spellStart"/>
      <w:r w:rsidRPr="00331AB7">
        <w:rPr>
          <w:rFonts w:ascii="Narkisim" w:eastAsia="Calibri" w:hAnsi="Narkisim"/>
          <w:sz w:val="24"/>
          <w:szCs w:val="24"/>
          <w:rtl/>
        </w:rPr>
        <w:t>חפצא</w:t>
      </w:r>
      <w:proofErr w:type="spellEnd"/>
      <w:r w:rsidRPr="00331AB7">
        <w:rPr>
          <w:rFonts w:ascii="Narkisim" w:eastAsia="Calibri" w:hAnsi="Narkisim"/>
          <w:sz w:val="24"/>
          <w:szCs w:val="24"/>
          <w:rtl/>
        </w:rPr>
        <w:t xml:space="preserve"> של איסור. ביטוי לכך נוכל למצוא בדיון הקיים בשאלה האם ערלה חלה גם בפירות של גוי. ההבנה הפש</w:t>
      </w:r>
      <w:r w:rsidR="003C6D1A">
        <w:rPr>
          <w:rFonts w:ascii="Narkisim" w:eastAsia="Calibri" w:hAnsi="Narkisim"/>
          <w:sz w:val="24"/>
          <w:szCs w:val="24"/>
          <w:rtl/>
        </w:rPr>
        <w:t>וטה היא שכשם שחזיר של גוי אסור</w:t>
      </w:r>
      <w:r w:rsidR="003C6D1A">
        <w:rPr>
          <w:rFonts w:ascii="Narkisim" w:eastAsia="Calibri" w:hAnsi="Narkisim" w:hint="cs"/>
          <w:sz w:val="24"/>
          <w:szCs w:val="24"/>
          <w:rtl/>
        </w:rPr>
        <w:t>,</w:t>
      </w:r>
      <w:r w:rsidRPr="00331AB7">
        <w:rPr>
          <w:rFonts w:ascii="Narkisim" w:eastAsia="Calibri" w:hAnsi="Narkisim"/>
          <w:sz w:val="24"/>
          <w:szCs w:val="24"/>
          <w:rtl/>
        </w:rPr>
        <w:t xml:space="preserve"> כך אסורה ערלה של גוי, אך בכל אופן, בשאלה זו ישנו דיון נרחב בראשונים. שאלה זו מתעוררת גם לגבי חדש, שגם הוא נאסר ברמה של מאכלות אסורות. ההלכה הרווחת היא שחדש אסור אף בתבואת גויים, אך שיטה אחת המופיעה ב"בית חדש" סוברת שלא כך. </w:t>
      </w:r>
      <w:r w:rsidRPr="00331AB7">
        <w:rPr>
          <w:rFonts w:ascii="Narkisim" w:eastAsia="Calibri" w:hAnsi="Narkisim"/>
          <w:sz w:val="24"/>
          <w:szCs w:val="24"/>
          <w:rtl/>
        </w:rPr>
        <w:lastRenderedPageBreak/>
        <w:t>בתוספות ישנה התייחסות לכלאיים ביחס לשאלו</w:t>
      </w:r>
      <w:r w:rsidR="003C6D1A">
        <w:rPr>
          <w:rFonts w:ascii="Narkisim" w:eastAsia="Calibri" w:hAnsi="Narkisim"/>
          <w:sz w:val="24"/>
          <w:szCs w:val="24"/>
          <w:rtl/>
        </w:rPr>
        <w:t xml:space="preserve"> זו, אבל בפשטות</w:t>
      </w:r>
      <w:r w:rsidR="003C6D1A">
        <w:rPr>
          <w:rFonts w:ascii="Narkisim" w:eastAsia="Calibri" w:hAnsi="Narkisim" w:hint="cs"/>
          <w:sz w:val="24"/>
          <w:szCs w:val="24"/>
          <w:rtl/>
        </w:rPr>
        <w:t>,</w:t>
      </w:r>
      <w:r w:rsidRPr="00331AB7">
        <w:rPr>
          <w:rFonts w:ascii="Narkisim" w:eastAsia="Calibri" w:hAnsi="Narkisim"/>
          <w:sz w:val="24"/>
          <w:szCs w:val="24"/>
          <w:rtl/>
        </w:rPr>
        <w:t xml:space="preserve"> איסור כלאיים נוהג אף בפירות של גויים. אמנם, חשוב לציין שגם אם בתבוא</w:t>
      </w:r>
      <w:r w:rsidR="003C6D1A">
        <w:rPr>
          <w:rFonts w:ascii="Narkisim" w:eastAsia="Calibri" w:hAnsi="Narkisim"/>
          <w:sz w:val="24"/>
          <w:szCs w:val="24"/>
          <w:rtl/>
        </w:rPr>
        <w:t>ה של גוי לא חלים האיסורים הללו</w:t>
      </w:r>
      <w:r w:rsidR="003C6D1A">
        <w:rPr>
          <w:rFonts w:ascii="Narkisim" w:eastAsia="Calibri" w:hAnsi="Narkisim" w:hint="cs"/>
          <w:sz w:val="24"/>
          <w:szCs w:val="24"/>
          <w:rtl/>
        </w:rPr>
        <w:t>,</w:t>
      </w:r>
      <w:r w:rsidRPr="00331AB7">
        <w:rPr>
          <w:rFonts w:ascii="Narkisim" w:eastAsia="Calibri" w:hAnsi="Narkisim"/>
          <w:sz w:val="24"/>
          <w:szCs w:val="24"/>
          <w:rtl/>
        </w:rPr>
        <w:t xml:space="preserve"> אין זה מהווה הוכחה לכך שהבעיה נעוצה רק במעשה הבעלים. בהחלט אפשר לטעון שאין בפירות גויים איסור משום שהדרישה של בעלות יהודית היא חלק מהתנאים לאסור את הפירות, אך דרישה זו אינה מהותית, והאיסורים עדיין נובעים במהותם מחובת העשייה של הבעלים.</w:t>
      </w:r>
    </w:p>
    <w:p w:rsidR="00331AB7" w:rsidRPr="00331AB7" w:rsidRDefault="00331AB7" w:rsidP="003C6D1A">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כל מה שאמרנו הוא בניג</w:t>
      </w:r>
      <w:r w:rsidR="003C6D1A">
        <w:rPr>
          <w:rFonts w:ascii="Narkisim" w:eastAsia="Calibri" w:hAnsi="Narkisim"/>
          <w:sz w:val="24"/>
          <w:szCs w:val="24"/>
          <w:rtl/>
        </w:rPr>
        <w:t xml:space="preserve">וד למצב הקיים באיסור הטבל. </w:t>
      </w:r>
      <w:proofErr w:type="spellStart"/>
      <w:r w:rsidR="003C6D1A">
        <w:rPr>
          <w:rFonts w:ascii="Narkisim" w:eastAsia="Calibri" w:hAnsi="Narkisim"/>
          <w:sz w:val="24"/>
          <w:szCs w:val="24"/>
          <w:rtl/>
        </w:rPr>
        <w:t>בטבל</w:t>
      </w:r>
      <w:proofErr w:type="spellEnd"/>
      <w:r w:rsidRPr="00331AB7">
        <w:rPr>
          <w:rFonts w:ascii="Narkisim" w:eastAsia="Calibri" w:hAnsi="Narkisim"/>
          <w:sz w:val="24"/>
          <w:szCs w:val="24"/>
          <w:rtl/>
        </w:rPr>
        <w:t xml:space="preserve"> </w:t>
      </w:r>
      <w:r w:rsidR="003C6D1A" w:rsidRPr="00331AB7">
        <w:rPr>
          <w:rFonts w:ascii="Narkisim" w:eastAsia="Calibri" w:hAnsi="Narkisim"/>
          <w:sz w:val="24"/>
          <w:szCs w:val="24"/>
          <w:rtl/>
        </w:rPr>
        <w:t xml:space="preserve">עוברים </w:t>
      </w:r>
      <w:r w:rsidRPr="00331AB7">
        <w:rPr>
          <w:rFonts w:ascii="Narkisim" w:eastAsia="Calibri" w:hAnsi="Narkisim"/>
          <w:sz w:val="24"/>
          <w:szCs w:val="24"/>
          <w:rtl/>
        </w:rPr>
        <w:t xml:space="preserve">האיסור והחיוב </w:t>
      </w:r>
      <w:r w:rsidR="003C6D1A">
        <w:rPr>
          <w:rFonts w:ascii="Narkisim" w:eastAsia="Calibri" w:hAnsi="Narkisim"/>
          <w:sz w:val="24"/>
          <w:szCs w:val="24"/>
          <w:rtl/>
        </w:rPr>
        <w:t>דרך הבעלים, ומתוך כך</w:t>
      </w:r>
      <w:r w:rsidRPr="00331AB7">
        <w:rPr>
          <w:rFonts w:ascii="Narkisim" w:eastAsia="Calibri" w:hAnsi="Narkisim"/>
          <w:sz w:val="24"/>
          <w:szCs w:val="24"/>
          <w:rtl/>
        </w:rPr>
        <w:t xml:space="preserve"> </w:t>
      </w:r>
      <w:r w:rsidR="003C6D1A">
        <w:rPr>
          <w:rFonts w:ascii="Narkisim" w:eastAsia="Calibri" w:hAnsi="Narkisim" w:hint="cs"/>
          <w:sz w:val="24"/>
          <w:szCs w:val="24"/>
          <w:rtl/>
        </w:rPr>
        <w:t>ל</w:t>
      </w:r>
      <w:r w:rsidRPr="00331AB7">
        <w:rPr>
          <w:rFonts w:ascii="Narkisim" w:eastAsia="Calibri" w:hAnsi="Narkisim"/>
          <w:sz w:val="24"/>
          <w:szCs w:val="24"/>
          <w:rtl/>
        </w:rPr>
        <w:t>כל העולם. האיסור נובע מהחובה המוטלת על הבעלים, ולכן כאשר אין בעלים</w:t>
      </w:r>
      <w:r w:rsidR="003C6D1A">
        <w:rPr>
          <w:rFonts w:ascii="Narkisim" w:eastAsia="Calibri" w:hAnsi="Narkisim" w:hint="cs"/>
          <w:sz w:val="24"/>
          <w:szCs w:val="24"/>
          <w:rtl/>
        </w:rPr>
        <w:t>,</w:t>
      </w:r>
      <w:r w:rsidRPr="00331AB7">
        <w:rPr>
          <w:rFonts w:ascii="Narkisim" w:eastAsia="Calibri" w:hAnsi="Narkisim"/>
          <w:sz w:val="24"/>
          <w:szCs w:val="24"/>
          <w:rtl/>
        </w:rPr>
        <w:t xml:space="preserve"> א</w:t>
      </w:r>
      <w:r w:rsidR="003C6D1A">
        <w:rPr>
          <w:rFonts w:ascii="Narkisim" w:eastAsia="Calibri" w:hAnsi="Narkisim"/>
          <w:sz w:val="24"/>
          <w:szCs w:val="24"/>
          <w:rtl/>
        </w:rPr>
        <w:t>ין חובת הפרשה</w:t>
      </w:r>
      <w:r w:rsidRPr="00331AB7">
        <w:rPr>
          <w:rFonts w:ascii="Narkisim" w:eastAsia="Calibri" w:hAnsi="Narkisim"/>
          <w:sz w:val="24"/>
          <w:szCs w:val="24"/>
          <w:rtl/>
        </w:rPr>
        <w:t xml:space="preserve"> ואין כלל מציאות של טבל.</w:t>
      </w:r>
    </w:p>
    <w:p w:rsidR="00331AB7" w:rsidRPr="00331AB7" w:rsidRDefault="00331AB7" w:rsidP="003C6D1A">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במקומות מסוימים הקשר שהצגנו, בין חובת הבעלים לבין האיסור, נמצא בסימן שאלה. הבולט שבהם הוא בשאלה האם קדושת שביעית נוהגת בפירות של עכו"ם. אם נאמר שהתור</w:t>
      </w:r>
      <w:r w:rsidR="003C6D1A">
        <w:rPr>
          <w:rFonts w:ascii="Narkisim" w:eastAsia="Calibri" w:hAnsi="Narkisim"/>
          <w:sz w:val="24"/>
          <w:szCs w:val="24"/>
          <w:rtl/>
        </w:rPr>
        <w:t>ה ציוותה על קדושה פיזית בפירות</w:t>
      </w:r>
      <w:r w:rsidR="003C6D1A">
        <w:rPr>
          <w:rFonts w:ascii="Narkisim" w:eastAsia="Calibri" w:hAnsi="Narkisim" w:hint="cs"/>
          <w:sz w:val="24"/>
          <w:szCs w:val="24"/>
          <w:rtl/>
        </w:rPr>
        <w:t>,</w:t>
      </w:r>
      <w:r w:rsidRPr="00331AB7">
        <w:rPr>
          <w:rFonts w:ascii="Narkisim" w:eastAsia="Calibri" w:hAnsi="Narkisim"/>
          <w:sz w:val="24"/>
          <w:szCs w:val="24"/>
          <w:rtl/>
        </w:rPr>
        <w:t xml:space="preserve"> ישנה קדושה בפי</w:t>
      </w:r>
      <w:r w:rsidR="003C6D1A">
        <w:rPr>
          <w:rFonts w:ascii="Narkisim" w:eastAsia="Calibri" w:hAnsi="Narkisim"/>
          <w:sz w:val="24"/>
          <w:szCs w:val="24"/>
          <w:rtl/>
        </w:rPr>
        <w:t>רות של עכו"ם</w:t>
      </w:r>
      <w:r w:rsidR="003C6D1A">
        <w:rPr>
          <w:rFonts w:ascii="Narkisim" w:eastAsia="Calibri" w:hAnsi="Narkisim" w:hint="cs"/>
          <w:sz w:val="24"/>
          <w:szCs w:val="24"/>
          <w:rtl/>
        </w:rPr>
        <w:t>;</w:t>
      </w:r>
      <w:r w:rsidRPr="00331AB7">
        <w:rPr>
          <w:rFonts w:ascii="Narkisim" w:eastAsia="Calibri" w:hAnsi="Narkisim"/>
          <w:sz w:val="24"/>
          <w:szCs w:val="24"/>
          <w:rtl/>
        </w:rPr>
        <w:t xml:space="preserve"> אך אם נאמר שהקדושה היא פונקציה של בעלות ישראל על פירות אלו ו</w:t>
      </w:r>
      <w:r w:rsidR="003C6D1A">
        <w:rPr>
          <w:rFonts w:ascii="Narkisim" w:eastAsia="Calibri" w:hAnsi="Narkisim" w:hint="cs"/>
          <w:sz w:val="24"/>
          <w:szCs w:val="24"/>
          <w:rtl/>
        </w:rPr>
        <w:t xml:space="preserve">של </w:t>
      </w:r>
      <w:r w:rsidRPr="00331AB7">
        <w:rPr>
          <w:rFonts w:ascii="Narkisim" w:eastAsia="Calibri" w:hAnsi="Narkisim"/>
          <w:sz w:val="24"/>
          <w:szCs w:val="24"/>
          <w:rtl/>
        </w:rPr>
        <w:t xml:space="preserve">הדרישה מהבעלים </w:t>
      </w:r>
      <w:r w:rsidR="003C6D1A">
        <w:rPr>
          <w:rFonts w:ascii="Narkisim" w:eastAsia="Calibri" w:hAnsi="Narkisim"/>
          <w:sz w:val="24"/>
          <w:szCs w:val="24"/>
          <w:rtl/>
        </w:rPr>
        <w:t>להפקיר את הפירות</w:t>
      </w:r>
      <w:r w:rsidR="003C6D1A">
        <w:rPr>
          <w:rFonts w:ascii="Narkisim" w:eastAsia="Calibri" w:hAnsi="Narkisim" w:hint="cs"/>
          <w:sz w:val="24"/>
          <w:szCs w:val="24"/>
          <w:rtl/>
        </w:rPr>
        <w:t>,</w:t>
      </w:r>
      <w:r w:rsidRPr="00331AB7">
        <w:rPr>
          <w:rFonts w:ascii="Narkisim" w:eastAsia="Calibri" w:hAnsi="Narkisim"/>
          <w:sz w:val="24"/>
          <w:szCs w:val="24"/>
          <w:rtl/>
        </w:rPr>
        <w:t xml:space="preserve"> אזי הקדושה הזו לא שייכת בפירות של עכו"ם.</w:t>
      </w:r>
    </w:p>
    <w:p w:rsidR="00331AB7" w:rsidRPr="003C6D1A" w:rsidRDefault="00331AB7" w:rsidP="003C6D1A">
      <w:pPr>
        <w:pStyle w:val="2"/>
        <w:rPr>
          <w:rtl/>
        </w:rPr>
      </w:pPr>
      <w:r w:rsidRPr="003C6D1A">
        <w:rPr>
          <w:rtl/>
        </w:rPr>
        <w:t>ג. ההיבט הממוני של המצוות התלויות בארץ</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לצד כל מה שהזכרנו, ק</w:t>
      </w:r>
      <w:r w:rsidR="003C6D1A">
        <w:rPr>
          <w:rFonts w:ascii="Narkisim" w:eastAsia="Calibri" w:hAnsi="Narkisim"/>
          <w:sz w:val="24"/>
          <w:szCs w:val="24"/>
          <w:rtl/>
        </w:rPr>
        <w:t>יים בסדר זרעים ההיבט הממוני, וז</w:t>
      </w:r>
      <w:r w:rsidR="003C6D1A">
        <w:rPr>
          <w:rFonts w:ascii="Narkisim" w:eastAsia="Calibri" w:hAnsi="Narkisim" w:hint="cs"/>
          <w:sz w:val="24"/>
          <w:szCs w:val="24"/>
          <w:rtl/>
        </w:rPr>
        <w:t>את</w:t>
      </w:r>
      <w:r w:rsidR="003C6D1A">
        <w:rPr>
          <w:rFonts w:ascii="Narkisim" w:eastAsia="Calibri" w:hAnsi="Narkisim"/>
          <w:sz w:val="24"/>
          <w:szCs w:val="24"/>
          <w:rtl/>
        </w:rPr>
        <w:t xml:space="preserve"> בכמה פנים</w:t>
      </w:r>
      <w:r w:rsidR="003C6D1A">
        <w:rPr>
          <w:rFonts w:ascii="Narkisim" w:eastAsia="Calibri" w:hAnsi="Narkisim" w:hint="cs"/>
          <w:sz w:val="24"/>
          <w:szCs w:val="24"/>
          <w:rtl/>
        </w:rPr>
        <w:t>.</w:t>
      </w:r>
      <w:r w:rsidRPr="00331AB7">
        <w:rPr>
          <w:rFonts w:ascii="Narkisim" w:eastAsia="Calibri" w:hAnsi="Narkisim"/>
          <w:sz w:val="24"/>
          <w:szCs w:val="24"/>
          <w:rtl/>
        </w:rPr>
        <w:t xml:space="preserve"> המצווה היא להפריש ולהקנות את הפירות למישהו אחר. יש מעשר עני שצריך לתת</w:t>
      </w:r>
      <w:r w:rsidR="003C6D1A">
        <w:rPr>
          <w:rFonts w:ascii="Narkisim" w:eastAsia="Calibri" w:hAnsi="Narkisim"/>
          <w:sz w:val="24"/>
          <w:szCs w:val="24"/>
          <w:rtl/>
        </w:rPr>
        <w:t xml:space="preserve"> אותו לעני. אמנם, אם אין הפרשה</w:t>
      </w:r>
      <w:r w:rsidR="003C6D1A">
        <w:rPr>
          <w:rFonts w:ascii="Narkisim" w:eastAsia="Calibri" w:hAnsi="Narkisim" w:hint="cs"/>
          <w:sz w:val="24"/>
          <w:szCs w:val="24"/>
          <w:rtl/>
        </w:rPr>
        <w:t>,</w:t>
      </w:r>
      <w:r w:rsidRPr="00331AB7">
        <w:rPr>
          <w:rFonts w:ascii="Narkisim" w:eastAsia="Calibri" w:hAnsi="Narkisim"/>
          <w:sz w:val="24"/>
          <w:szCs w:val="24"/>
          <w:rtl/>
        </w:rPr>
        <w:t xml:space="preserve"> אזי גם במעשר עני יש איסור טבל, כאשר יש דיון על חומרתו של איסור זה האם זה איסור לאו או חמור יותר כמו טבל רגיל.</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lastRenderedPageBreak/>
        <w:t>צריך לשים לב שאין זהו המצב בכל המצוות. לגבי פרט, עוללות וכו' אין חובה של נתינה, אלא החובה היא לאפשר לאנשים אחרים לקחת מהיבול.</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 xml:space="preserve">יש השלכות ממוניות על תרומות ומעשרות, ולא כולן מעור אחד. בכל אלו יש אמנם מצוַת נתינה, אבל ייתכן שיש הבדל. הרמב"ן בספר המצוות בשורש ב' דן כנגד הרמב"ם האם הפרשה ונתינה הן שתי מצוות או מצווה אחת. הרמב"ן מבחין בין סוגי הנתינות השונות. ייתכן לטעון שבחלה הנתינה היא המוקד וההפרשה מאפשרת את הנתינה, ואילו בשאר המצוות קימות שתי מצוות נפרדות, הפרשה ונתינה. בכל אופן, המכנה המשותף הוא שצריכה להיות פה הקנאה ממונית. </w:t>
      </w:r>
    </w:p>
    <w:p w:rsidR="00331AB7" w:rsidRPr="00331AB7" w:rsidRDefault="00331AB7" w:rsidP="003C6D1A">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היבט ממוני נוסף הוא טובת ההנאה. לגבי תרומות ומעשרות ושאר המצוות, פרט למעשר עני, יכול האדם המפריש לבחור למי הוא נותן את הפירות אותם הוא צריך לתת. בלשון חז"ל נקראת זכות זו "טובת הנאה", ובגמרא בכמה מקומות ישנו דיון האם יש בזה פן ממוני. לדוגמא, המשנה בקידושין אומרת שניתן לקדש אישה בתרומות ומעשרות. על משנה זו אומרת הגמרא:</w:t>
      </w:r>
    </w:p>
    <w:p w:rsidR="00331AB7" w:rsidRPr="003C6D1A" w:rsidRDefault="00331AB7" w:rsidP="003C6D1A">
      <w:pPr>
        <w:pStyle w:val="aa"/>
        <w:rPr>
          <w:sz w:val="22"/>
          <w:szCs w:val="24"/>
          <w:rtl/>
        </w:rPr>
      </w:pPr>
      <w:r w:rsidRPr="003C6D1A">
        <w:rPr>
          <w:sz w:val="22"/>
          <w:szCs w:val="24"/>
          <w:rtl/>
        </w:rPr>
        <w:t xml:space="preserve">אמר </w:t>
      </w:r>
      <w:proofErr w:type="spellStart"/>
      <w:r w:rsidRPr="003C6D1A">
        <w:rPr>
          <w:sz w:val="22"/>
          <w:szCs w:val="24"/>
          <w:rtl/>
        </w:rPr>
        <w:t>עולא</w:t>
      </w:r>
      <w:proofErr w:type="spellEnd"/>
      <w:r w:rsidRPr="003C6D1A">
        <w:rPr>
          <w:sz w:val="22"/>
          <w:szCs w:val="24"/>
          <w:rtl/>
        </w:rPr>
        <w:t>: טובת הנאה אי</w:t>
      </w:r>
      <w:r w:rsidR="003C6D1A">
        <w:rPr>
          <w:sz w:val="22"/>
          <w:szCs w:val="24"/>
          <w:rtl/>
        </w:rPr>
        <w:t>נה ממון.</w:t>
      </w:r>
      <w:r w:rsidR="003C6D1A">
        <w:rPr>
          <w:rFonts w:hint="cs"/>
          <w:sz w:val="22"/>
          <w:szCs w:val="24"/>
          <w:rtl/>
        </w:rPr>
        <w:tab/>
      </w:r>
      <w:r w:rsidR="003C6D1A">
        <w:rPr>
          <w:rFonts w:hint="cs"/>
          <w:sz w:val="22"/>
          <w:szCs w:val="24"/>
          <w:rtl/>
        </w:rPr>
        <w:tab/>
      </w:r>
      <w:r w:rsidR="003C6D1A">
        <w:rPr>
          <w:rFonts w:hint="cs"/>
          <w:sz w:val="18"/>
          <w:szCs w:val="20"/>
          <w:rtl/>
        </w:rPr>
        <w:t>(קידושין נח ע"א)</w:t>
      </w:r>
      <w:r w:rsidR="003C6D1A">
        <w:rPr>
          <w:rFonts w:hint="cs"/>
          <w:sz w:val="22"/>
          <w:szCs w:val="24"/>
          <w:rtl/>
        </w:rPr>
        <w:t>.</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 xml:space="preserve">לגמרא ברור שקידושין אלו יכולים להיעשות רק על ידי טובת ההנאה, ומתוך כך מגיעה הגמרא שם לדיון האם טובת הנאה היא ממון או לא. אף אם נאמר שטובת ההנאה נחשבת ממון, ניתן להבין את הזכות הממונית הזו בשתי צורות: או שנאמר שהאדם הוא הבעלים רק על טובת ההנאה הזו, או שהוא בעצם בעלים על כל התרומה, אלא שהוא צריך לתת את התרומה, ומה שנשאר לו זה רק טובת ההנאה. נפקא מינה לחקירה זו היא השאלה שעולה </w:t>
      </w:r>
      <w:proofErr w:type="spellStart"/>
      <w:r w:rsidRPr="00331AB7">
        <w:rPr>
          <w:rFonts w:ascii="Narkisim" w:eastAsia="Calibri" w:hAnsi="Narkisim"/>
          <w:sz w:val="24"/>
          <w:szCs w:val="24"/>
          <w:rtl/>
        </w:rPr>
        <w:t>בריטב"א</w:t>
      </w:r>
      <w:proofErr w:type="spellEnd"/>
      <w:r w:rsidRPr="00331AB7">
        <w:rPr>
          <w:rFonts w:ascii="Narkisim" w:eastAsia="Calibri" w:hAnsi="Narkisim"/>
          <w:sz w:val="24"/>
          <w:szCs w:val="24"/>
          <w:rtl/>
        </w:rPr>
        <w:t xml:space="preserve"> לגבי אדם שגנב תרומה, על מה הוא צריך לשלם כפל.</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lastRenderedPageBreak/>
        <w:t>כל מה שדיברנו נוגע למעשר ראשון, מעשר עני ותרומה. מה המעמד הממוני של מעשר שני? נחלקו בדבר במסכת קידושין האם מעשר שני הוא ממון גבוה או ממונו של האדם.</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 xml:space="preserve">לגבי מעשר ראשון, ישנה מחלוקת בגמרא האם יש בו קדושה או לא. רבי מאיר אומר שיש בו קדושה, אך להלכה נפסק כחכמים שמעשר ראשון הוא חולין גמור. </w:t>
      </w:r>
    </w:p>
    <w:p w:rsidR="00331AB7" w:rsidRPr="003C6D1A" w:rsidRDefault="00331AB7" w:rsidP="003C6D1A">
      <w:pPr>
        <w:pStyle w:val="2"/>
        <w:rPr>
          <w:rtl/>
        </w:rPr>
      </w:pPr>
      <w:r w:rsidRPr="003C6D1A">
        <w:rPr>
          <w:rtl/>
        </w:rPr>
        <w:t>ד. קדושת הפירות</w:t>
      </w:r>
    </w:p>
    <w:p w:rsidR="00331AB7" w:rsidRPr="00331AB7" w:rsidRDefault="00331AB7" w:rsidP="003C6D1A">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 xml:space="preserve">לצד כל זה קיימת התייחסות למעמד </w:t>
      </w:r>
      <w:proofErr w:type="spellStart"/>
      <w:r w:rsidRPr="00331AB7">
        <w:rPr>
          <w:rFonts w:ascii="Narkisim" w:eastAsia="Calibri" w:hAnsi="Narkisim"/>
          <w:sz w:val="24"/>
          <w:szCs w:val="24"/>
          <w:rtl/>
        </w:rPr>
        <w:t>החפצא</w:t>
      </w:r>
      <w:proofErr w:type="spellEnd"/>
      <w:r w:rsidRPr="00331AB7">
        <w:rPr>
          <w:rFonts w:ascii="Narkisim" w:eastAsia="Calibri" w:hAnsi="Narkisim"/>
          <w:sz w:val="24"/>
          <w:szCs w:val="24"/>
          <w:rtl/>
        </w:rPr>
        <w:t xml:space="preserve"> לא מצד האיסור, אלא מצד הקדושה. מעשר ראשון, מעשר עני ושאר כל מתנות העניים הם חולין גמורים. יש משפחה שלמה של מצוות שלגביהן ישנם דינים של קדושה, המתייחס</w:t>
      </w:r>
      <w:r w:rsidR="003C6D1A">
        <w:rPr>
          <w:rFonts w:ascii="Narkisim" w:eastAsia="Calibri" w:hAnsi="Narkisim" w:hint="cs"/>
          <w:sz w:val="24"/>
          <w:szCs w:val="24"/>
          <w:rtl/>
        </w:rPr>
        <w:t>ים</w:t>
      </w:r>
      <w:r w:rsidRPr="00331AB7">
        <w:rPr>
          <w:rFonts w:ascii="Narkisim" w:eastAsia="Calibri" w:hAnsi="Narkisim"/>
          <w:sz w:val="24"/>
          <w:szCs w:val="24"/>
          <w:rtl/>
        </w:rPr>
        <w:t xml:space="preserve"> לשני רבדים: מה ניתן לעשות, ומה מחויבים לעשות. קבוצה ראשונה היא קבוצת התרומות למיניהן: תרומה גדולה, תרומת מעשר, חלה וביכורים, כדברי הרמב"ם בסוף הלכות תרומות:</w:t>
      </w:r>
    </w:p>
    <w:p w:rsidR="00331AB7" w:rsidRPr="003C6D1A" w:rsidRDefault="00331AB7" w:rsidP="003C6D1A">
      <w:pPr>
        <w:pStyle w:val="aa"/>
        <w:rPr>
          <w:sz w:val="22"/>
          <w:szCs w:val="24"/>
          <w:rtl/>
        </w:rPr>
      </w:pPr>
      <w:r w:rsidRPr="003C6D1A">
        <w:rPr>
          <w:sz w:val="22"/>
          <w:szCs w:val="24"/>
          <w:rtl/>
        </w:rPr>
        <w:t xml:space="preserve">תרומה גדולה ותרומת מעשר והחלה ובכורים </w:t>
      </w:r>
      <w:r w:rsidR="003C6D1A">
        <w:rPr>
          <w:sz w:val="22"/>
          <w:szCs w:val="24"/>
          <w:rtl/>
        </w:rPr>
        <w:t>–</w:t>
      </w:r>
      <w:r w:rsidRPr="003C6D1A">
        <w:rPr>
          <w:sz w:val="22"/>
          <w:szCs w:val="24"/>
          <w:rtl/>
        </w:rPr>
        <w:t xml:space="preserve"> כולן נקראו תרומה. בתרומת מעשר הוא אומר </w:t>
      </w:r>
      <w:proofErr w:type="spellStart"/>
      <w:r w:rsidRPr="003C6D1A">
        <w:rPr>
          <w:sz w:val="22"/>
          <w:szCs w:val="24"/>
          <w:rtl/>
        </w:rPr>
        <w:t>והרמותם</w:t>
      </w:r>
      <w:proofErr w:type="spellEnd"/>
      <w:r w:rsidRPr="003C6D1A">
        <w:rPr>
          <w:sz w:val="22"/>
          <w:szCs w:val="24"/>
          <w:rtl/>
        </w:rPr>
        <w:t xml:space="preserve"> ממנו תרומת ה' ... ובחלה נאמר חלה תרימו תרומה, ונאמר לא תוכל לאכול בשערך מעשר דגנך וגו' ותרומת ידיך, ואין לך דבר שטעון הבאת מקום שלא פרטו בפסוק זה, חוץ מן הבכורים, ובהן נאמר ותרומת </w:t>
      </w:r>
      <w:r w:rsidR="003C6D1A">
        <w:rPr>
          <w:sz w:val="22"/>
          <w:szCs w:val="24"/>
          <w:rtl/>
        </w:rPr>
        <w:t xml:space="preserve">ידיך, הא למדת שהן </w:t>
      </w:r>
      <w:proofErr w:type="spellStart"/>
      <w:r w:rsidR="003C6D1A">
        <w:rPr>
          <w:sz w:val="22"/>
          <w:szCs w:val="24"/>
          <w:rtl/>
        </w:rPr>
        <w:t>קרואין</w:t>
      </w:r>
      <w:proofErr w:type="spellEnd"/>
      <w:r w:rsidR="003C6D1A">
        <w:rPr>
          <w:sz w:val="22"/>
          <w:szCs w:val="24"/>
          <w:rtl/>
        </w:rPr>
        <w:t xml:space="preserve"> תרומה.</w:t>
      </w:r>
      <w:r w:rsidR="003C6D1A">
        <w:rPr>
          <w:rFonts w:hint="cs"/>
          <w:sz w:val="22"/>
          <w:szCs w:val="24"/>
          <w:rtl/>
        </w:rPr>
        <w:tab/>
      </w:r>
      <w:r w:rsidR="003C6D1A">
        <w:rPr>
          <w:rFonts w:hint="cs"/>
          <w:sz w:val="18"/>
          <w:szCs w:val="20"/>
          <w:rtl/>
        </w:rPr>
        <w:t>(הלכות תרומות ו, כ)</w:t>
      </w:r>
      <w:r w:rsidR="003C6D1A">
        <w:rPr>
          <w:rFonts w:hint="cs"/>
          <w:sz w:val="22"/>
          <w:szCs w:val="24"/>
          <w:rtl/>
        </w:rPr>
        <w:t>.</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בכל אלו ישנן קדושה ומצווה באכילתן, אך ברור שלא מדובר באותה המצווה שהרי קיימים הבדלים ביניהן. קבוצה נוספת היא פירות השביעית, שמעבר למצווה באכילתן, אסור לסחור בהם.</w:t>
      </w:r>
    </w:p>
    <w:p w:rsidR="00331AB7" w:rsidRPr="00331AB7" w:rsidRDefault="00800A35" w:rsidP="00F657E9">
      <w:pPr>
        <w:autoSpaceDE/>
        <w:autoSpaceDN/>
        <w:spacing w:after="160" w:line="360" w:lineRule="auto"/>
        <w:rPr>
          <w:rFonts w:ascii="Narkisim" w:eastAsia="Calibri" w:hAnsi="Narkisim"/>
          <w:sz w:val="24"/>
          <w:szCs w:val="24"/>
          <w:rtl/>
        </w:rPr>
      </w:pPr>
      <w:proofErr w:type="spellStart"/>
      <w:r>
        <w:rPr>
          <w:rFonts w:ascii="Narkisim" w:eastAsia="Calibri" w:hAnsi="Narkisim" w:hint="cs"/>
          <w:sz w:val="24"/>
          <w:szCs w:val="24"/>
          <w:rtl/>
        </w:rPr>
        <w:t>ל</w:t>
      </w:r>
      <w:r w:rsidR="00331AB7" w:rsidRPr="00331AB7">
        <w:rPr>
          <w:rFonts w:ascii="Narkisim" w:eastAsia="Calibri" w:hAnsi="Narkisim"/>
          <w:sz w:val="24"/>
          <w:szCs w:val="24"/>
          <w:rtl/>
        </w:rPr>
        <w:t>טבל</w:t>
      </w:r>
      <w:proofErr w:type="spellEnd"/>
      <w:r w:rsidR="00331AB7" w:rsidRPr="00331AB7">
        <w:rPr>
          <w:rFonts w:ascii="Narkisim" w:eastAsia="Calibri" w:hAnsi="Narkisim"/>
          <w:sz w:val="24"/>
          <w:szCs w:val="24"/>
          <w:rtl/>
        </w:rPr>
        <w:t xml:space="preserve"> ישנם 'חיים כפולים'. מצד אחד, איסור טבל כלול במאכלות אסורות, אך מצד שני, חלק מהבעיה היא שהוא מיועד להפרשה, ולכן יש בו איסורים נוספים כגון ההלכה האומרת שאסור לזרוק טבל לפח, אסור לטמאו </w:t>
      </w:r>
      <w:proofErr w:type="spellStart"/>
      <w:r w:rsidR="00331AB7" w:rsidRPr="00331AB7">
        <w:rPr>
          <w:rFonts w:ascii="Narkisim" w:eastAsia="Calibri" w:hAnsi="Narkisim"/>
          <w:sz w:val="24"/>
          <w:szCs w:val="24"/>
          <w:rtl/>
        </w:rPr>
        <w:t>וכו</w:t>
      </w:r>
      <w:proofErr w:type="spellEnd"/>
      <w:r w:rsidR="00331AB7" w:rsidRPr="00331AB7">
        <w:rPr>
          <w:rFonts w:ascii="Narkisim" w:eastAsia="Calibri" w:hAnsi="Narkisim"/>
          <w:sz w:val="24"/>
          <w:szCs w:val="24"/>
          <w:rtl/>
        </w:rPr>
        <w:t xml:space="preserve">'. הלכות אלו כבר לא שייכות לדיני מאכלות אסורים, אלא להלכות זרעים. </w:t>
      </w:r>
    </w:p>
    <w:p w:rsidR="00331AB7" w:rsidRPr="00331AB7" w:rsidRDefault="00331AB7" w:rsidP="00800A35">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lastRenderedPageBreak/>
        <w:t>בביכורים המצב קצת שונה. אמנם, בתורה נקראו הביכורים תרומה, אך לצד זה, בביכורים ישנו משהו שאין בדברים אחרים כולל מעשר עני. הרמב"ם מזכיר בשני הקשרים שלביכורים מעמד של קדשי מקדש. בהלכות ביכורים כותב הרמב"ם:</w:t>
      </w:r>
    </w:p>
    <w:p w:rsidR="00331AB7" w:rsidRPr="00800A35" w:rsidRDefault="00331AB7" w:rsidP="00800A35">
      <w:pPr>
        <w:pStyle w:val="aa"/>
        <w:rPr>
          <w:sz w:val="22"/>
          <w:szCs w:val="24"/>
          <w:rtl/>
        </w:rPr>
      </w:pPr>
      <w:r w:rsidRPr="00800A35">
        <w:rPr>
          <w:sz w:val="22"/>
          <w:szCs w:val="24"/>
          <w:rtl/>
        </w:rPr>
        <w:t xml:space="preserve">אשרה שבטלה - אין </w:t>
      </w:r>
      <w:proofErr w:type="spellStart"/>
      <w:r w:rsidRPr="00800A35">
        <w:rPr>
          <w:sz w:val="22"/>
          <w:szCs w:val="24"/>
          <w:rtl/>
        </w:rPr>
        <w:t>מביאין</w:t>
      </w:r>
      <w:proofErr w:type="spellEnd"/>
      <w:r w:rsidRPr="00800A35">
        <w:rPr>
          <w:sz w:val="22"/>
          <w:szCs w:val="24"/>
          <w:rtl/>
        </w:rPr>
        <w:t xml:space="preserve"> ממנה </w:t>
      </w:r>
      <w:r w:rsidR="00800A35">
        <w:rPr>
          <w:sz w:val="22"/>
          <w:szCs w:val="24"/>
          <w:rtl/>
        </w:rPr>
        <w:t>בכורים, שהבכורים כקדשי מקדש הן.</w:t>
      </w:r>
      <w:r w:rsidR="00800A35">
        <w:rPr>
          <w:rFonts w:hint="cs"/>
          <w:sz w:val="22"/>
          <w:szCs w:val="24"/>
          <w:rtl/>
        </w:rPr>
        <w:tab/>
      </w:r>
      <w:r w:rsidR="00800A35">
        <w:rPr>
          <w:rFonts w:hint="cs"/>
          <w:sz w:val="18"/>
          <w:szCs w:val="20"/>
          <w:rtl/>
        </w:rPr>
        <w:tab/>
        <w:t xml:space="preserve">(הלכות ביכורים ב, </w:t>
      </w:r>
      <w:proofErr w:type="spellStart"/>
      <w:r w:rsidR="00800A35">
        <w:rPr>
          <w:rFonts w:hint="cs"/>
          <w:sz w:val="18"/>
          <w:szCs w:val="20"/>
          <w:rtl/>
        </w:rPr>
        <w:t>טז</w:t>
      </w:r>
      <w:proofErr w:type="spellEnd"/>
      <w:r w:rsidR="00800A35">
        <w:rPr>
          <w:rFonts w:hint="cs"/>
          <w:sz w:val="18"/>
          <w:szCs w:val="20"/>
          <w:rtl/>
        </w:rPr>
        <w:t>)</w:t>
      </w:r>
      <w:r w:rsidR="00800A35">
        <w:rPr>
          <w:rFonts w:hint="cs"/>
          <w:sz w:val="22"/>
          <w:szCs w:val="24"/>
          <w:rtl/>
        </w:rPr>
        <w:t>.</w:t>
      </w:r>
    </w:p>
    <w:p w:rsidR="00331AB7" w:rsidRPr="00331AB7" w:rsidRDefault="00331AB7" w:rsidP="00800A35">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וב</w:t>
      </w:r>
      <w:r w:rsidR="00800A35">
        <w:rPr>
          <w:rFonts w:ascii="Narkisim" w:eastAsia="Calibri" w:hAnsi="Narkisim" w:hint="cs"/>
          <w:sz w:val="24"/>
          <w:szCs w:val="24"/>
          <w:rtl/>
        </w:rPr>
        <w:t>המשך</w:t>
      </w:r>
      <w:r w:rsidRPr="00331AB7">
        <w:rPr>
          <w:rFonts w:ascii="Narkisim" w:eastAsia="Calibri" w:hAnsi="Narkisim"/>
          <w:sz w:val="24"/>
          <w:szCs w:val="24"/>
          <w:rtl/>
        </w:rPr>
        <w:t xml:space="preserve"> פוסק הרמב"ם:</w:t>
      </w:r>
    </w:p>
    <w:p w:rsidR="00331AB7" w:rsidRPr="00800A35" w:rsidRDefault="00331AB7" w:rsidP="00800A35">
      <w:pPr>
        <w:pStyle w:val="aa"/>
        <w:rPr>
          <w:sz w:val="22"/>
          <w:szCs w:val="24"/>
          <w:rtl/>
        </w:rPr>
      </w:pPr>
      <w:r w:rsidRPr="00800A35">
        <w:rPr>
          <w:sz w:val="22"/>
          <w:szCs w:val="24"/>
          <w:rtl/>
        </w:rPr>
        <w:t>וכן יראה לי, שהבכורים שנטמאו - אינו מסיק בהן התנור כת</w:t>
      </w:r>
      <w:r w:rsidR="00800A35">
        <w:rPr>
          <w:sz w:val="22"/>
          <w:szCs w:val="24"/>
          <w:rtl/>
        </w:rPr>
        <w:t>רומה טמאה, מפני שהן כקדשי מקדש.</w:t>
      </w:r>
      <w:r w:rsidR="00800A35">
        <w:rPr>
          <w:rFonts w:hint="cs"/>
          <w:sz w:val="22"/>
          <w:szCs w:val="24"/>
          <w:rtl/>
        </w:rPr>
        <w:tab/>
      </w:r>
      <w:r w:rsidR="00800A35">
        <w:rPr>
          <w:rFonts w:hint="cs"/>
          <w:sz w:val="18"/>
          <w:szCs w:val="20"/>
          <w:rtl/>
        </w:rPr>
        <w:t xml:space="preserve">(שם, </w:t>
      </w:r>
      <w:proofErr w:type="spellStart"/>
      <w:r w:rsidR="00800A35">
        <w:rPr>
          <w:rFonts w:hint="cs"/>
          <w:sz w:val="18"/>
          <w:szCs w:val="20"/>
          <w:rtl/>
        </w:rPr>
        <w:t>יט</w:t>
      </w:r>
      <w:proofErr w:type="spellEnd"/>
      <w:r w:rsidR="00800A35">
        <w:rPr>
          <w:rFonts w:hint="cs"/>
          <w:sz w:val="18"/>
          <w:szCs w:val="20"/>
          <w:rtl/>
        </w:rPr>
        <w:t>)</w:t>
      </w:r>
      <w:r w:rsidR="00800A35">
        <w:rPr>
          <w:rFonts w:hint="cs"/>
          <w:sz w:val="22"/>
          <w:szCs w:val="24"/>
          <w:rtl/>
        </w:rPr>
        <w:t>.</w:t>
      </w:r>
    </w:p>
    <w:p w:rsidR="00331AB7" w:rsidRPr="00331AB7" w:rsidRDefault="00331AB7" w:rsidP="00800A35">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את הביכורים מביאים למקדש, וקוראים עליהם את פרשת הביכורים, ועל כן לביכורים יש הלכות מיו</w:t>
      </w:r>
      <w:r w:rsidR="00800A35">
        <w:rPr>
          <w:rFonts w:ascii="Narkisim" w:eastAsia="Calibri" w:hAnsi="Narkisim"/>
          <w:sz w:val="24"/>
          <w:szCs w:val="24"/>
          <w:rtl/>
        </w:rPr>
        <w:t>חדות. מאידך, קיים בביכורים משהו</w:t>
      </w:r>
      <w:r w:rsidRPr="00331AB7">
        <w:rPr>
          <w:rFonts w:ascii="Narkisim" w:eastAsia="Calibri" w:hAnsi="Narkisim"/>
          <w:sz w:val="24"/>
          <w:szCs w:val="24"/>
          <w:rtl/>
        </w:rPr>
        <w:t xml:space="preserve"> קל</w:t>
      </w:r>
      <w:r w:rsidR="00800A35" w:rsidRPr="00800A35">
        <w:rPr>
          <w:rFonts w:ascii="Narkisim" w:eastAsia="Calibri" w:hAnsi="Narkisim"/>
          <w:sz w:val="24"/>
          <w:szCs w:val="24"/>
          <w:rtl/>
        </w:rPr>
        <w:t xml:space="preserve"> </w:t>
      </w:r>
      <w:r w:rsidR="00800A35" w:rsidRPr="00331AB7">
        <w:rPr>
          <w:rFonts w:ascii="Narkisim" w:eastAsia="Calibri" w:hAnsi="Narkisim"/>
          <w:sz w:val="24"/>
          <w:szCs w:val="24"/>
          <w:rtl/>
        </w:rPr>
        <w:t>יותר</w:t>
      </w:r>
      <w:r w:rsidRPr="00331AB7">
        <w:rPr>
          <w:rFonts w:ascii="Narkisim" w:eastAsia="Calibri" w:hAnsi="Narkisim"/>
          <w:sz w:val="24"/>
          <w:szCs w:val="24"/>
          <w:rtl/>
        </w:rPr>
        <w:t>. בתרומות ומעשרות אנו חיים בעולם שכל התבואה מושפעת מחובת ההפרשה, והאיסור מתחיל משעה מסוימת. כל זאת בניגוד למתנות עניים שלא גורמות לאיסור אכילה על שאר התבואה, אפילו אם לא נתן את המתנות כהלכתן. גם אי-הבאת הביכורים אינו גורם לתבואה להיות במעמד של טבל, ו</w:t>
      </w:r>
      <w:r w:rsidR="00800A35">
        <w:rPr>
          <w:rFonts w:ascii="Narkisim" w:eastAsia="Calibri" w:hAnsi="Narkisim"/>
          <w:sz w:val="24"/>
          <w:szCs w:val="24"/>
          <w:rtl/>
        </w:rPr>
        <w:t>לכן גם אם אדם לא הפריש ביכורים</w:t>
      </w:r>
      <w:r w:rsidR="00800A35">
        <w:rPr>
          <w:rFonts w:ascii="Narkisim" w:eastAsia="Calibri" w:hAnsi="Narkisim" w:hint="cs"/>
          <w:sz w:val="24"/>
          <w:szCs w:val="24"/>
          <w:rtl/>
        </w:rPr>
        <w:t>,</w:t>
      </w:r>
      <w:r w:rsidRPr="00331AB7">
        <w:rPr>
          <w:rFonts w:ascii="Narkisim" w:eastAsia="Calibri" w:hAnsi="Narkisim"/>
          <w:sz w:val="24"/>
          <w:szCs w:val="24"/>
          <w:rtl/>
        </w:rPr>
        <w:t xml:space="preserve"> הפירות אינם נאסרים. הנקודה הזו עולה במסכת בבא </w:t>
      </w:r>
      <w:proofErr w:type="spellStart"/>
      <w:r w:rsidRPr="00331AB7">
        <w:rPr>
          <w:rFonts w:ascii="Narkisim" w:eastAsia="Calibri" w:hAnsi="Narkisim"/>
          <w:sz w:val="24"/>
          <w:szCs w:val="24"/>
          <w:rtl/>
        </w:rPr>
        <w:t>בתרא</w:t>
      </w:r>
      <w:proofErr w:type="spellEnd"/>
      <w:r w:rsidRPr="00331AB7">
        <w:rPr>
          <w:rFonts w:ascii="Narkisim" w:eastAsia="Calibri" w:hAnsi="Narkisim"/>
          <w:sz w:val="24"/>
          <w:szCs w:val="24"/>
          <w:rtl/>
        </w:rPr>
        <w:t xml:space="preserve"> בדף פא ע"א. הגמרא שם אומרת שגם מי שלוקח פירות מהשוק חייב בביכורים. הגמרא שם מקשה מהפסוק "אשר תביא מארצך", ומתרצת שזה בא למעט את פירות חוץ לארץ. על הסבר זה מקשה התוספות שם:</w:t>
      </w:r>
    </w:p>
    <w:p w:rsidR="00331AB7" w:rsidRPr="00800A35" w:rsidRDefault="00331AB7" w:rsidP="00800A35">
      <w:pPr>
        <w:pStyle w:val="aa"/>
        <w:rPr>
          <w:sz w:val="22"/>
          <w:szCs w:val="24"/>
          <w:rtl/>
        </w:rPr>
      </w:pPr>
      <w:proofErr w:type="spellStart"/>
      <w:r w:rsidRPr="00800A35">
        <w:rPr>
          <w:sz w:val="22"/>
          <w:szCs w:val="24"/>
          <w:rtl/>
        </w:rPr>
        <w:t>ותימה</w:t>
      </w:r>
      <w:proofErr w:type="spellEnd"/>
      <w:r w:rsidRPr="00800A35">
        <w:rPr>
          <w:sz w:val="22"/>
          <w:szCs w:val="24"/>
          <w:rtl/>
        </w:rPr>
        <w:t xml:space="preserve">, </w:t>
      </w:r>
      <w:proofErr w:type="spellStart"/>
      <w:r w:rsidRPr="00800A35">
        <w:rPr>
          <w:sz w:val="22"/>
          <w:szCs w:val="24"/>
          <w:rtl/>
        </w:rPr>
        <w:t>אמאי</w:t>
      </w:r>
      <w:proofErr w:type="spellEnd"/>
      <w:r w:rsidRPr="00800A35">
        <w:rPr>
          <w:sz w:val="22"/>
          <w:szCs w:val="24"/>
          <w:rtl/>
        </w:rPr>
        <w:t xml:space="preserve"> </w:t>
      </w:r>
      <w:proofErr w:type="spellStart"/>
      <w:r w:rsidRPr="00800A35">
        <w:rPr>
          <w:sz w:val="22"/>
          <w:szCs w:val="24"/>
          <w:rtl/>
        </w:rPr>
        <w:t>איצטריך</w:t>
      </w:r>
      <w:proofErr w:type="spellEnd"/>
      <w:r w:rsidRPr="00800A35">
        <w:rPr>
          <w:sz w:val="22"/>
          <w:szCs w:val="24"/>
          <w:rtl/>
        </w:rPr>
        <w:t xml:space="preserve"> </w:t>
      </w:r>
      <w:proofErr w:type="spellStart"/>
      <w:r w:rsidRPr="00800A35">
        <w:rPr>
          <w:sz w:val="22"/>
          <w:szCs w:val="24"/>
          <w:rtl/>
        </w:rPr>
        <w:t>מיעוטא</w:t>
      </w:r>
      <w:proofErr w:type="spellEnd"/>
      <w:r w:rsidRPr="00800A35">
        <w:rPr>
          <w:sz w:val="22"/>
          <w:szCs w:val="24"/>
          <w:rtl/>
        </w:rPr>
        <w:t xml:space="preserve">, הא אמר בסוף פרק קמא </w:t>
      </w:r>
      <w:proofErr w:type="spellStart"/>
      <w:r w:rsidRPr="00800A35">
        <w:rPr>
          <w:sz w:val="22"/>
          <w:szCs w:val="24"/>
          <w:rtl/>
        </w:rPr>
        <w:t>דקי</w:t>
      </w:r>
      <w:r w:rsidR="00800A35">
        <w:rPr>
          <w:sz w:val="22"/>
          <w:szCs w:val="24"/>
          <w:rtl/>
        </w:rPr>
        <w:t>דושין</w:t>
      </w:r>
      <w:proofErr w:type="spellEnd"/>
      <w:r w:rsidR="00800A35">
        <w:rPr>
          <w:sz w:val="22"/>
          <w:szCs w:val="24"/>
          <w:rtl/>
        </w:rPr>
        <w:t xml:space="preserve"> כל מצוה שהיא תלויה בארץ </w:t>
      </w:r>
      <w:r w:rsidRPr="00800A35">
        <w:rPr>
          <w:sz w:val="22"/>
          <w:szCs w:val="24"/>
          <w:rtl/>
        </w:rPr>
        <w:t xml:space="preserve">אינה נוהגת אלא בארץ? ויש מפרשים משום </w:t>
      </w:r>
      <w:proofErr w:type="spellStart"/>
      <w:r w:rsidRPr="00800A35">
        <w:rPr>
          <w:sz w:val="22"/>
          <w:szCs w:val="24"/>
          <w:rtl/>
        </w:rPr>
        <w:t>דבכורים</w:t>
      </w:r>
      <w:proofErr w:type="spellEnd"/>
      <w:r w:rsidRPr="00800A35">
        <w:rPr>
          <w:sz w:val="22"/>
          <w:szCs w:val="24"/>
          <w:rtl/>
        </w:rPr>
        <w:t xml:space="preserve"> </w:t>
      </w:r>
      <w:proofErr w:type="spellStart"/>
      <w:r w:rsidRPr="00800A35">
        <w:rPr>
          <w:sz w:val="22"/>
          <w:szCs w:val="24"/>
          <w:rtl/>
        </w:rPr>
        <w:t>איתקשו</w:t>
      </w:r>
      <w:proofErr w:type="spellEnd"/>
      <w:r w:rsidRPr="00800A35">
        <w:rPr>
          <w:sz w:val="22"/>
          <w:szCs w:val="24"/>
          <w:rtl/>
        </w:rPr>
        <w:t xml:space="preserve"> לבשר בחלב ... </w:t>
      </w:r>
      <w:proofErr w:type="spellStart"/>
      <w:r w:rsidRPr="00800A35">
        <w:rPr>
          <w:sz w:val="22"/>
          <w:szCs w:val="24"/>
          <w:rtl/>
        </w:rPr>
        <w:t>ולרשב"א</w:t>
      </w:r>
      <w:proofErr w:type="spellEnd"/>
      <w:r w:rsidRPr="00800A35">
        <w:rPr>
          <w:sz w:val="22"/>
          <w:szCs w:val="24"/>
          <w:rtl/>
        </w:rPr>
        <w:t xml:space="preserve"> נראה דלא </w:t>
      </w:r>
      <w:proofErr w:type="spellStart"/>
      <w:r w:rsidRPr="00800A35">
        <w:rPr>
          <w:sz w:val="22"/>
          <w:szCs w:val="24"/>
          <w:rtl/>
        </w:rPr>
        <w:t>חשיבי</w:t>
      </w:r>
      <w:proofErr w:type="spellEnd"/>
      <w:r w:rsidRPr="00800A35">
        <w:rPr>
          <w:sz w:val="22"/>
          <w:szCs w:val="24"/>
          <w:rtl/>
        </w:rPr>
        <w:t xml:space="preserve"> בכורים מצוה התלויה בארץ, דלא דמי לתרומה ומעשר וחלה, </w:t>
      </w:r>
      <w:proofErr w:type="spellStart"/>
      <w:r w:rsidRPr="00800A35">
        <w:rPr>
          <w:sz w:val="22"/>
          <w:szCs w:val="24"/>
          <w:rtl/>
        </w:rPr>
        <w:t>דהתם</w:t>
      </w:r>
      <w:proofErr w:type="spellEnd"/>
      <w:r w:rsidRPr="00800A35">
        <w:rPr>
          <w:sz w:val="22"/>
          <w:szCs w:val="24"/>
          <w:rtl/>
        </w:rPr>
        <w:t xml:space="preserve"> גוף הפרות </w:t>
      </w:r>
      <w:proofErr w:type="spellStart"/>
      <w:r w:rsidRPr="00800A35">
        <w:rPr>
          <w:sz w:val="22"/>
          <w:szCs w:val="24"/>
          <w:rtl/>
        </w:rPr>
        <w:t>מחוייבין</w:t>
      </w:r>
      <w:proofErr w:type="spellEnd"/>
      <w:r w:rsidRPr="00800A35">
        <w:rPr>
          <w:sz w:val="22"/>
          <w:szCs w:val="24"/>
          <w:rtl/>
        </w:rPr>
        <w:t xml:space="preserve"> בתרומה, </w:t>
      </w:r>
      <w:proofErr w:type="spellStart"/>
      <w:r w:rsidRPr="00800A35">
        <w:rPr>
          <w:sz w:val="22"/>
          <w:szCs w:val="24"/>
          <w:rtl/>
        </w:rPr>
        <w:t>דטבל</w:t>
      </w:r>
      <w:proofErr w:type="spellEnd"/>
      <w:r w:rsidRPr="00800A35">
        <w:rPr>
          <w:sz w:val="22"/>
          <w:szCs w:val="24"/>
          <w:rtl/>
        </w:rPr>
        <w:t xml:space="preserve"> </w:t>
      </w:r>
      <w:proofErr w:type="spellStart"/>
      <w:r w:rsidRPr="00800A35">
        <w:rPr>
          <w:sz w:val="22"/>
          <w:szCs w:val="24"/>
          <w:rtl/>
        </w:rPr>
        <w:t>נינהו</w:t>
      </w:r>
      <w:proofErr w:type="spellEnd"/>
      <w:r w:rsidRPr="00800A35">
        <w:rPr>
          <w:sz w:val="22"/>
          <w:szCs w:val="24"/>
          <w:rtl/>
        </w:rPr>
        <w:t xml:space="preserve">, </w:t>
      </w:r>
      <w:proofErr w:type="spellStart"/>
      <w:r w:rsidRPr="00800A35">
        <w:rPr>
          <w:sz w:val="22"/>
          <w:szCs w:val="24"/>
          <w:rtl/>
        </w:rPr>
        <w:t>ואסורין</w:t>
      </w:r>
      <w:proofErr w:type="spellEnd"/>
      <w:r w:rsidRPr="00800A35">
        <w:rPr>
          <w:sz w:val="22"/>
          <w:szCs w:val="24"/>
          <w:rtl/>
        </w:rPr>
        <w:t xml:space="preserve"> באכילה, ולכך </w:t>
      </w:r>
      <w:proofErr w:type="spellStart"/>
      <w:r w:rsidRPr="00800A35">
        <w:rPr>
          <w:sz w:val="22"/>
          <w:szCs w:val="24"/>
          <w:rtl/>
        </w:rPr>
        <w:t>חשובין</w:t>
      </w:r>
      <w:proofErr w:type="spellEnd"/>
      <w:r w:rsidRPr="00800A35">
        <w:rPr>
          <w:sz w:val="22"/>
          <w:szCs w:val="24"/>
          <w:rtl/>
        </w:rPr>
        <w:t xml:space="preserve"> הן </w:t>
      </w:r>
      <w:proofErr w:type="spellStart"/>
      <w:r w:rsidRPr="00800A35">
        <w:rPr>
          <w:sz w:val="22"/>
          <w:szCs w:val="24"/>
          <w:rtl/>
        </w:rPr>
        <w:t>תלוין</w:t>
      </w:r>
      <w:proofErr w:type="spellEnd"/>
      <w:r w:rsidRPr="00800A35">
        <w:rPr>
          <w:sz w:val="22"/>
          <w:szCs w:val="24"/>
          <w:rtl/>
        </w:rPr>
        <w:t xml:space="preserve"> </w:t>
      </w:r>
      <w:r w:rsidRPr="00800A35">
        <w:rPr>
          <w:sz w:val="22"/>
          <w:szCs w:val="24"/>
          <w:rtl/>
        </w:rPr>
        <w:lastRenderedPageBreak/>
        <w:t>בארץ. אבל בכורים, אין</w:t>
      </w:r>
      <w:r w:rsidR="00800A35">
        <w:rPr>
          <w:sz w:val="22"/>
          <w:szCs w:val="24"/>
          <w:rtl/>
        </w:rPr>
        <w:t xml:space="preserve"> החיוב תלוי בפרות, אלא באדם... </w:t>
      </w:r>
      <w:r w:rsidR="00800A35">
        <w:rPr>
          <w:rFonts w:hint="cs"/>
          <w:sz w:val="22"/>
          <w:szCs w:val="24"/>
          <w:rtl/>
        </w:rPr>
        <w:tab/>
      </w:r>
      <w:r w:rsidR="00800A35">
        <w:rPr>
          <w:rFonts w:hint="cs"/>
          <w:sz w:val="18"/>
          <w:szCs w:val="20"/>
          <w:rtl/>
        </w:rPr>
        <w:t>(</w:t>
      </w:r>
      <w:proofErr w:type="spellStart"/>
      <w:r w:rsidR="00800A35">
        <w:rPr>
          <w:rFonts w:hint="cs"/>
          <w:sz w:val="18"/>
          <w:szCs w:val="20"/>
          <w:rtl/>
        </w:rPr>
        <w:t>תוס</w:t>
      </w:r>
      <w:proofErr w:type="spellEnd"/>
      <w:r w:rsidR="00800A35">
        <w:rPr>
          <w:rFonts w:hint="cs"/>
          <w:sz w:val="18"/>
          <w:szCs w:val="20"/>
          <w:rtl/>
        </w:rPr>
        <w:t>' ב"ב פא ע"א, ד"ה ההוא)</w:t>
      </w:r>
      <w:r w:rsidR="00800A35">
        <w:rPr>
          <w:rFonts w:hint="cs"/>
          <w:sz w:val="22"/>
          <w:szCs w:val="24"/>
          <w:rtl/>
        </w:rPr>
        <w:t>.</w:t>
      </w:r>
    </w:p>
    <w:p w:rsidR="00331AB7" w:rsidRPr="00331AB7"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 xml:space="preserve">משמעות התירוץ השני היא שכיוון שאי-הפרשת הביכורים אינן גורם לפירות להיות טבל </w:t>
      </w:r>
      <w:r w:rsidR="00800A35">
        <w:rPr>
          <w:rFonts w:ascii="Narkisim" w:eastAsia="Calibri" w:hAnsi="Narkisim"/>
          <w:sz w:val="24"/>
          <w:szCs w:val="24"/>
          <w:rtl/>
        </w:rPr>
        <w:t>–</w:t>
      </w:r>
      <w:r w:rsidRPr="00331AB7">
        <w:rPr>
          <w:rFonts w:ascii="Narkisim" w:eastAsia="Calibri" w:hAnsi="Narkisim"/>
          <w:sz w:val="24"/>
          <w:szCs w:val="24"/>
          <w:rtl/>
        </w:rPr>
        <w:t xml:space="preserve"> לכן זוהי אינה מצווה התלויה בארץ.</w:t>
      </w:r>
    </w:p>
    <w:p w:rsidR="007916C5" w:rsidRPr="00F657E9" w:rsidRDefault="00331AB7" w:rsidP="00F657E9">
      <w:pPr>
        <w:autoSpaceDE/>
        <w:autoSpaceDN/>
        <w:spacing w:after="160" w:line="360" w:lineRule="auto"/>
        <w:rPr>
          <w:rFonts w:ascii="Narkisim" w:eastAsia="Calibri" w:hAnsi="Narkisim"/>
          <w:sz w:val="24"/>
          <w:szCs w:val="24"/>
          <w:rtl/>
        </w:rPr>
      </w:pPr>
      <w:r w:rsidRPr="00331AB7">
        <w:rPr>
          <w:rFonts w:ascii="Narkisim" w:eastAsia="Calibri" w:hAnsi="Narkisim"/>
          <w:sz w:val="24"/>
          <w:szCs w:val="24"/>
          <w:rtl/>
        </w:rPr>
        <w:t>אמנם, יש מקום לדון האם המחלוקת בין התירוצים קשורה לשאלה בהלכות ביכורים, או שאלה בהלכות הגדרת הקריטריון כחובת הגוף. בכל אופן, קיים הבדל ברור בין תרומות ומעשרות לבין ביכורים.</w:t>
      </w: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7916C5" w:rsidRDefault="007916C5" w:rsidP="007916C5">
      <w:pPr>
        <w:rPr>
          <w:rFonts w:ascii="Narkisim" w:hAnsi="Narkisim"/>
          <w:rtl/>
        </w:rPr>
      </w:pPr>
    </w:p>
    <w:p w:rsidR="000F6521" w:rsidRDefault="000F6521" w:rsidP="007916C5">
      <w:pPr>
        <w:rPr>
          <w:rFonts w:ascii="Narkisim" w:hAnsi="Narkisim"/>
          <w:rtl/>
        </w:rPr>
      </w:pPr>
    </w:p>
    <w:p w:rsidR="000F6521" w:rsidRDefault="000F6521" w:rsidP="007916C5">
      <w:pPr>
        <w:rPr>
          <w:rFonts w:ascii="Narkisim" w:hAnsi="Narkisim"/>
          <w:rtl/>
        </w:rPr>
      </w:pPr>
    </w:p>
    <w:p w:rsidR="00800A35" w:rsidRDefault="00800A35" w:rsidP="007916C5">
      <w:pPr>
        <w:rPr>
          <w:rFonts w:ascii="Narkisim" w:hAnsi="Narkisim"/>
          <w:rtl/>
        </w:rPr>
      </w:pPr>
    </w:p>
    <w:p w:rsidR="00800A35" w:rsidRDefault="00800A35" w:rsidP="007916C5">
      <w:pPr>
        <w:rPr>
          <w:rFonts w:ascii="Narkisim" w:hAnsi="Narkisim"/>
          <w:rtl/>
        </w:rPr>
      </w:pPr>
    </w:p>
    <w:p w:rsidR="00800A35" w:rsidRDefault="00800A35" w:rsidP="007916C5">
      <w:pPr>
        <w:rPr>
          <w:rFonts w:ascii="Narkisim" w:hAnsi="Narkisim"/>
          <w:rtl/>
        </w:rPr>
      </w:pPr>
    </w:p>
    <w:p w:rsidR="00800A35" w:rsidRDefault="00800A35" w:rsidP="007916C5">
      <w:pPr>
        <w:rPr>
          <w:rFonts w:ascii="Narkisim" w:hAnsi="Narkisim"/>
          <w:rtl/>
        </w:rPr>
      </w:pPr>
    </w:p>
    <w:p w:rsidR="00800A35" w:rsidRDefault="00800A35" w:rsidP="007916C5">
      <w:pPr>
        <w:rPr>
          <w:rFonts w:ascii="Narkisim" w:hAnsi="Narkisim"/>
          <w:rtl/>
        </w:rPr>
      </w:pPr>
    </w:p>
    <w:p w:rsidR="00800A35" w:rsidRDefault="00800A35" w:rsidP="007916C5">
      <w:pPr>
        <w:rPr>
          <w:rFonts w:ascii="Narkisim" w:hAnsi="Narkisim"/>
          <w:rtl/>
        </w:rPr>
      </w:pPr>
    </w:p>
    <w:p w:rsidR="007916C5" w:rsidRDefault="007916C5" w:rsidP="007916C5">
      <w:pPr>
        <w:rPr>
          <w:rFonts w:ascii="Narkisim" w:hAnsi="Narkisim"/>
          <w:rtl/>
        </w:rPr>
      </w:pPr>
    </w:p>
    <w:p w:rsidR="007916C5" w:rsidRPr="002538AD" w:rsidRDefault="007916C5" w:rsidP="007916C5">
      <w:pPr>
        <w:rPr>
          <w:rFonts w:ascii="Narkisim" w:hAnsi="Narkisim"/>
          <w:rtl/>
        </w:rPr>
      </w:pPr>
    </w:p>
    <w:tbl>
      <w:tblPr>
        <w:tblW w:w="0" w:type="auto"/>
        <w:jc w:val="right"/>
        <w:tblLayout w:type="fixed"/>
        <w:tblLook w:val="0000" w:firstRow="0" w:lastRow="0" w:firstColumn="0" w:lastColumn="0" w:noHBand="0" w:noVBand="0"/>
      </w:tblPr>
      <w:tblGrid>
        <w:gridCol w:w="284"/>
        <w:gridCol w:w="4111"/>
        <w:gridCol w:w="283"/>
      </w:tblGrid>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xml:space="preserve">* * * * * * * * * * </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כל הזכויות שמורות לישיבת הר עציון, תשע"ו</w:t>
            </w:r>
          </w:p>
          <w:p w:rsidR="007916C5" w:rsidRPr="002538AD" w:rsidRDefault="007916C5" w:rsidP="002C5508">
            <w:pPr>
              <w:pStyle w:val="ac"/>
              <w:rPr>
                <w:rFonts w:ascii="Narkisim" w:hAnsi="Narkisim"/>
                <w:rtl/>
              </w:rPr>
            </w:pPr>
            <w:r w:rsidRPr="002538AD">
              <w:rPr>
                <w:rFonts w:ascii="Narkisim" w:hAnsi="Narkisim"/>
                <w:rtl/>
              </w:rPr>
              <w:t>*******************************************************</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בית המדרש </w:t>
            </w:r>
            <w:proofErr w:type="spellStart"/>
            <w:r w:rsidRPr="002538AD">
              <w:rPr>
                <w:rFonts w:ascii="Narkisim" w:hAnsi="Narkisim"/>
                <w:rtl/>
              </w:rPr>
              <w:t>הוירטואלי</w:t>
            </w:r>
            <w:proofErr w:type="spellEnd"/>
            <w:r w:rsidRPr="002538AD">
              <w:rPr>
                <w:rFonts w:ascii="Narkisim" w:hAnsi="Narkisim"/>
                <w:rtl/>
              </w:rPr>
              <w:t xml:space="preserve"> שליד ישיבת הר עציון</w:t>
            </w:r>
          </w:p>
          <w:p w:rsidR="007916C5" w:rsidRPr="002538AD" w:rsidRDefault="007916C5" w:rsidP="002C5508">
            <w:pPr>
              <w:pStyle w:val="ac"/>
              <w:rPr>
                <w:rFonts w:ascii="Narkisim" w:hAnsi="Narkisim"/>
              </w:rPr>
            </w:pPr>
            <w:r w:rsidRPr="002538AD">
              <w:rPr>
                <w:rFonts w:ascii="Narkisim" w:hAnsi="Narkisim"/>
                <w:rtl/>
              </w:rPr>
              <w:t>האתר בעברית:</w:t>
            </w:r>
            <w:r w:rsidRPr="002538AD">
              <w:rPr>
                <w:rFonts w:ascii="Narkisim" w:hAnsi="Narkisim"/>
                <w:rtl/>
              </w:rPr>
              <w:tab/>
            </w:r>
            <w:r w:rsidRPr="002538AD">
              <w:rPr>
                <w:rFonts w:ascii="Narkisim" w:hAnsi="Narkisim"/>
              </w:rPr>
              <w:t>http://www.etzion.org.il</w:t>
            </w:r>
            <w:r w:rsidRPr="002538AD">
              <w:rPr>
                <w:rFonts w:ascii="Narkisim" w:hAnsi="Narkisim"/>
                <w:rtl/>
              </w:rPr>
              <w:t>/</w:t>
            </w:r>
          </w:p>
          <w:p w:rsidR="007916C5" w:rsidRPr="002538AD" w:rsidRDefault="007916C5" w:rsidP="002C5508">
            <w:pPr>
              <w:pStyle w:val="ac"/>
              <w:rPr>
                <w:rFonts w:ascii="Narkisim" w:hAnsi="Narkisim"/>
                <w:rtl/>
              </w:rPr>
            </w:pPr>
            <w:r w:rsidRPr="002538AD">
              <w:rPr>
                <w:rFonts w:ascii="Narkisim" w:hAnsi="Narkisim"/>
                <w:rtl/>
              </w:rPr>
              <w:t>האתר באנגלית:</w:t>
            </w:r>
            <w:r w:rsidRPr="002538AD">
              <w:rPr>
                <w:rFonts w:ascii="Narkisim" w:hAnsi="Narkisim"/>
                <w:rtl/>
              </w:rPr>
              <w:tab/>
            </w:r>
            <w:r w:rsidRPr="002538AD">
              <w:rPr>
                <w:rFonts w:ascii="Narkisim" w:hAnsi="Narkisim"/>
              </w:rPr>
              <w:t xml:space="preserve">http://www.etzion.org.il/en </w:t>
            </w:r>
          </w:p>
          <w:p w:rsidR="007916C5" w:rsidRPr="002538AD" w:rsidRDefault="007916C5" w:rsidP="002C5508">
            <w:pPr>
              <w:pStyle w:val="ac"/>
              <w:rPr>
                <w:rFonts w:ascii="Narkisim" w:hAnsi="Narkisim"/>
                <w:rtl/>
              </w:rPr>
            </w:pPr>
          </w:p>
          <w:p w:rsidR="007916C5" w:rsidRPr="002538AD" w:rsidRDefault="007916C5" w:rsidP="002C5508">
            <w:pPr>
              <w:pStyle w:val="ac"/>
              <w:rPr>
                <w:rFonts w:ascii="Narkisim" w:hAnsi="Narkisim"/>
                <w:rtl/>
              </w:rPr>
            </w:pPr>
            <w:r w:rsidRPr="002538AD">
              <w:rPr>
                <w:rFonts w:ascii="Narkisim" w:hAnsi="Narkisim"/>
                <w:rtl/>
              </w:rPr>
              <w:t xml:space="preserve">משרדי בית המדרש </w:t>
            </w:r>
            <w:proofErr w:type="spellStart"/>
            <w:r w:rsidRPr="002538AD">
              <w:rPr>
                <w:rFonts w:ascii="Narkisim" w:hAnsi="Narkisim"/>
                <w:rtl/>
              </w:rPr>
              <w:t>הוירטואלי</w:t>
            </w:r>
            <w:proofErr w:type="spellEnd"/>
            <w:r w:rsidRPr="002538AD">
              <w:rPr>
                <w:rFonts w:ascii="Narkisim" w:hAnsi="Narkisim"/>
                <w:rtl/>
              </w:rPr>
              <w:t xml:space="preserve">: 02-9937300 שלוחה 5 </w:t>
            </w:r>
          </w:p>
          <w:p w:rsidR="007916C5" w:rsidRPr="002538AD" w:rsidRDefault="007916C5" w:rsidP="002C5508">
            <w:pPr>
              <w:pStyle w:val="ac"/>
              <w:rPr>
                <w:rFonts w:ascii="Narkisim" w:hAnsi="Narkisim"/>
                <w:rtl/>
              </w:rPr>
            </w:pPr>
            <w:r w:rsidRPr="002538AD">
              <w:rPr>
                <w:rFonts w:ascii="Narkisim" w:hAnsi="Narkisim"/>
                <w:rtl/>
              </w:rPr>
              <w:t xml:space="preserve">דואל: </w:t>
            </w:r>
            <w:hyperlink r:id="rId10" w:history="1">
              <w:r w:rsidRPr="002538AD">
                <w:rPr>
                  <w:rStyle w:val="Hyperlink"/>
                  <w:rFonts w:ascii="Narkisim" w:hAnsi="Narkisim"/>
                </w:rPr>
                <w:t>YHE@etzion.org.il</w:t>
              </w:r>
            </w:hyperlink>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 * * * * * * * * *</w:t>
            </w:r>
          </w:p>
        </w:tc>
      </w:tr>
      <w:tr w:rsidR="007916C5" w:rsidRPr="002538AD" w:rsidTr="002C5508">
        <w:trPr>
          <w:jc w:val="right"/>
        </w:trPr>
        <w:tc>
          <w:tcPr>
            <w:tcW w:w="284"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4111"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c>
          <w:tcPr>
            <w:tcW w:w="283" w:type="dxa"/>
            <w:tcBorders>
              <w:top w:val="nil"/>
              <w:left w:val="nil"/>
              <w:bottom w:val="nil"/>
              <w:right w:val="nil"/>
            </w:tcBorders>
          </w:tcPr>
          <w:p w:rsidR="007916C5" w:rsidRPr="002538AD" w:rsidRDefault="007916C5" w:rsidP="002C5508">
            <w:pPr>
              <w:pStyle w:val="ac"/>
              <w:rPr>
                <w:rFonts w:ascii="Narkisim" w:hAnsi="Narkisim"/>
                <w:rtl/>
              </w:rPr>
            </w:pPr>
            <w:r w:rsidRPr="002538AD">
              <w:rPr>
                <w:rFonts w:ascii="Narkisim" w:hAnsi="Narkisim"/>
                <w:rtl/>
              </w:rPr>
              <w:t>*</w:t>
            </w:r>
          </w:p>
        </w:tc>
      </w:tr>
    </w:tbl>
    <w:p w:rsidR="007916C5" w:rsidRPr="00102574" w:rsidRDefault="007916C5" w:rsidP="007916C5">
      <w:pPr>
        <w:autoSpaceDE/>
        <w:autoSpaceDN/>
        <w:spacing w:after="160" w:line="360" w:lineRule="auto"/>
        <w:rPr>
          <w:rFonts w:ascii="Narkisim" w:eastAsia="Calibri" w:hAnsi="Narkisim"/>
          <w:sz w:val="24"/>
          <w:szCs w:val="24"/>
          <w:rtl/>
        </w:rPr>
      </w:pPr>
    </w:p>
    <w:sectPr w:rsidR="007916C5" w:rsidRPr="00102574" w:rsidSect="002607F8">
      <w:type w:val="continuous"/>
      <w:pgSz w:w="12240" w:h="15840"/>
      <w:pgMar w:top="1418" w:right="1134" w:bottom="964" w:left="1134" w:header="720" w:footer="720" w:gutter="0"/>
      <w:cols w:num="2"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A2" w:rsidRDefault="007A26A2" w:rsidP="0075394C">
      <w:r>
        <w:separator/>
      </w:r>
    </w:p>
    <w:p w:rsidR="007A26A2" w:rsidRDefault="007A26A2" w:rsidP="0075394C"/>
  </w:endnote>
  <w:endnote w:type="continuationSeparator" w:id="0">
    <w:p w:rsidR="007A26A2" w:rsidRDefault="007A26A2" w:rsidP="0075394C">
      <w:r>
        <w:continuationSeparator/>
      </w:r>
    </w:p>
    <w:p w:rsidR="007A26A2" w:rsidRDefault="007A26A2"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A2" w:rsidRDefault="007A26A2" w:rsidP="0075394C">
      <w:r>
        <w:separator/>
      </w:r>
    </w:p>
  </w:footnote>
  <w:footnote w:type="continuationSeparator" w:id="0">
    <w:p w:rsidR="007A26A2" w:rsidRDefault="007A26A2" w:rsidP="0075394C">
      <w:r>
        <w:continuationSeparator/>
      </w:r>
    </w:p>
    <w:p w:rsidR="007A26A2" w:rsidRDefault="007A26A2" w:rsidP="0075394C"/>
  </w:footnote>
  <w:footnote w:id="1">
    <w:p w:rsidR="003C6D1A" w:rsidRDefault="003C6D1A" w:rsidP="003C6D1A">
      <w:pPr>
        <w:pStyle w:val="a4"/>
        <w:rPr>
          <w:sz w:val="21"/>
        </w:rPr>
      </w:pPr>
      <w:r>
        <w:rPr>
          <w:rStyle w:val="a6"/>
          <w:rFonts w:hint="cs"/>
          <w:rtl/>
        </w:rPr>
        <w:t>*</w:t>
      </w:r>
      <w:r>
        <w:rPr>
          <w:rFonts w:hint="cs"/>
        </w:rPr>
        <w:t xml:space="preserve"> </w:t>
      </w:r>
      <w:r>
        <w:rPr>
          <w:sz w:val="16"/>
          <w:rtl/>
        </w:rPr>
        <w:t xml:space="preserve"> המאמר לא עבר את ביקורת ה</w:t>
      </w:r>
      <w:bookmarkStart w:id="0" w:name="_GoBack"/>
      <w:bookmarkEnd w:id="0"/>
      <w:r>
        <w:rPr>
          <w:sz w:val="16"/>
          <w:rtl/>
        </w:rPr>
        <w:t>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Borders>
        <w:bottom w:val="double" w:sz="4" w:space="0" w:color="auto"/>
      </w:tblBorders>
      <w:tblLayout w:type="fixed"/>
      <w:tblLook w:val="0000" w:firstRow="0" w:lastRow="0" w:firstColumn="0" w:lastColumn="0" w:noHBand="0" w:noVBand="0"/>
    </w:tblPr>
    <w:tblGrid>
      <w:gridCol w:w="4927"/>
      <w:gridCol w:w="4927"/>
    </w:tblGrid>
    <w:tr w:rsidR="000D4E46" w:rsidRPr="000D4E46">
      <w:trPr>
        <w:jc w:val="right"/>
      </w:trPr>
      <w:tc>
        <w:tcPr>
          <w:tcW w:w="4927" w:type="dxa"/>
          <w:tcBorders>
            <w:top w:val="nil"/>
            <w:left w:val="nil"/>
            <w:bottom w:val="double" w:sz="4" w:space="0" w:color="auto"/>
            <w:right w:val="nil"/>
          </w:tcBorders>
          <w:vAlign w:val="center"/>
        </w:tcPr>
        <w:p w:rsidR="000D4E46" w:rsidRPr="000D4E46" w:rsidRDefault="00535514" w:rsidP="0075394C">
          <w:pPr>
            <w:pStyle w:val="a7"/>
            <w:bidi w:val="0"/>
            <w:rPr>
              <w:rtl/>
            </w:rPr>
          </w:pPr>
          <w:r>
            <w:t>http://www.etzion.org.il</w:t>
          </w:r>
        </w:p>
      </w:tc>
      <w:tc>
        <w:tcPr>
          <w:tcW w:w="4927" w:type="dxa"/>
          <w:tcBorders>
            <w:top w:val="nil"/>
            <w:left w:val="nil"/>
            <w:bottom w:val="double" w:sz="4" w:space="0" w:color="auto"/>
            <w:right w:val="nil"/>
          </w:tcBorders>
        </w:tcPr>
        <w:p w:rsidR="00552816" w:rsidRPr="000D4E46" w:rsidRDefault="00552816" w:rsidP="00552816">
          <w:pPr>
            <w:pStyle w:val="a7"/>
            <w:rPr>
              <w:rtl/>
            </w:rPr>
          </w:pPr>
          <w:r w:rsidRPr="000D4E46">
            <w:rPr>
              <w:rtl/>
            </w:rPr>
            <w:t xml:space="preserve">בית המדרש </w:t>
          </w:r>
          <w:proofErr w:type="spellStart"/>
          <w:r w:rsidRPr="000D4E46">
            <w:rPr>
              <w:rtl/>
            </w:rPr>
            <w:t>הוירטואלי</w:t>
          </w:r>
          <w:proofErr w:type="spellEnd"/>
          <w:r w:rsidRPr="000D4E46">
            <w:rPr>
              <w:rtl/>
            </w:rPr>
            <w:t xml:space="preserve"> (</w:t>
          </w:r>
          <w:r w:rsidRPr="000D4E46">
            <w:t>V.B.M</w:t>
          </w:r>
          <w:r w:rsidRPr="000D4E46">
            <w:rPr>
              <w:rtl/>
            </w:rPr>
            <w:t xml:space="preserve">) </w:t>
          </w:r>
          <w:r w:rsidRPr="000D4E46">
            <w:rPr>
              <w:rFonts w:hint="cs"/>
              <w:rtl/>
            </w:rPr>
            <w:t xml:space="preserve">ע"ש ישראל </w:t>
          </w:r>
          <w:proofErr w:type="spellStart"/>
          <w:r w:rsidRPr="000D4E46">
            <w:rPr>
              <w:rFonts w:hint="cs"/>
              <w:rtl/>
            </w:rPr>
            <w:t>קושיצקי</w:t>
          </w:r>
          <w:proofErr w:type="spellEnd"/>
        </w:p>
        <w:p w:rsidR="00552816" w:rsidRPr="000D4E46" w:rsidRDefault="00552816" w:rsidP="00552816">
          <w:pPr>
            <w:pStyle w:val="a7"/>
            <w:rPr>
              <w:rtl/>
            </w:rPr>
          </w:pPr>
          <w:r w:rsidRPr="000D4E46">
            <w:rPr>
              <w:rtl/>
            </w:rPr>
            <w:t>שליד ישיבת הר עציון</w:t>
          </w:r>
        </w:p>
        <w:p w:rsidR="000D4E46" w:rsidRPr="000D4E46" w:rsidRDefault="00552816" w:rsidP="00552816">
          <w:pPr>
            <w:pStyle w:val="a7"/>
            <w:rPr>
              <w:rtl/>
            </w:rPr>
          </w:pPr>
          <w:r>
            <w:rPr>
              <w:rFonts w:hint="cs"/>
              <w:rtl/>
            </w:rPr>
            <w:t>מאמרים הלכתיים</w:t>
          </w:r>
          <w:r w:rsidRPr="000D4E46">
            <w:rPr>
              <w:rtl/>
            </w:rPr>
            <w:t xml:space="preserve"> מאת </w:t>
          </w:r>
          <w:r>
            <w:rPr>
              <w:rFonts w:hint="cs"/>
              <w:rtl/>
            </w:rPr>
            <w:t>הרב אהרן ליכטנשטיין זצ"ל</w:t>
          </w:r>
        </w:p>
      </w:tc>
    </w:tr>
  </w:tbl>
  <w:p w:rsidR="000D4E46" w:rsidRDefault="000D4E46" w:rsidP="0075394C">
    <w:pPr>
      <w:pStyle w:val="a7"/>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0BC8178B"/>
    <w:multiLevelType w:val="hybridMultilevel"/>
    <w:tmpl w:val="1CEE5DF8"/>
    <w:lvl w:ilvl="0" w:tplc="0D5241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150B71AE"/>
    <w:multiLevelType w:val="hybridMultilevel"/>
    <w:tmpl w:val="B104957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6">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7">
    <w:nsid w:val="22E324EB"/>
    <w:multiLevelType w:val="hybridMultilevel"/>
    <w:tmpl w:val="698A3112"/>
    <w:lvl w:ilvl="0" w:tplc="6C883A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10">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11">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2">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3">
    <w:nsid w:val="372366B1"/>
    <w:multiLevelType w:val="hybridMultilevel"/>
    <w:tmpl w:val="2818636E"/>
    <w:lvl w:ilvl="0" w:tplc="A7A849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5">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6">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7">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3">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4">
    <w:nsid w:val="754E0392"/>
    <w:multiLevelType w:val="hybridMultilevel"/>
    <w:tmpl w:val="3C7A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26">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27">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num w:numId="1">
    <w:abstractNumId w:val="23"/>
  </w:num>
  <w:num w:numId="2">
    <w:abstractNumId w:val="20"/>
  </w:num>
  <w:num w:numId="3">
    <w:abstractNumId w:val="27"/>
  </w:num>
  <w:num w:numId="4">
    <w:abstractNumId w:val="15"/>
  </w:num>
  <w:num w:numId="5">
    <w:abstractNumId w:val="5"/>
  </w:num>
  <w:num w:numId="6">
    <w:abstractNumId w:val="21"/>
  </w:num>
  <w:num w:numId="7">
    <w:abstractNumId w:val="12"/>
  </w:num>
  <w:num w:numId="8">
    <w:abstractNumId w:val="26"/>
  </w:num>
  <w:num w:numId="9">
    <w:abstractNumId w:val="1"/>
  </w:num>
  <w:num w:numId="10">
    <w:abstractNumId w:val="6"/>
  </w:num>
  <w:num w:numId="11">
    <w:abstractNumId w:val="22"/>
  </w:num>
  <w:num w:numId="12">
    <w:abstractNumId w:val="10"/>
  </w:num>
  <w:num w:numId="13">
    <w:abstractNumId w:val="18"/>
  </w:num>
  <w:num w:numId="14">
    <w:abstractNumId w:val="16"/>
  </w:num>
  <w:num w:numId="15">
    <w:abstractNumId w:val="19"/>
  </w:num>
  <w:num w:numId="16">
    <w:abstractNumId w:val="9"/>
  </w:num>
  <w:num w:numId="17">
    <w:abstractNumId w:val="11"/>
  </w:num>
  <w:num w:numId="18">
    <w:abstractNumId w:val="14"/>
  </w:num>
  <w:num w:numId="19">
    <w:abstractNumId w:val="25"/>
  </w:num>
  <w:num w:numId="20">
    <w:abstractNumId w:val="0"/>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
  </w:num>
  <w:num w:numId="26">
    <w:abstractNumId w:val="7"/>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05AA1"/>
    <w:rsid w:val="0002608D"/>
    <w:rsid w:val="000808F5"/>
    <w:rsid w:val="00086DBB"/>
    <w:rsid w:val="000D4E46"/>
    <w:rsid w:val="000D6CFF"/>
    <w:rsid w:val="000E363D"/>
    <w:rsid w:val="000F5280"/>
    <w:rsid w:val="000F6521"/>
    <w:rsid w:val="00102574"/>
    <w:rsid w:val="001304C1"/>
    <w:rsid w:val="00137956"/>
    <w:rsid w:val="0015157C"/>
    <w:rsid w:val="00160B6A"/>
    <w:rsid w:val="00177A1A"/>
    <w:rsid w:val="001E26B3"/>
    <w:rsid w:val="001E6A22"/>
    <w:rsid w:val="001E6DFF"/>
    <w:rsid w:val="00220B8F"/>
    <w:rsid w:val="002227FC"/>
    <w:rsid w:val="00224BA6"/>
    <w:rsid w:val="00234A0A"/>
    <w:rsid w:val="00244BFD"/>
    <w:rsid w:val="002538AD"/>
    <w:rsid w:val="00253F87"/>
    <w:rsid w:val="002607F8"/>
    <w:rsid w:val="00290350"/>
    <w:rsid w:val="00292E63"/>
    <w:rsid w:val="002B1878"/>
    <w:rsid w:val="002D378F"/>
    <w:rsid w:val="002D50D3"/>
    <w:rsid w:val="002E4DD5"/>
    <w:rsid w:val="002F55F8"/>
    <w:rsid w:val="00307A56"/>
    <w:rsid w:val="00307C0F"/>
    <w:rsid w:val="00315A31"/>
    <w:rsid w:val="003260AF"/>
    <w:rsid w:val="00331AB7"/>
    <w:rsid w:val="00342292"/>
    <w:rsid w:val="00366CCD"/>
    <w:rsid w:val="00370D33"/>
    <w:rsid w:val="003C504B"/>
    <w:rsid w:val="003C6D1A"/>
    <w:rsid w:val="003D423D"/>
    <w:rsid w:val="00400295"/>
    <w:rsid w:val="00430616"/>
    <w:rsid w:val="00470086"/>
    <w:rsid w:val="004C0E29"/>
    <w:rsid w:val="004D6FA4"/>
    <w:rsid w:val="00506195"/>
    <w:rsid w:val="00521223"/>
    <w:rsid w:val="00522566"/>
    <w:rsid w:val="00523F84"/>
    <w:rsid w:val="00525293"/>
    <w:rsid w:val="00535514"/>
    <w:rsid w:val="00535E4A"/>
    <w:rsid w:val="005411E1"/>
    <w:rsid w:val="00552816"/>
    <w:rsid w:val="0055748A"/>
    <w:rsid w:val="00563070"/>
    <w:rsid w:val="00567209"/>
    <w:rsid w:val="0059251A"/>
    <w:rsid w:val="005A7E95"/>
    <w:rsid w:val="00611B3E"/>
    <w:rsid w:val="0062069C"/>
    <w:rsid w:val="006460BD"/>
    <w:rsid w:val="006465D9"/>
    <w:rsid w:val="00647073"/>
    <w:rsid w:val="006532E6"/>
    <w:rsid w:val="00653F68"/>
    <w:rsid w:val="00671195"/>
    <w:rsid w:val="00672E68"/>
    <w:rsid w:val="00695495"/>
    <w:rsid w:val="006A01DF"/>
    <w:rsid w:val="006B1287"/>
    <w:rsid w:val="006B6EEA"/>
    <w:rsid w:val="006D4D9C"/>
    <w:rsid w:val="006F37B8"/>
    <w:rsid w:val="00703D7F"/>
    <w:rsid w:val="0075394C"/>
    <w:rsid w:val="007916C5"/>
    <w:rsid w:val="007945E3"/>
    <w:rsid w:val="007A26A2"/>
    <w:rsid w:val="007A353B"/>
    <w:rsid w:val="007B74AD"/>
    <w:rsid w:val="007B7CFE"/>
    <w:rsid w:val="00800A35"/>
    <w:rsid w:val="0081523B"/>
    <w:rsid w:val="008369D0"/>
    <w:rsid w:val="00892293"/>
    <w:rsid w:val="00893417"/>
    <w:rsid w:val="008C3F77"/>
    <w:rsid w:val="008C7900"/>
    <w:rsid w:val="008F3BD5"/>
    <w:rsid w:val="009052E2"/>
    <w:rsid w:val="00930C55"/>
    <w:rsid w:val="00946071"/>
    <w:rsid w:val="00950D52"/>
    <w:rsid w:val="00956AF7"/>
    <w:rsid w:val="00977CAF"/>
    <w:rsid w:val="00982354"/>
    <w:rsid w:val="00994CC7"/>
    <w:rsid w:val="0099503D"/>
    <w:rsid w:val="009B0145"/>
    <w:rsid w:val="009C48DB"/>
    <w:rsid w:val="009F029D"/>
    <w:rsid w:val="009F5862"/>
    <w:rsid w:val="00A12EDC"/>
    <w:rsid w:val="00A37BB8"/>
    <w:rsid w:val="00A4780D"/>
    <w:rsid w:val="00A939FA"/>
    <w:rsid w:val="00AA78F8"/>
    <w:rsid w:val="00AC4632"/>
    <w:rsid w:val="00B035A2"/>
    <w:rsid w:val="00B11364"/>
    <w:rsid w:val="00B210A2"/>
    <w:rsid w:val="00B27B72"/>
    <w:rsid w:val="00B64F13"/>
    <w:rsid w:val="00B739AC"/>
    <w:rsid w:val="00BA46D0"/>
    <w:rsid w:val="00BA6457"/>
    <w:rsid w:val="00BD7501"/>
    <w:rsid w:val="00BF18BB"/>
    <w:rsid w:val="00BF2428"/>
    <w:rsid w:val="00BF7B98"/>
    <w:rsid w:val="00C22CB9"/>
    <w:rsid w:val="00C3329A"/>
    <w:rsid w:val="00C41D53"/>
    <w:rsid w:val="00C51298"/>
    <w:rsid w:val="00C56C1D"/>
    <w:rsid w:val="00C768E3"/>
    <w:rsid w:val="00C917FB"/>
    <w:rsid w:val="00C95806"/>
    <w:rsid w:val="00CA1B20"/>
    <w:rsid w:val="00CB0525"/>
    <w:rsid w:val="00CB1682"/>
    <w:rsid w:val="00CB774A"/>
    <w:rsid w:val="00CD4661"/>
    <w:rsid w:val="00CF2B9E"/>
    <w:rsid w:val="00CF5FE2"/>
    <w:rsid w:val="00D348A9"/>
    <w:rsid w:val="00DA22A2"/>
    <w:rsid w:val="00DB4898"/>
    <w:rsid w:val="00DE62C2"/>
    <w:rsid w:val="00E00CA2"/>
    <w:rsid w:val="00E0662B"/>
    <w:rsid w:val="00E414DE"/>
    <w:rsid w:val="00E56B93"/>
    <w:rsid w:val="00ED3C03"/>
    <w:rsid w:val="00ED3E16"/>
    <w:rsid w:val="00ED5503"/>
    <w:rsid w:val="00EF1785"/>
    <w:rsid w:val="00F06338"/>
    <w:rsid w:val="00F06967"/>
    <w:rsid w:val="00F20B7D"/>
    <w:rsid w:val="00F37EFC"/>
    <w:rsid w:val="00F42793"/>
    <w:rsid w:val="00F429CD"/>
    <w:rsid w:val="00F55218"/>
    <w:rsid w:val="00F61E55"/>
    <w:rsid w:val="00F657E9"/>
    <w:rsid w:val="00FC5FB4"/>
    <w:rsid w:val="00FD480B"/>
    <w:rsid w:val="00FE43CE"/>
    <w:rsid w:val="00FE4663"/>
    <w:rsid w:val="00FF0071"/>
    <w:rsid w:val="00FF30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1">
    <w:name w:val="heading 1"/>
    <w:basedOn w:val="a0"/>
    <w:next w:val="a"/>
    <w:link w:val="10"/>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
    <w:qFormat/>
    <w:pPr>
      <w:keepNext/>
      <w:outlineLvl w:val="2"/>
    </w:p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rPr>
      <w:rFonts w:ascii="Cambria" w:eastAsia="Times New Roman" w:hAnsi="Cambria" w:cs="Times New Roman"/>
      <w:b/>
      <w:bCs/>
      <w:kern w:val="32"/>
      <w:sz w:val="32"/>
      <w:szCs w:val="32"/>
    </w:rPr>
  </w:style>
  <w:style w:type="character" w:customStyle="1" w:styleId="21">
    <w:name w:val="כותרת 2 תו"/>
    <w:link w:val="2"/>
    <w:uiPriority w:val="9"/>
    <w:rPr>
      <w:rFonts w:ascii="Cambria" w:eastAsia="Times New Roman" w:hAnsi="Cambria" w:cs="Times New Roman"/>
      <w:b/>
      <w:bCs/>
      <w:i/>
      <w:iCs/>
      <w:sz w:val="28"/>
      <w:szCs w:val="28"/>
    </w:rPr>
  </w:style>
  <w:style w:type="character" w:customStyle="1" w:styleId="31">
    <w:name w:val="כותרת 3 תו"/>
    <w:link w:val="3"/>
    <w:uiPriority w:val="9"/>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paragraph" w:styleId="a4">
    <w:name w:val="footnote text"/>
    <w:aliases w:val="הערות שוליים דוקטורט"/>
    <w:basedOn w:val="a"/>
    <w:link w:val="a5"/>
    <w:uiPriority w:val="99"/>
    <w:pPr>
      <w:spacing w:line="210" w:lineRule="exact"/>
      <w:ind w:right="227" w:hanging="227"/>
    </w:pPr>
    <w:rPr>
      <w:position w:val="6"/>
      <w:szCs w:val="16"/>
    </w:rPr>
  </w:style>
  <w:style w:type="character" w:customStyle="1" w:styleId="a5">
    <w:name w:val="טקסט הערת שוליים תו"/>
    <w:aliases w:val="הערות שוליים דוקטורט תו"/>
    <w:link w:val="a4"/>
    <w:uiPriority w:val="99"/>
    <w:rPr>
      <w:rFonts w:ascii="Times New Roman" w:hAnsi="Times New Roman" w:cs="Narkisim"/>
      <w:sz w:val="20"/>
      <w:szCs w:val="20"/>
    </w:rPr>
  </w:style>
  <w:style w:type="character" w:styleId="a6">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a7">
    <w:name w:val="header"/>
    <w:basedOn w:val="a"/>
    <w:link w:val="a8"/>
    <w:uiPriority w:val="99"/>
    <w:pPr>
      <w:tabs>
        <w:tab w:val="center" w:pos="4153"/>
        <w:tab w:val="right" w:pos="8306"/>
      </w:tabs>
    </w:pPr>
  </w:style>
  <w:style w:type="character" w:customStyle="1" w:styleId="a8">
    <w:name w:val="כותרת עליונה תו"/>
    <w:link w:val="a7"/>
    <w:uiPriority w:val="99"/>
    <w:semiHidden/>
    <w:rPr>
      <w:rFonts w:ascii="Times New Roman" w:hAnsi="Times New Roman" w:cs="Narkisim"/>
      <w:sz w:val="20"/>
    </w:rPr>
  </w:style>
  <w:style w:type="paragraph" w:customStyle="1" w:styleId="a9">
    <w:name w:val="פרשה"/>
    <w:basedOn w:val="1"/>
    <w:uiPriority w:val="99"/>
    <w:pPr>
      <w:spacing w:after="240" w:line="240" w:lineRule="auto"/>
      <w:jc w:val="center"/>
    </w:pPr>
    <w:rPr>
      <w:b w:val="0"/>
      <w:bCs w:val="0"/>
      <w:sz w:val="46"/>
      <w:szCs w:val="50"/>
    </w:rPr>
  </w:style>
  <w:style w:type="paragraph" w:styleId="aa">
    <w:name w:val="Quote"/>
    <w:basedOn w:val="a"/>
    <w:link w:val="ab"/>
    <w:qFormat/>
    <w:rsid w:val="0075394C"/>
    <w:pPr>
      <w:tabs>
        <w:tab w:val="right" w:pos="4620"/>
      </w:tabs>
      <w:ind w:left="567"/>
    </w:pPr>
  </w:style>
  <w:style w:type="character" w:customStyle="1" w:styleId="ab">
    <w:name w:val="ציטוט תו"/>
    <w:link w:val="aa"/>
    <w:rsid w:val="0075394C"/>
    <w:rPr>
      <w:rFonts w:ascii="Times New Roman" w:hAnsi="Times New Roman" w:cs="Narkisim"/>
      <w:szCs w:val="22"/>
    </w:rPr>
  </w:style>
  <w:style w:type="paragraph" w:customStyle="1" w:styleId="a0">
    <w:name w:val="כותרת"/>
    <w:basedOn w:val="a"/>
    <w:uiPriority w:val="99"/>
    <w:pPr>
      <w:keepNext/>
      <w:spacing w:before="240" w:line="380" w:lineRule="exact"/>
      <w:ind w:right="-284"/>
      <w:outlineLvl w:val="1"/>
    </w:pPr>
    <w:rPr>
      <w:rFonts w:cs="Guttman Drogolin"/>
      <w:b/>
      <w:bCs/>
      <w:sz w:val="32"/>
      <w:szCs w:val="34"/>
    </w:rPr>
  </w:style>
  <w:style w:type="paragraph" w:customStyle="1" w:styleId="20">
    <w:name w:val="כותרת2"/>
    <w:basedOn w:val="a0"/>
    <w:link w:val="22"/>
    <w:uiPriority w:val="99"/>
    <w:rsid w:val="0075394C"/>
    <w:pPr>
      <w:spacing w:before="120" w:after="60" w:line="360" w:lineRule="exact"/>
      <w:ind w:right="0"/>
      <w:jc w:val="center"/>
    </w:pPr>
    <w:rPr>
      <w:rFonts w:cs="Arial"/>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link w:val="ad"/>
    <w:uiPriority w:val="99"/>
    <w:semiHidden/>
    <w:rPr>
      <w:rFonts w:ascii="Times New Roman" w:hAnsi="Times New Roman" w:cs="Narkisim"/>
      <w:sz w:val="20"/>
    </w:rPr>
  </w:style>
  <w:style w:type="paragraph" w:customStyle="1" w:styleId="30">
    <w:name w:val="כותרת3"/>
    <w:basedOn w:val="a"/>
    <w:uiPriority w:val="99"/>
    <w:pPr>
      <w:spacing w:before="120"/>
    </w:pPr>
    <w:rPr>
      <w:b/>
      <w:bCs/>
    </w:rPr>
  </w:style>
  <w:style w:type="paragraph" w:styleId="af">
    <w:name w:val="endnote text"/>
    <w:basedOn w:val="a"/>
    <w:link w:val="af0"/>
    <w:uiPriority w:val="99"/>
    <w:pPr>
      <w:spacing w:after="0" w:line="240" w:lineRule="auto"/>
      <w:jc w:val="left"/>
    </w:pPr>
    <w:rPr>
      <w:szCs w:val="20"/>
    </w:rPr>
  </w:style>
  <w:style w:type="character" w:customStyle="1" w:styleId="af0">
    <w:name w:val="טקסט הערת סיום תו"/>
    <w:link w:val="af"/>
    <w:uiPriority w:val="99"/>
    <w:semiHidden/>
    <w:rPr>
      <w:rFonts w:ascii="Times New Roman" w:hAnsi="Times New Roman" w:cs="Narkisim"/>
      <w:sz w:val="20"/>
      <w:szCs w:val="20"/>
    </w:rPr>
  </w:style>
  <w:style w:type="character" w:styleId="af1">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f2">
    <w:name w:val="פרשה ומחבר"/>
    <w:basedOn w:val="a"/>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2">
    <w:name w:val="כותרת2 תו"/>
    <w:link w:val="20"/>
    <w:rsid w:val="0075394C"/>
    <w:rPr>
      <w:rFonts w:ascii="Times New Roman" w:hAnsi="Times New Roman"/>
      <w:b/>
      <w:bCs/>
      <w:sz w:val="26"/>
      <w:szCs w:val="28"/>
    </w:rPr>
  </w:style>
  <w:style w:type="character" w:customStyle="1" w:styleId="12">
    <w:name w:val="ציטוט תו1"/>
    <w:rsid w:val="00470086"/>
    <w:rPr>
      <w:rFonts w:cs="Narkisim"/>
      <w:szCs w:val="22"/>
      <w:lang w:val="en-US" w:eastAsia="en-US" w:bidi="he-IL"/>
    </w:rPr>
  </w:style>
  <w:style w:type="character" w:customStyle="1" w:styleId="af3">
    <w:name w:val="מקור"/>
    <w:rsid w:val="00470086"/>
    <w:rPr>
      <w:rFonts w:cs="Narkisim"/>
      <w:sz w:val="16"/>
      <w:szCs w:val="16"/>
    </w:rPr>
  </w:style>
  <w:style w:type="character" w:styleId="af4">
    <w:name w:val="annotation reference"/>
    <w:uiPriority w:val="99"/>
    <w:semiHidden/>
    <w:unhideWhenUsed/>
    <w:rsid w:val="002227FC"/>
    <w:rPr>
      <w:sz w:val="16"/>
      <w:szCs w:val="16"/>
    </w:rPr>
  </w:style>
  <w:style w:type="paragraph" w:styleId="af5">
    <w:name w:val="annotation text"/>
    <w:basedOn w:val="a"/>
    <w:link w:val="af6"/>
    <w:uiPriority w:val="99"/>
    <w:semiHidden/>
    <w:unhideWhenUsed/>
    <w:rsid w:val="002227FC"/>
    <w:rPr>
      <w:szCs w:val="20"/>
    </w:rPr>
  </w:style>
  <w:style w:type="character" w:customStyle="1" w:styleId="af6">
    <w:name w:val="טקסט הערה תו"/>
    <w:link w:val="af5"/>
    <w:uiPriority w:val="99"/>
    <w:semiHidden/>
    <w:rsid w:val="002227FC"/>
    <w:rPr>
      <w:rFonts w:ascii="Times New Roman" w:hAnsi="Times New Roman" w:cs="Narkisim"/>
    </w:rPr>
  </w:style>
  <w:style w:type="paragraph" w:styleId="af7">
    <w:name w:val="annotation subject"/>
    <w:basedOn w:val="af5"/>
    <w:next w:val="af5"/>
    <w:link w:val="af8"/>
    <w:uiPriority w:val="99"/>
    <w:semiHidden/>
    <w:unhideWhenUsed/>
    <w:rsid w:val="002227FC"/>
    <w:rPr>
      <w:b/>
      <w:bCs/>
    </w:rPr>
  </w:style>
  <w:style w:type="character" w:customStyle="1" w:styleId="af8">
    <w:name w:val="נושא הערה תו"/>
    <w:link w:val="af7"/>
    <w:uiPriority w:val="99"/>
    <w:semiHidden/>
    <w:rsid w:val="002227FC"/>
    <w:rPr>
      <w:rFonts w:ascii="Times New Roman" w:hAnsi="Times New Roman" w:cs="Narkisim"/>
      <w:b/>
      <w:bCs/>
    </w:rPr>
  </w:style>
  <w:style w:type="paragraph" w:styleId="af9">
    <w:name w:val="Balloon Text"/>
    <w:basedOn w:val="a"/>
    <w:link w:val="afa"/>
    <w:uiPriority w:val="99"/>
    <w:semiHidden/>
    <w:unhideWhenUsed/>
    <w:rsid w:val="002227FC"/>
    <w:pPr>
      <w:spacing w:after="0" w:line="240" w:lineRule="auto"/>
    </w:pPr>
    <w:rPr>
      <w:rFonts w:ascii="Tahoma" w:hAnsi="Tahoma" w:cs="Tahoma"/>
      <w:sz w:val="16"/>
      <w:szCs w:val="16"/>
    </w:rPr>
  </w:style>
  <w:style w:type="character" w:customStyle="1" w:styleId="afa">
    <w:name w:val="טקסט בלונים תו"/>
    <w:link w:val="af9"/>
    <w:uiPriority w:val="99"/>
    <w:semiHidden/>
    <w:rsid w:val="002227FC"/>
    <w:rPr>
      <w:rFonts w:ascii="Tahoma" w:hAnsi="Tahoma" w:cs="Tahoma"/>
      <w:sz w:val="16"/>
      <w:szCs w:val="16"/>
    </w:rPr>
  </w:style>
  <w:style w:type="table" w:styleId="afb">
    <w:name w:val="Table Grid"/>
    <w:basedOn w:val="a2"/>
    <w:uiPriority w:val="59"/>
    <w:rsid w:val="0053551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9B0145"/>
    <w:pPr>
      <w:autoSpaceDE/>
      <w:autoSpaceDN/>
      <w:spacing w:after="200" w:line="276" w:lineRule="auto"/>
      <w:ind w:left="720"/>
      <w:contextualSpacing/>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9762">
      <w:bodyDiv w:val="1"/>
      <w:marLeft w:val="0"/>
      <w:marRight w:val="0"/>
      <w:marTop w:val="0"/>
      <w:marBottom w:val="0"/>
      <w:divBdr>
        <w:top w:val="none" w:sz="0" w:space="0" w:color="auto"/>
        <w:left w:val="none" w:sz="0" w:space="0" w:color="auto"/>
        <w:bottom w:val="none" w:sz="0" w:space="0" w:color="auto"/>
        <w:right w:val="none" w:sz="0" w:space="0" w:color="auto"/>
      </w:divBdr>
    </w:div>
    <w:div w:id="661130678">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584334557">
      <w:bodyDiv w:val="1"/>
      <w:marLeft w:val="0"/>
      <w:marRight w:val="0"/>
      <w:marTop w:val="0"/>
      <w:marBottom w:val="0"/>
      <w:divBdr>
        <w:top w:val="none" w:sz="0" w:space="0" w:color="auto"/>
        <w:left w:val="none" w:sz="0" w:space="0" w:color="auto"/>
        <w:bottom w:val="none" w:sz="0" w:space="0" w:color="auto"/>
        <w:right w:val="none" w:sz="0" w:space="0" w:color="auto"/>
      </w:divBdr>
    </w:div>
    <w:div w:id="1644693481">
      <w:bodyDiv w:val="1"/>
      <w:marLeft w:val="0"/>
      <w:marRight w:val="0"/>
      <w:marTop w:val="0"/>
      <w:marBottom w:val="0"/>
      <w:divBdr>
        <w:top w:val="none" w:sz="0" w:space="0" w:color="auto"/>
        <w:left w:val="none" w:sz="0" w:space="0" w:color="auto"/>
        <w:bottom w:val="none" w:sz="0" w:space="0" w:color="auto"/>
        <w:right w:val="none" w:sz="0" w:space="0" w:color="auto"/>
      </w:divBdr>
    </w:div>
    <w:div w:id="1930774234">
      <w:bodyDiv w:val="1"/>
      <w:marLeft w:val="0"/>
      <w:marRight w:val="0"/>
      <w:marTop w:val="0"/>
      <w:marBottom w:val="0"/>
      <w:divBdr>
        <w:top w:val="none" w:sz="0" w:space="0" w:color="auto"/>
        <w:left w:val="none" w:sz="0" w:space="0" w:color="auto"/>
        <w:bottom w:val="none" w:sz="0" w:space="0" w:color="auto"/>
        <w:right w:val="none" w:sz="0" w:space="0" w:color="auto"/>
      </w:divBdr>
    </w:div>
    <w:div w:id="21414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HE@etzion.org.il" TargetMode="Externa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BFFC2-0671-4B25-924E-8DD40CD8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פרשת שבוע</Template>
  <TotalTime>30</TotalTime>
  <Pages>4</Pages>
  <Words>1666</Words>
  <Characters>8335</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9982</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Yishai Glasner</cp:lastModifiedBy>
  <cp:revision>4</cp:revision>
  <cp:lastPrinted>2003-05-22T09:51:00Z</cp:lastPrinted>
  <dcterms:created xsi:type="dcterms:W3CDTF">2016-01-17T17:20:00Z</dcterms:created>
  <dcterms:modified xsi:type="dcterms:W3CDTF">2016-01-24T14:45:00Z</dcterms:modified>
</cp:coreProperties>
</file>