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D30" w:rsidRPr="00F73BCE" w:rsidRDefault="00227D30" w:rsidP="00227D30">
      <w:pPr>
        <w:pStyle w:val="CC"/>
        <w:keepLines w:val="0"/>
        <w:spacing w:after="0"/>
        <w:ind w:left="0" w:firstLine="0"/>
        <w:jc w:val="center"/>
        <w:rPr>
          <w:rFonts w:ascii="Arial" w:hAnsi="Arial" w:cs="Arial"/>
          <w:sz w:val="24"/>
          <w:szCs w:val="24"/>
          <w:lang w:val="en-GB"/>
        </w:rPr>
      </w:pPr>
      <w:r w:rsidRPr="00F73BCE">
        <w:rPr>
          <w:rFonts w:ascii="Arial" w:hAnsi="Arial" w:cs="Arial"/>
          <w:sz w:val="24"/>
          <w:szCs w:val="24"/>
          <w:lang w:val="en-GB"/>
        </w:rPr>
        <w:t xml:space="preserve">YESHIVAT HAR </w:t>
      </w:r>
      <w:bookmarkStart w:id="0" w:name="_GoBack"/>
      <w:bookmarkEnd w:id="0"/>
      <w:r w:rsidRPr="00F73BCE">
        <w:rPr>
          <w:rFonts w:ascii="Arial" w:hAnsi="Arial" w:cs="Arial"/>
          <w:sz w:val="24"/>
          <w:szCs w:val="24"/>
          <w:lang w:val="en-GB"/>
        </w:rPr>
        <w:t xml:space="preserve">ETZION </w:t>
      </w:r>
    </w:p>
    <w:p w:rsidR="00227D30" w:rsidRPr="00F73BCE" w:rsidRDefault="00227D30" w:rsidP="00227D30">
      <w:pPr>
        <w:pStyle w:val="CC"/>
        <w:keepLines w:val="0"/>
        <w:spacing w:after="0"/>
        <w:ind w:left="0" w:firstLine="0"/>
        <w:jc w:val="center"/>
        <w:rPr>
          <w:rFonts w:ascii="Arial" w:hAnsi="Arial" w:cs="Arial"/>
          <w:sz w:val="24"/>
          <w:szCs w:val="24"/>
          <w:lang w:val="en-GB"/>
        </w:rPr>
      </w:pPr>
      <w:r w:rsidRPr="00F73BCE">
        <w:rPr>
          <w:rFonts w:ascii="Arial" w:hAnsi="Arial" w:cs="Arial"/>
          <w:sz w:val="24"/>
          <w:szCs w:val="24"/>
          <w:lang w:val="en-GB"/>
        </w:rPr>
        <w:t>ISRAEL KOSCHITZKY VIRTUAL BEIT MIDRASH PROJECT (VBM)</w:t>
      </w:r>
    </w:p>
    <w:p w:rsidR="00227D30" w:rsidRPr="00F73BCE" w:rsidRDefault="00227D30" w:rsidP="00227D30">
      <w:pPr>
        <w:pStyle w:val="CC"/>
        <w:keepLines w:val="0"/>
        <w:spacing w:after="0"/>
        <w:ind w:left="0" w:firstLine="0"/>
        <w:jc w:val="center"/>
        <w:rPr>
          <w:rFonts w:ascii="Arial" w:hAnsi="Arial" w:cs="Arial"/>
          <w:sz w:val="24"/>
          <w:szCs w:val="24"/>
          <w:lang w:val="en-GB"/>
        </w:rPr>
      </w:pPr>
      <w:r w:rsidRPr="00F73BCE">
        <w:rPr>
          <w:rFonts w:ascii="Arial" w:hAnsi="Arial" w:cs="Arial"/>
          <w:sz w:val="24"/>
          <w:szCs w:val="24"/>
          <w:lang w:val="en-GB"/>
        </w:rPr>
        <w:t>**************************************************************</w:t>
      </w:r>
    </w:p>
    <w:p w:rsidR="00227D30" w:rsidRPr="00F73BCE" w:rsidRDefault="00227D30" w:rsidP="00227D30">
      <w:pPr>
        <w:pStyle w:val="CC"/>
        <w:keepLines w:val="0"/>
        <w:spacing w:after="0"/>
        <w:ind w:left="0" w:firstLine="0"/>
        <w:jc w:val="center"/>
        <w:rPr>
          <w:rFonts w:ascii="Arial" w:hAnsi="Arial" w:cs="Arial"/>
          <w:sz w:val="24"/>
          <w:szCs w:val="24"/>
          <w:lang w:val="en-GB"/>
        </w:rPr>
      </w:pPr>
    </w:p>
    <w:p w:rsidR="00227D30" w:rsidRPr="00F73BCE" w:rsidRDefault="00227D30" w:rsidP="00227D30">
      <w:pPr>
        <w:pStyle w:val="CC"/>
        <w:keepLines w:val="0"/>
        <w:spacing w:after="0"/>
        <w:ind w:left="0" w:firstLine="0"/>
        <w:jc w:val="center"/>
        <w:rPr>
          <w:rFonts w:ascii="Arial" w:hAnsi="Arial" w:cs="Arial"/>
          <w:sz w:val="24"/>
          <w:szCs w:val="24"/>
          <w:lang w:val="en-GB"/>
        </w:rPr>
      </w:pPr>
      <w:r w:rsidRPr="00F73BCE">
        <w:rPr>
          <w:rFonts w:ascii="Arial" w:hAnsi="Arial" w:cs="Arial"/>
          <w:sz w:val="24"/>
          <w:szCs w:val="24"/>
          <w:lang w:val="en-GB"/>
        </w:rPr>
        <w:t>GEMARA KETUBOT</w:t>
      </w:r>
    </w:p>
    <w:p w:rsidR="00227D30" w:rsidRPr="00F73BCE" w:rsidRDefault="00227D30" w:rsidP="00227D30">
      <w:pPr>
        <w:jc w:val="both"/>
        <w:rPr>
          <w:rFonts w:ascii="Arial" w:hAnsi="Arial" w:cs="Arial"/>
        </w:rPr>
      </w:pPr>
    </w:p>
    <w:p w:rsidR="00227D30" w:rsidRPr="00F73BCE" w:rsidRDefault="00227D30" w:rsidP="00227D30">
      <w:pPr>
        <w:pStyle w:val="CC"/>
        <w:keepLines w:val="0"/>
        <w:spacing w:after="0"/>
        <w:ind w:left="0" w:firstLine="0"/>
        <w:jc w:val="center"/>
        <w:rPr>
          <w:rFonts w:ascii="Arial" w:hAnsi="Arial" w:cs="Arial"/>
          <w:noProof w:val="0"/>
          <w:sz w:val="24"/>
          <w:szCs w:val="24"/>
        </w:rPr>
      </w:pPr>
    </w:p>
    <w:p w:rsidR="00227D30" w:rsidRPr="00F73BCE" w:rsidRDefault="00227D30" w:rsidP="00227D30">
      <w:pPr>
        <w:jc w:val="center"/>
        <w:rPr>
          <w:rFonts w:ascii="Arial" w:hAnsi="Arial" w:cs="Arial"/>
          <w:b/>
          <w:bCs/>
        </w:rPr>
      </w:pPr>
      <w:r w:rsidRPr="00F73BCE">
        <w:rPr>
          <w:rFonts w:ascii="Arial" w:hAnsi="Arial" w:cs="Arial"/>
          <w:b/>
          <w:bCs/>
        </w:rPr>
        <w:t>Shiur #14: The Ketuba of One Hundred, and the Ketuba of Two Hundred</w:t>
      </w:r>
    </w:p>
    <w:p w:rsidR="00227D30" w:rsidRPr="00F73BCE" w:rsidRDefault="00227D30" w:rsidP="00227D30">
      <w:pPr>
        <w:jc w:val="center"/>
        <w:rPr>
          <w:rFonts w:ascii="Arial" w:hAnsi="Arial" w:cs="Arial"/>
          <w:b/>
          <w:bCs/>
        </w:rPr>
      </w:pPr>
      <w:r w:rsidRPr="00F73BCE">
        <w:rPr>
          <w:rFonts w:ascii="Arial" w:hAnsi="Arial" w:cs="Arial"/>
          <w:b/>
          <w:bCs/>
        </w:rPr>
        <w:t>by Rav Yair Kahn</w:t>
      </w:r>
    </w:p>
    <w:p w:rsidR="00227D30" w:rsidRPr="00F73BCE" w:rsidRDefault="00227D30" w:rsidP="00227D30">
      <w:pPr>
        <w:jc w:val="center"/>
        <w:rPr>
          <w:rFonts w:ascii="Arial" w:hAnsi="Arial" w:cs="Arial"/>
        </w:rPr>
      </w:pPr>
      <w:r w:rsidRPr="00F73BCE">
        <w:rPr>
          <w:rFonts w:ascii="Arial" w:hAnsi="Arial" w:cs="Arial"/>
        </w:rPr>
        <w:t>Translated by David Silverberg</w:t>
      </w:r>
    </w:p>
    <w:p w:rsidR="00227D30" w:rsidRPr="00F73BCE" w:rsidRDefault="00227D30" w:rsidP="00227D30">
      <w:pPr>
        <w:jc w:val="both"/>
        <w:rPr>
          <w:rFonts w:ascii="Arial" w:hAnsi="Arial" w:cs="Arial"/>
        </w:rPr>
      </w:pPr>
    </w:p>
    <w:p w:rsidR="00227D30" w:rsidRPr="00F73BCE" w:rsidRDefault="00227D30" w:rsidP="00227D30">
      <w:pPr>
        <w:jc w:val="both"/>
        <w:rPr>
          <w:rFonts w:ascii="Arial" w:hAnsi="Arial" w:cs="Arial"/>
        </w:rPr>
      </w:pPr>
    </w:p>
    <w:p w:rsidR="00227D30" w:rsidRPr="00F73BCE" w:rsidRDefault="00227D30" w:rsidP="00227D30">
      <w:pPr>
        <w:jc w:val="both"/>
        <w:rPr>
          <w:rFonts w:ascii="Arial" w:hAnsi="Arial" w:cs="Arial"/>
        </w:rPr>
      </w:pPr>
      <w:r w:rsidRPr="00F73BCE">
        <w:rPr>
          <w:rFonts w:ascii="Arial" w:hAnsi="Arial" w:cs="Arial"/>
        </w:rPr>
        <w:tab/>
        <w:t>The mishna in the fourth perek (51a) teaches that even if the husband never wrote a ketuba to his wife at the time of their marriage, the wife nevertheless collects the ketuba payment upon divorce or the husband's death.  The mishna specifies that if she was a betula (virgin) at the time of marriage, she collects two hundred zuz, whereas a widow who remarried receives a ketuba payment of one hundred.  From here we learn the basic law of ketuba: two hundred for a betula, one hundred for a widow, and that the obligation is not based upon the groom's commitment.  Our sugya records a dispute among the tanna'im as to the precise definition of "betula" in this regard: "If an adult had relations with a minor [girl], or if a minor had relations with an adult [woman], and a mukat etz [woman whose 'betulim' broke as a result of an accident] - their ketuba is two hundred, according to Rabbi Meir.  The Chakhamim say, the ketuba of a mukat etz is one hundred."  At first glance, it appears that according to Rabbi Meir, even if the woman lacks the physical signs of a betula, halakha still considers her a betula so long as she has yet to engage in intimate relations.  The Chakhamim, however, disagree, and demand the physiological qualities of a betula for a woman to be defined as such.  Therefore, if she lacks the physical signs of virginity, her ketuba is only one hundred, even if she has never had relations.</w:t>
      </w:r>
    </w:p>
    <w:p w:rsidR="00227D30" w:rsidRPr="00F73BCE" w:rsidRDefault="00227D30" w:rsidP="00227D30">
      <w:pPr>
        <w:jc w:val="both"/>
        <w:rPr>
          <w:rFonts w:ascii="Arial" w:hAnsi="Arial" w:cs="Arial"/>
        </w:rPr>
      </w:pPr>
    </w:p>
    <w:p w:rsidR="00227D30" w:rsidRPr="00F73BCE" w:rsidRDefault="00227D30" w:rsidP="00227D30">
      <w:pPr>
        <w:jc w:val="both"/>
        <w:rPr>
          <w:rFonts w:ascii="Arial" w:hAnsi="Arial" w:cs="Arial"/>
        </w:rPr>
      </w:pPr>
      <w:r w:rsidRPr="00F73BCE">
        <w:rPr>
          <w:rFonts w:ascii="Arial" w:hAnsi="Arial" w:cs="Arial"/>
        </w:rPr>
        <w:tab/>
        <w:t>This dispute might reflect different definitions of "betula" throughout halakha.  There are, after all, other areas in which halakha differentiates between a betula and a "be'ula" (a non-virgin).  For example, there are special laws which apply only to a betula concerning oness and mefateh (rape and seduction).  A na'ara me'orasa (betrothed girl) is punished with sekila (stoning) for betraying her fiancee only if she was a betula; a be'ula in such a situation is sentenced to chenek (strangulation).  Furthermore, a kohen gadol is commanded to marry a betula.  In each of these instances we could ask whether the definition of "betula" is physiological or experiential.  One may distinguish between the different areas of halakha, and therefore our discussion will focus mainly on the issue of ketuba.</w:t>
      </w:r>
    </w:p>
    <w:p w:rsidR="00227D30" w:rsidRPr="00F73BCE" w:rsidRDefault="00227D30" w:rsidP="00227D30">
      <w:pPr>
        <w:jc w:val="both"/>
        <w:rPr>
          <w:rFonts w:ascii="Arial" w:hAnsi="Arial" w:cs="Arial"/>
        </w:rPr>
      </w:pPr>
    </w:p>
    <w:p w:rsidR="00227D30" w:rsidRPr="00F73BCE" w:rsidRDefault="00227D30" w:rsidP="00227D30">
      <w:pPr>
        <w:jc w:val="both"/>
        <w:rPr>
          <w:rFonts w:ascii="Arial" w:hAnsi="Arial" w:cs="Arial"/>
        </w:rPr>
      </w:pPr>
      <w:r w:rsidRPr="00F73BCE">
        <w:rPr>
          <w:rFonts w:ascii="Arial" w:hAnsi="Arial" w:cs="Arial"/>
        </w:rPr>
        <w:tab/>
        <w:t xml:space="preserve">According to our understanding of the dispute between Rabbi Meir and the Chakhamim, we could assume that each side would take the opposite stand in the case of a woman who had engaged in "bi'a she-lo ke-darka" (literally, "unusual relations," referring to a sexual act that does not affect the betulim).  According to </w:t>
      </w:r>
      <w:r w:rsidRPr="00F73BCE">
        <w:rPr>
          <w:rFonts w:ascii="Arial" w:hAnsi="Arial" w:cs="Arial"/>
        </w:rPr>
        <w:lastRenderedPageBreak/>
        <w:t>the Chakhamim, such a woman would have a ketuba of a betula, since, physiologically speaking, she retains the characteristics of a betula.  Rabbi Meir, by contrast, would hold that she does not have the status of a betula.  After all, throughout halakha relations she-lo ke-darka are considered a sexual act.  Thus, despite the presence of physical betulim, this woman cannot be deemed a betula, given the occurrence of intimate relations.  Tosefot (39b, s.v. ta'ama), however, assume as self-evident the betula status of a woman who had engaged in bi'a she-lo ke-darka, for purposes of ketuba payment.  They draw evidence from a sugya in Masekhet Kiddushin (10a) which asserts that the laws of oness apply to a girl who had engaged in bi'a she-lo ke-darka and was raped sometime thereafter.  (The sugya there cites a debate between Rebbi and the Chakhamim as to the status of bi'a she-lo ke-darka regarding the punishment of sekila; as to her status vis-à-vis marriage to a kohen gadol, see Yevamot 59a.)  According to our approach, we must ascertain why Tosefot make no distinction between Rabbi Meir and the Chakhamim in this regard.  Perhaps one could argue that according to Rabbi Meir, the status of be'ula can apply only to a woman who is a betula in neither sense of the term; a woman who is a betula either physiologically or in the sense of never having engaged in relations, has a ketuba of two hundred.  However, such a theory is very difficult to accept.  We will return to this problem later.</w:t>
      </w:r>
    </w:p>
    <w:p w:rsidR="00227D30" w:rsidRPr="00F73BCE" w:rsidRDefault="00227D30" w:rsidP="00227D30">
      <w:pPr>
        <w:jc w:val="both"/>
        <w:rPr>
          <w:rFonts w:ascii="Arial" w:hAnsi="Arial" w:cs="Arial"/>
        </w:rPr>
      </w:pPr>
    </w:p>
    <w:p w:rsidR="00227D30" w:rsidRPr="00F73BCE" w:rsidRDefault="00227D30" w:rsidP="00227D30">
      <w:pPr>
        <w:jc w:val="both"/>
        <w:rPr>
          <w:rFonts w:ascii="Arial" w:hAnsi="Arial" w:cs="Arial"/>
        </w:rPr>
      </w:pPr>
      <w:r w:rsidRPr="00F73BCE">
        <w:rPr>
          <w:rFonts w:ascii="Arial" w:hAnsi="Arial" w:cs="Arial"/>
        </w:rPr>
        <w:tab/>
        <w:t xml:space="preserve">The mishna proceeds to posit that a widow from marriage (as opposed to a woman whose fiancee died after betrothal, before the wedding) has a status of a be'ula and receives a ketuba of only one hundred, implying that this holds true according to both Rabbi Meir and the Chakhamim.  Commenting on the mishna, Rashi writes, "She is presumed a be'ula from when she enters the chupa."  In other words, Rashi assumes that bi'a actually took place. Rashi's commentary must be examined in light of the Gemara (11b) which cites the following the berayta: "If the first [husband] had brought her in for purposes of marriage, and she has witnesses that she was not secluded [with him], or if she was secluded but did not remain [there] long enough for relations to occur, the second [husband] cannot submit a complaint [of having not found] betulim, since the first married her."  At face value, the berayta means to say the widow had in fact not engaged in relations with her first husband, just as the witnesses testify.  But here, too, Rashi explains: "Since the first married her - and he should realize that she had relations."  According to Rashi's view, that we assume that this widow had, in fact, engaged in relations with the first husband, she has a status of be'ula according to both Rabbi Meir and the Chakhamim.  The Rambam, however, rules (Hilkhot Ishut 11:1): "One who marries a betula who had been widowed or divorced, or had undergone chalitza - if she was widowed or divorced or underwent chalitza from eirusin [before the wedding], her ketuba is two hundred; if [this occurred] from nisu'in [meaning, after the wedding], her ketuba is one hundred, for once she marries she is like a be'ula."  The Rambam echoing the Talmud Yerushalmi (1:3) writes explicitly that we deal here with a betula, as we had inferred from the berayta, and nevertheless she has the status of a be'ula with respect to the ketuba.  </w:t>
      </w:r>
      <w:r w:rsidRPr="00F73BCE">
        <w:rPr>
          <w:rFonts w:ascii="Arial" w:hAnsi="Arial" w:cs="Arial"/>
        </w:rPr>
        <w:lastRenderedPageBreak/>
        <w:t>This ruling requires explanation, according to both Rabbi Meir and the Chakhamim.</w:t>
      </w:r>
    </w:p>
    <w:p w:rsidR="00227D30" w:rsidRPr="00F73BCE" w:rsidRDefault="00227D30" w:rsidP="00227D30">
      <w:pPr>
        <w:jc w:val="both"/>
        <w:rPr>
          <w:rFonts w:ascii="Arial" w:hAnsi="Arial" w:cs="Arial"/>
        </w:rPr>
      </w:pPr>
    </w:p>
    <w:p w:rsidR="00227D30" w:rsidRPr="00F73BCE" w:rsidRDefault="00227D30" w:rsidP="00227D30">
      <w:pPr>
        <w:jc w:val="both"/>
        <w:rPr>
          <w:rFonts w:ascii="Arial" w:hAnsi="Arial" w:cs="Arial"/>
        </w:rPr>
      </w:pPr>
      <w:r w:rsidRPr="00F73BCE">
        <w:rPr>
          <w:rFonts w:ascii="Arial" w:hAnsi="Arial" w:cs="Arial"/>
        </w:rPr>
        <w:tab/>
        <w:t>The Gemara (11b) records an argument between Rav and Shemuel concerning the status of an adult woman who had relations with a minor: "Rav Yehuda said in the name of Rav, a minor [meaning, a boy under the age of nine, whose sexual activity does not halakhically qualify as bi'a] who has relations with an adult woman renders her a mukat etz.  When I said this before Shemuel, he said, 'A mukat etz cannot occur with flesh [but rather only when the betulim are broken through a non-sexual incident]'."  Before proceeding, we must understand the case, which is the subject of this debate.  If relations with a minor does, indeed, break the betulim, why, according to Shemuel, do we not consider the woman a mukat etz?  Tosefot (s.v. u-Shemuel) explain, "We deal here [with a case where] the betulim are not lost, for otherwise, why should she be any less than a mukat etz?"  The Yerushalmi (1:3) explicitly follows this approach: "When a minor has relations with an adult woman, her betulim do not return!  Rabbi Avin said, interpret [the mishna as referring to a case where] he had relations with her she-lo ke-darka.  Rabbi Yossi B'Rabbi Avin said, even if the relations were normal, a minor's sexual act is considered a sexual act, but he lacks the strength to affect the simanim [= betulim]."  This explains Shemuel's view, but Rav's position becomes difficult to understand.  Why should she have the status of a mukat etz and lose her two hundred-zuz ketuba according to the Chakhamim, if her betulim remain?  (The Rid takes a completely different - but difficult - approach in explaining this sugya.)</w:t>
      </w:r>
    </w:p>
    <w:p w:rsidR="00227D30" w:rsidRPr="00F73BCE" w:rsidRDefault="00227D30" w:rsidP="00227D30">
      <w:pPr>
        <w:jc w:val="both"/>
        <w:rPr>
          <w:rFonts w:ascii="Arial" w:hAnsi="Arial" w:cs="Arial"/>
        </w:rPr>
      </w:pPr>
    </w:p>
    <w:p w:rsidR="00227D30" w:rsidRPr="00F73BCE" w:rsidRDefault="00227D30" w:rsidP="00227D30">
      <w:pPr>
        <w:jc w:val="both"/>
        <w:rPr>
          <w:rFonts w:ascii="Arial" w:hAnsi="Arial" w:cs="Arial"/>
        </w:rPr>
      </w:pPr>
      <w:r w:rsidRPr="00F73BCE">
        <w:rPr>
          <w:rFonts w:ascii="Arial" w:hAnsi="Arial" w:cs="Arial"/>
        </w:rPr>
        <w:tab/>
        <w:t>It thus emerges that according to the Chakhamim, a mukat etz does not lose her betula status with regard to the ketuba only because of the physical absence of betulim.  After all, according to the Yerushalmi, a woman loses her two hundred-zuz ketuba by virtue of having engaged in relations with a minor - despite the fact that this act has no physical effect whatsoever.  Conversely, the Yerushalmi says explicitly that a bogeret (fully matured woman) lacks certain physical characteristics of a betula, and yet she receives a full ketuba payment like all betulot.  In other words, according to the Talmud Yerushalmi, the position of the Chakhamim is not based on the bride's physiological characteristics.  This is a welcome position since it is unreasonable that a woman should lose rights to a full ketuba payment simply because of the absence of the physical properties of a betula, although she had never engaged in intimate relations.  However, we have yet to explain the Chakhamim's position, that a mukat etz has the status of a be'ula with respect to the ketuba payment.</w:t>
      </w:r>
    </w:p>
    <w:p w:rsidR="00227D30" w:rsidRPr="00F73BCE" w:rsidRDefault="00227D30" w:rsidP="00227D30">
      <w:pPr>
        <w:jc w:val="both"/>
        <w:rPr>
          <w:rFonts w:ascii="Arial" w:hAnsi="Arial" w:cs="Arial"/>
        </w:rPr>
      </w:pPr>
    </w:p>
    <w:p w:rsidR="00227D30" w:rsidRPr="00F73BCE" w:rsidRDefault="00227D30" w:rsidP="00227D30">
      <w:pPr>
        <w:jc w:val="both"/>
        <w:rPr>
          <w:rFonts w:ascii="Arial" w:hAnsi="Arial" w:cs="Arial"/>
        </w:rPr>
      </w:pPr>
      <w:r w:rsidRPr="00F73BCE">
        <w:rPr>
          <w:rFonts w:ascii="Arial" w:hAnsi="Arial" w:cs="Arial"/>
        </w:rPr>
        <w:tab/>
        <w:t xml:space="preserve">In summary, we find instances of women who are not betulot - such as a case of she-lo ke-darka - yet receive a full ketuba of two hundred, and we have situations of women who lose rights to a full ketuba despite never having engaged in relations and having the physical signs of virginity - a widow from marriage according to the Rambam.  Additionally, according to the Chakhamim's view, that the betula status depends on the physical presence of betulim, and we thus </w:t>
      </w:r>
      <w:r w:rsidRPr="00F73BCE">
        <w:rPr>
          <w:rFonts w:ascii="Arial" w:hAnsi="Arial" w:cs="Arial"/>
        </w:rPr>
        <w:lastRenderedPageBreak/>
        <w:t>consider a mukat etz a be'ula with respect to ketuba payment, some women nevertheless have a status of a mukat etz despite the presence of betulim (i.e. a woman who had relations with a minor).</w:t>
      </w:r>
    </w:p>
    <w:p w:rsidR="00227D30" w:rsidRPr="00F73BCE" w:rsidRDefault="00227D30" w:rsidP="00227D30">
      <w:pPr>
        <w:jc w:val="both"/>
        <w:rPr>
          <w:rFonts w:ascii="Arial" w:hAnsi="Arial" w:cs="Arial"/>
        </w:rPr>
      </w:pPr>
    </w:p>
    <w:p w:rsidR="00227D30" w:rsidRPr="00F73BCE" w:rsidRDefault="00227D30" w:rsidP="00F73BCE">
      <w:pPr>
        <w:jc w:val="both"/>
        <w:rPr>
          <w:rFonts w:ascii="Arial" w:hAnsi="Arial" w:cs="Arial"/>
        </w:rPr>
      </w:pPr>
      <w:r w:rsidRPr="00F73BCE">
        <w:rPr>
          <w:rFonts w:ascii="Arial" w:hAnsi="Arial" w:cs="Arial"/>
        </w:rPr>
        <w:tab/>
        <w:t xml:space="preserve">In light of all of this, we must concede that the distinction between the ketuba of two hundred and the ketuba of one hundred does not depend solely on the woman's definition as a betula.  It then behooves us to clarify wherein precisely this distinction lies.  Furthermore, we should ask ourselves why did the Sages differentiate between the ketuba of a betula and that of a be'ula?  Moreover, according to the view that the ketuba is required by Torah law, this applies only to the ketuba of a betula.  All agree that the ketuba for a be'ula was introduced by Chazal; according to Torah law, a be'ula has no ketuba at all.  This seems very difficult to understand.  The ketuba requirement is intended to ensure that the husband will not consider divorce lightly.  By taking upon himself the ketuba obligation, the groom commits himself to the marriage; if he revokes this pledge, he must pay the ketuba sum to his wife.  If so, then why should any distinction exist between a betula and be'ula in this regard?  </w:t>
      </w:r>
    </w:p>
    <w:p w:rsidR="00227D30" w:rsidRPr="00F73BCE" w:rsidRDefault="00227D30" w:rsidP="00227D30">
      <w:pPr>
        <w:jc w:val="both"/>
        <w:rPr>
          <w:rFonts w:ascii="Arial" w:hAnsi="Arial" w:cs="Arial"/>
        </w:rPr>
      </w:pPr>
    </w:p>
    <w:p w:rsidR="00227D30" w:rsidRPr="00F73BCE" w:rsidRDefault="00227D30" w:rsidP="00227D30">
      <w:pPr>
        <w:jc w:val="both"/>
        <w:rPr>
          <w:rFonts w:ascii="Arial" w:hAnsi="Arial" w:cs="Arial"/>
        </w:rPr>
      </w:pPr>
      <w:r w:rsidRPr="00F73BCE">
        <w:rPr>
          <w:rFonts w:ascii="Arial" w:hAnsi="Arial" w:cs="Arial"/>
        </w:rPr>
        <w:tab/>
        <w:t>In order to understand the meaning behind this sugya, let us look at the illuminating comments of the Yerushalmi (1:3):</w:t>
      </w:r>
    </w:p>
    <w:p w:rsidR="00227D30" w:rsidRPr="00F73BCE" w:rsidRDefault="00227D30" w:rsidP="00227D30">
      <w:pPr>
        <w:jc w:val="both"/>
        <w:rPr>
          <w:rFonts w:ascii="Arial" w:hAnsi="Arial" w:cs="Arial"/>
        </w:rPr>
      </w:pPr>
    </w:p>
    <w:p w:rsidR="00227D30" w:rsidRPr="00F73BCE" w:rsidRDefault="00227D30" w:rsidP="00227D30">
      <w:pPr>
        <w:ind w:left="720"/>
        <w:jc w:val="both"/>
        <w:rPr>
          <w:rFonts w:ascii="Arial" w:hAnsi="Arial" w:cs="Arial"/>
        </w:rPr>
      </w:pPr>
      <w:r w:rsidRPr="00F73BCE">
        <w:rPr>
          <w:rFonts w:ascii="Arial" w:hAnsi="Arial" w:cs="Arial"/>
        </w:rPr>
        <w:t xml:space="preserve">"They [the Chakhamim] asked Rabbi Meir [who holds that a mukat etz receives a ketuba of two hundred], there are no betulim here - and you say that the ketuba is two hundred?!  He answered them: Does this depend on betulim?  Does not a bogeret, who does not have betulim, receive a ketuba of two hundred, and does not a betula from marriage have betulim, but yet receives a ketuba of one hundred!  Why is this?  A bogeret has not lost her 'chinna' [literally, charm, or appeal]; a betula from marriage has lost her 'chinna.'  Wherein lies this dispute?  With regard to a mukat etz: Rabbi Meir says she has not lost her chinna, whereas the Rabbanan say that she has lost her chinna."  </w:t>
      </w:r>
    </w:p>
    <w:p w:rsidR="00227D30" w:rsidRPr="00F73BCE" w:rsidRDefault="00227D30" w:rsidP="00227D30">
      <w:pPr>
        <w:jc w:val="both"/>
        <w:rPr>
          <w:rFonts w:ascii="Arial" w:hAnsi="Arial" w:cs="Arial"/>
        </w:rPr>
      </w:pPr>
    </w:p>
    <w:p w:rsidR="00227D30" w:rsidRPr="00F73BCE" w:rsidRDefault="00227D30" w:rsidP="00227D30">
      <w:pPr>
        <w:pStyle w:val="BodyText2"/>
        <w:spacing w:line="240" w:lineRule="auto"/>
        <w:rPr>
          <w:rFonts w:ascii="Arial" w:hAnsi="Arial" w:cs="Arial"/>
          <w:sz w:val="24"/>
        </w:rPr>
      </w:pPr>
      <w:r w:rsidRPr="00F73BCE">
        <w:rPr>
          <w:rFonts w:ascii="Arial" w:hAnsi="Arial" w:cs="Arial"/>
          <w:sz w:val="24"/>
        </w:rPr>
        <w:t>It thus emerges from the Yerushalmi that Rabbi Meir and the Chakhamim agree that the distinction between the ketuba of one hundred and that of two hundred depend upon not the formal status of betula, but rather the concept of "chinna."  This is a hard concept to define, and it is unclear wherein lies its importance. Therefore, at face value, the criterion of the Yerushalmi is ambiguous and enigmatic.</w:t>
      </w:r>
    </w:p>
    <w:p w:rsidR="00227D30" w:rsidRPr="00F73BCE" w:rsidRDefault="00227D30" w:rsidP="00227D30">
      <w:pPr>
        <w:jc w:val="both"/>
        <w:rPr>
          <w:rFonts w:ascii="Arial" w:hAnsi="Arial" w:cs="Arial"/>
        </w:rPr>
      </w:pPr>
    </w:p>
    <w:p w:rsidR="00227D30" w:rsidRPr="00F73BCE" w:rsidRDefault="00227D30" w:rsidP="00F73BCE">
      <w:pPr>
        <w:jc w:val="both"/>
        <w:rPr>
          <w:rFonts w:ascii="Arial" w:hAnsi="Arial" w:cs="Arial"/>
        </w:rPr>
      </w:pPr>
      <w:r w:rsidRPr="00F73BCE">
        <w:rPr>
          <w:rFonts w:ascii="Arial" w:hAnsi="Arial" w:cs="Arial"/>
        </w:rPr>
        <w:tab/>
        <w:t xml:space="preserve">We learn from the words of our Sages that a certain quality lies at the core of marriage with a betula that does not exist in a marriage with a widow, and Chazal refer to this quality as "chinna."  It seems to me that this "chinna" stems from the exclusivity of the connection between bride and groom.  A wedding is essentially the entrance into a covenant of marriage, and the basis of a covenant between two parties is the singularity and exclusivity of this relationship, </w:t>
      </w:r>
      <w:r w:rsidR="00F73BCE">
        <w:rPr>
          <w:rFonts w:ascii="Arial" w:hAnsi="Arial" w:cs="Arial"/>
        </w:rPr>
        <w:t>insofar as</w:t>
      </w:r>
      <w:r w:rsidRPr="00F73BCE">
        <w:rPr>
          <w:rFonts w:ascii="Arial" w:hAnsi="Arial" w:cs="Arial"/>
        </w:rPr>
        <w:t xml:space="preserve"> only they take part in this covenant.  Chazal refer to betrothal (eirusin) with the </w:t>
      </w:r>
      <w:r w:rsidRPr="00F73BCE">
        <w:rPr>
          <w:rFonts w:ascii="Arial" w:hAnsi="Arial" w:cs="Arial"/>
        </w:rPr>
        <w:lastRenderedPageBreak/>
        <w:t>term, "kiddushin" because in betrothing a woman, a man renders her forbidden to all other men like hekdesh (sacred property; see Kiddushin 2b).  Specifically through this process, of becoming forbidden to all other men, the woman becomes special and exclusively designated for her husband.  Every wedding is built upon this singularity, which demands exclusive loyalty throughout the marriage.  The essential quality of this covenant becomes particularly pronounced when dealing with a marriage to a betula, who never had any such bond with another man.  In such a case, the covenant reflects a more profound commitment which finds expression in the ketuba, through which the husband proclaims, "I have betrothed you forever" and has no intention of ever breaking this bond with his wife, and that should he violate this commitment, he must pay her the ketuba money.  Accordingly, we can understand why the Torah required the marriage of a kohen gadol specifically to a betula, since it reflects a relationship that is qualitatively different, and a commitment that is more profound.</w:t>
      </w:r>
    </w:p>
    <w:p w:rsidR="00227D30" w:rsidRPr="00F73BCE" w:rsidRDefault="00227D30" w:rsidP="00227D30">
      <w:pPr>
        <w:jc w:val="both"/>
        <w:rPr>
          <w:rFonts w:ascii="Arial" w:hAnsi="Arial" w:cs="Arial"/>
        </w:rPr>
      </w:pPr>
    </w:p>
    <w:p w:rsidR="00227D30" w:rsidRPr="00F73BCE" w:rsidRDefault="00227D30" w:rsidP="00F73BCE">
      <w:pPr>
        <w:jc w:val="both"/>
        <w:rPr>
          <w:rFonts w:ascii="Arial" w:hAnsi="Arial" w:cs="Arial"/>
        </w:rPr>
      </w:pPr>
      <w:r w:rsidRPr="00F73BCE">
        <w:rPr>
          <w:rFonts w:ascii="Arial" w:hAnsi="Arial" w:cs="Arial"/>
        </w:rPr>
        <w:tab/>
        <w:t xml:space="preserve">The masekhet that deals with the laws of divorce (Gittin) concludes as follows: "'Ki sanei shalach' (Malakhi 2:16) - Rabbi Yehuda says, if you despise her, send her away.  Rabbi Yochanan says, the one who sends away is despised.  They do not argue; one refers to one's initial spouse, the other refers to one's second spouse, as Rabbi Elazar said: Whoever divorces his first wife - even the altar sheds tears over him, as it says, 'And this you do as well: You cover the altar of the Lord with tears, weeping and moaning, so that He refuses to regard anymore the meal offering or accept favor from you.  But you ask, 'Because of what?'  Because the Lord is a witness between you and the wife of your youth whom you have betrayed, though she is your partner and covenanted spouse'" (Gittin 90b).  We see that there exists a unique covenant with one's first spouse, referred to as his "covenanted spouse," and breaking this covenant through divorce constitutes a form of betrayal.  In Masekhet Sanhedrin (22a), the Gemara describes further the uniqueness of one's initial marriage: </w:t>
      </w:r>
    </w:p>
    <w:p w:rsidR="00227D30" w:rsidRPr="00F73BCE" w:rsidRDefault="00227D30" w:rsidP="00227D30">
      <w:pPr>
        <w:jc w:val="both"/>
        <w:rPr>
          <w:rFonts w:ascii="Arial" w:hAnsi="Arial" w:cs="Arial"/>
        </w:rPr>
      </w:pPr>
    </w:p>
    <w:p w:rsidR="00227D30" w:rsidRPr="00F73BCE" w:rsidRDefault="00227D30" w:rsidP="00227D30">
      <w:pPr>
        <w:ind w:left="720"/>
        <w:jc w:val="both"/>
        <w:rPr>
          <w:rFonts w:ascii="Arial" w:hAnsi="Arial" w:cs="Arial"/>
        </w:rPr>
      </w:pPr>
      <w:r w:rsidRPr="00F73BCE">
        <w:rPr>
          <w:rFonts w:ascii="Arial" w:hAnsi="Arial" w:cs="Arial"/>
        </w:rPr>
        <w:t xml:space="preserve">"Rabbi Yochanan said: Anyone whose first wife died - it is as if the Temple was destroyed in his lifetime, as it says, 'O mortal, I am about to take away the delight of your eyes from you through pestilence; … and it says, 'I spoke to the people in the morning, and my wife died that evening,' and it says, 'I am going to desecrate My Sanctuary, your pride and glory, the delight of your eyes' (Yechezkel 24:16-21)… Rabba Bar Bar Chana said in the name of Rabbi Yochanan, pairing off is as difficult as splitting the sea, as it says, 'God restores the lonely to their homes, sets free the imprisoned' (Tehillim 68:7).  Is this so?  Did not Rav Yehuda say in the name of Rav: Forty days before the formation of the newborn a Heavenly voice calls out and declares, 'The daughter of so-and-so for so-and-so'?  This is no question: One refers to the initial match, the other to the second match.  Rav Shemuel Bar Nachman said, everything can be exchanged except the wife of one's youth, as it says, 'Can one cast off the wife of his youth!' (Yeshayahu 54:6).  Rav Yehuda taught his son, Rav Yitzchak: A person </w:t>
      </w:r>
      <w:r w:rsidRPr="00F73BCE">
        <w:rPr>
          <w:rFonts w:ascii="Arial" w:hAnsi="Arial" w:cs="Arial"/>
        </w:rPr>
        <w:lastRenderedPageBreak/>
        <w:t>finds peace of mind only with his first wife, as it says, 'Let your fountain be blessed; find joy in the wife of your youth' (Mishlei 5:18)."</w:t>
      </w:r>
    </w:p>
    <w:p w:rsidR="00227D30" w:rsidRPr="00F73BCE" w:rsidRDefault="00227D30" w:rsidP="00227D30">
      <w:pPr>
        <w:jc w:val="both"/>
        <w:rPr>
          <w:rFonts w:ascii="Arial" w:hAnsi="Arial" w:cs="Arial"/>
        </w:rPr>
      </w:pPr>
    </w:p>
    <w:p w:rsidR="00227D30" w:rsidRPr="00F73BCE" w:rsidRDefault="00227D30" w:rsidP="00227D30">
      <w:pPr>
        <w:jc w:val="both"/>
        <w:rPr>
          <w:rFonts w:ascii="Arial" w:hAnsi="Arial" w:cs="Arial"/>
        </w:rPr>
      </w:pPr>
      <w:r w:rsidRPr="00F73BCE">
        <w:rPr>
          <w:rFonts w:ascii="Arial" w:hAnsi="Arial" w:cs="Arial"/>
        </w:rPr>
        <w:tab/>
        <w:t>Chazal expressed this unique bond with a single word: "chinna."  I am convinced that our Sages drew this ambiguous term from Scripture.  The verse in Parashat Ki-Tetze reads: "A man takes a wife and sleeps with her.  She fails to please him ['lo timtza CHEN be-einav'] because he finds something wrong with her, he writes her a bill of divorce, hands it to her and sends her away from his house.  She leaves his household and becomes the wife of another man; then this latter man despises her, so he writes her a bill of divorce, hands it to her and sends her away from his house" (Devarim 24:1-3).  Only in describing the first marriage does the Torah find it necessary to attribute its failure to the woman's not having found "chen" (favor, the Hebrew equivalent of the Aramaic, "chinna") in the husband's eyes.  The second marriage ends without this "excuse."  We thus see that the concept of "chen" applies only to the original marriage, and only when this element is lacking may a husband divorce his first wife.  However, if "chen" is extant, divorce of the first wife should not be entertained.</w:t>
      </w:r>
    </w:p>
    <w:p w:rsidR="00227D30" w:rsidRPr="00F73BCE" w:rsidRDefault="00227D30" w:rsidP="00227D30">
      <w:pPr>
        <w:jc w:val="both"/>
        <w:rPr>
          <w:rFonts w:ascii="Arial" w:hAnsi="Arial" w:cs="Arial"/>
        </w:rPr>
      </w:pPr>
    </w:p>
    <w:p w:rsidR="00227D30" w:rsidRPr="00F73BCE" w:rsidRDefault="00227D30" w:rsidP="00227D30">
      <w:pPr>
        <w:jc w:val="both"/>
        <w:rPr>
          <w:rFonts w:ascii="Arial" w:hAnsi="Arial" w:cs="Arial"/>
        </w:rPr>
      </w:pPr>
      <w:r w:rsidRPr="00F73BCE">
        <w:rPr>
          <w:rFonts w:ascii="Arial" w:hAnsi="Arial" w:cs="Arial"/>
        </w:rPr>
        <w:tab/>
        <w:t>If so, then the ketuba of a betula reflects the deep sense of commitment that exists between bride and groom specifically in their first marriage.  Although Chazal prescribed a ketuba for a widow, as well, the lower amount indicates a lower level of commitment.  We similarly find that the Bet Din for kohanim would collect for the daughter of a kohen who is a betula an amount of four hundred zuz (see 12a).  According to our approach, we may explain that this signifies not only a larger financial responsibility, but also an attempt to further deepen the husband's sense of commitment (perhaps related to the prohibition against a kohen marrying a divorcee).  Obviously, everything we say applies on the general, categorical level; on the personal level, we may certainly encounter the opposite situation, where a person marries a betula with a lesser sense of commitment than another has when marrying a be'ula.</w:t>
      </w:r>
    </w:p>
    <w:p w:rsidR="00227D30" w:rsidRPr="00F73BCE" w:rsidRDefault="00227D30" w:rsidP="00227D30">
      <w:pPr>
        <w:jc w:val="both"/>
        <w:rPr>
          <w:rFonts w:ascii="Arial" w:hAnsi="Arial" w:cs="Arial"/>
        </w:rPr>
      </w:pPr>
    </w:p>
    <w:p w:rsidR="00227D30" w:rsidRPr="00F73BCE" w:rsidRDefault="00227D30" w:rsidP="00227D30">
      <w:pPr>
        <w:jc w:val="both"/>
        <w:rPr>
          <w:rFonts w:ascii="Arial" w:hAnsi="Arial" w:cs="Arial"/>
        </w:rPr>
      </w:pPr>
      <w:r w:rsidRPr="00F73BCE">
        <w:rPr>
          <w:rFonts w:ascii="Arial" w:hAnsi="Arial" w:cs="Arial"/>
        </w:rPr>
        <w:tab/>
        <w:t>Let us now return to the Rambam's position, that a widow from marriage receives a ketuba of only one hundred despite her never having engaged in relations with the husband.  We questioned this ruling in light of the simple fact that this woman is a betula in both senses of the term.  Why, then, does she lose her betula status regarding her ketuba?  According to what we have explained, the answer is simple.  Clearly, a woman who marries another man loses her quality of "chen" that enables the exclusive covenant between her and her husband.  This woman already entered into a marriage covenant with another man, thereby infringing upon the exclusivity of her second marriage.</w:t>
      </w:r>
    </w:p>
    <w:p w:rsidR="00227D30" w:rsidRPr="00F73BCE" w:rsidRDefault="00227D30" w:rsidP="00227D30">
      <w:pPr>
        <w:jc w:val="both"/>
        <w:rPr>
          <w:rFonts w:ascii="Arial" w:hAnsi="Arial" w:cs="Arial"/>
        </w:rPr>
      </w:pPr>
    </w:p>
    <w:p w:rsidR="00227D30" w:rsidRPr="00F73BCE" w:rsidRDefault="00227D30" w:rsidP="00F73BCE">
      <w:pPr>
        <w:jc w:val="both"/>
        <w:rPr>
          <w:rFonts w:ascii="Arial" w:hAnsi="Arial" w:cs="Arial"/>
        </w:rPr>
      </w:pPr>
      <w:r w:rsidRPr="00F73BCE">
        <w:rPr>
          <w:rFonts w:ascii="Arial" w:hAnsi="Arial" w:cs="Arial"/>
        </w:rPr>
        <w:tab/>
        <w:t xml:space="preserve">In a case, however, of bi'a she-lo ke-darka, the status of such an encounter as a sexual act applies only to the laws of arayot (forbidden sexual relationships).  Meaning, with regard to the prohibitions against relations with certain people, this type of encounter qualifies as a sexual act with which one can violate the arayot strictures.  </w:t>
      </w:r>
      <w:r w:rsidR="00F73BCE">
        <w:rPr>
          <w:rFonts w:ascii="Arial" w:hAnsi="Arial" w:cs="Arial"/>
        </w:rPr>
        <w:t xml:space="preserve">However, it is not a marital act and does not constitute a </w:t>
      </w:r>
      <w:r w:rsidRPr="00F73BCE">
        <w:rPr>
          <w:rFonts w:ascii="Arial" w:hAnsi="Arial" w:cs="Arial"/>
        </w:rPr>
        <w:t xml:space="preserve">previous </w:t>
      </w:r>
      <w:r w:rsidRPr="00F73BCE">
        <w:rPr>
          <w:rFonts w:ascii="Arial" w:hAnsi="Arial" w:cs="Arial"/>
        </w:rPr>
        <w:lastRenderedPageBreak/>
        <w:t>relationship unless performed within the context of marriage: "A husband makes her a be'ula [through relations] she-lo ke-darka, but another [man] does not make her a be'ula [through relations] she-lo ke-darka" (Kiddushin 9b).  Just as physical affection without the sexual act does not render a woman a be'ula with respect to the ketuba, the same is true of relations she-lo ke-darka, as only a previous relationship undermines the "covenant" quality of the current marriage.</w:t>
      </w:r>
    </w:p>
    <w:p w:rsidR="00227D30" w:rsidRPr="00F73BCE" w:rsidRDefault="00227D30" w:rsidP="00227D30">
      <w:pPr>
        <w:jc w:val="both"/>
        <w:rPr>
          <w:rFonts w:ascii="Arial" w:hAnsi="Arial" w:cs="Arial"/>
        </w:rPr>
      </w:pPr>
    </w:p>
    <w:p w:rsidR="00227D30" w:rsidRPr="00F73BCE" w:rsidRDefault="00227D30" w:rsidP="00227D30">
      <w:pPr>
        <w:jc w:val="both"/>
        <w:rPr>
          <w:rFonts w:ascii="Arial" w:hAnsi="Arial" w:cs="Arial"/>
        </w:rPr>
      </w:pPr>
      <w:r w:rsidRPr="00F73BCE">
        <w:rPr>
          <w:rFonts w:ascii="Arial" w:hAnsi="Arial" w:cs="Arial"/>
        </w:rPr>
        <w:tab/>
        <w:t>Rabbi Meir and the Chakhamim debate the status of a mukat etz.  In light of what we have seen, the Chakhamim's position seems, at first glance, untenable.  In what way has the covenant of marriage been compromised by an unfortunate accident which renders a woman a mukat etz?  As we have seen, the Yerushalmi asserts that Rabbi Meir and the Chakhamim argue as to whether a mukat etz retains her "chinna."  We may perhaps explain that this dispute relates to differing perspectives regarding "chen."  According to Rabbi Meir, a mukat etz receives a full ketuba of two hundred because objectively speaking, nothing has occurred that could prevent the establishment of a complete marriage covenant.  The Chakhamim, by contrast, look not at the objective reality, but rather from the frame of reference of the husband who marries a woman missing her betulim due to unnatural causes, and may become suspicious.  If the husband is plagued by doubt</w:t>
      </w:r>
      <w:r w:rsidR="00F73BCE">
        <w:rPr>
          <w:rFonts w:ascii="Arial" w:hAnsi="Arial" w:cs="Arial"/>
        </w:rPr>
        <w:t xml:space="preserve"> subjectively</w:t>
      </w:r>
      <w:r w:rsidRPr="00F73BCE">
        <w:rPr>
          <w:rFonts w:ascii="Arial" w:hAnsi="Arial" w:cs="Arial"/>
        </w:rPr>
        <w:t>, he cannot establish a marriage covenant in the fullest sense of the term.  The Chakhamim take into consideration the subjective, psychological reality, whereas Rabbi Meir focuses on the objective conditions.</w:t>
      </w:r>
    </w:p>
    <w:p w:rsidR="00227D30" w:rsidRPr="00F73BCE" w:rsidRDefault="00227D30" w:rsidP="00227D30">
      <w:pPr>
        <w:jc w:val="both"/>
        <w:rPr>
          <w:rFonts w:ascii="Arial" w:hAnsi="Arial" w:cs="Arial"/>
        </w:rPr>
      </w:pPr>
    </w:p>
    <w:p w:rsidR="00227D30" w:rsidRPr="00F73BCE" w:rsidRDefault="00227D30" w:rsidP="00227D30">
      <w:pPr>
        <w:jc w:val="both"/>
        <w:rPr>
          <w:rFonts w:ascii="Arial" w:hAnsi="Arial" w:cs="Arial"/>
        </w:rPr>
      </w:pPr>
      <w:r w:rsidRPr="00F73BCE">
        <w:rPr>
          <w:rFonts w:ascii="Arial" w:hAnsi="Arial" w:cs="Arial"/>
        </w:rPr>
        <w:tab/>
        <w:t>The same applies to a case where the woman had engaged in relations with a minor, according to Rav's view.  Although the encounter has no physical effect on the woman, according to Tosefot's reading, she has the status of a mukat etz, such that the value of her ketuba becomes subject to the debate between Rabbi Meir and the Chakhamim.  Rabbi Meir holds that she has the status of a betula because objectively, such an encounter (with a child under the age of nine) does not halakhically qualify as a sexual act.  On the subjective plane, however, relations with a minor may very well infringe upon the quality of "chen" as it lowers the chances for the establishment of a deep covenant of exclusive marriage.  The obstacle results from the husband's knowledge of this past incident, even if objectively we do not award any significance to that act.</w:t>
      </w:r>
    </w:p>
    <w:p w:rsidR="00227D30" w:rsidRPr="00F73BCE" w:rsidRDefault="00227D30" w:rsidP="00227D30">
      <w:pPr>
        <w:jc w:val="both"/>
        <w:rPr>
          <w:rFonts w:ascii="Arial" w:hAnsi="Arial" w:cs="Arial"/>
        </w:rPr>
      </w:pPr>
    </w:p>
    <w:p w:rsidR="00227D30" w:rsidRPr="00F73BCE" w:rsidRDefault="00227D30" w:rsidP="00227D30">
      <w:pPr>
        <w:jc w:val="both"/>
        <w:rPr>
          <w:rFonts w:ascii="Arial" w:hAnsi="Arial" w:cs="Arial"/>
        </w:rPr>
      </w:pPr>
      <w:r w:rsidRPr="00F73BCE">
        <w:rPr>
          <w:rFonts w:ascii="Arial" w:hAnsi="Arial" w:cs="Arial"/>
        </w:rPr>
        <w:t>Summary:</w:t>
      </w:r>
    </w:p>
    <w:p w:rsidR="00227D30" w:rsidRPr="00F73BCE" w:rsidRDefault="00227D30" w:rsidP="00227D30">
      <w:pPr>
        <w:jc w:val="both"/>
        <w:rPr>
          <w:rFonts w:ascii="Arial" w:hAnsi="Arial" w:cs="Arial"/>
        </w:rPr>
      </w:pPr>
      <w:r w:rsidRPr="00F73BCE">
        <w:rPr>
          <w:rFonts w:ascii="Arial" w:hAnsi="Arial" w:cs="Arial"/>
        </w:rPr>
        <w:tab/>
        <w:t>Based on the Talmud Yerushalmi, we shifted the question of ketuba from the definition of betula (physiological or experiential) to the parameters of "chen."  In so doing, we showed how the ketuba is not merely a monetary obligation undertaken by the husband before the marriage, but is actually an expression of the level of commitment which is basic to the entire institution of marriage in Judaism.</w:t>
      </w:r>
    </w:p>
    <w:p w:rsidR="00227D30" w:rsidRPr="00F73BCE" w:rsidRDefault="00227D30" w:rsidP="00227D30">
      <w:pPr>
        <w:jc w:val="both"/>
        <w:rPr>
          <w:rFonts w:ascii="Arial" w:hAnsi="Arial" w:cs="Arial"/>
        </w:rPr>
      </w:pPr>
    </w:p>
    <w:p w:rsidR="00227D30" w:rsidRPr="00F73BCE" w:rsidRDefault="00227D30" w:rsidP="00227D30">
      <w:pPr>
        <w:jc w:val="both"/>
        <w:rPr>
          <w:rFonts w:ascii="Arial" w:hAnsi="Arial" w:cs="Arial"/>
        </w:rPr>
      </w:pPr>
    </w:p>
    <w:p w:rsidR="00227D30" w:rsidRPr="00F73BCE" w:rsidRDefault="00227D30" w:rsidP="00227D30">
      <w:pPr>
        <w:jc w:val="both"/>
        <w:rPr>
          <w:rFonts w:ascii="Arial" w:hAnsi="Arial" w:cs="Arial"/>
        </w:rPr>
      </w:pPr>
      <w:r w:rsidRPr="00F73BCE">
        <w:rPr>
          <w:rFonts w:ascii="Arial" w:hAnsi="Arial" w:cs="Arial"/>
        </w:rPr>
        <w:t>Sources for next week's shiur:</w:t>
      </w:r>
    </w:p>
    <w:p w:rsidR="00227D30" w:rsidRPr="00F73BCE" w:rsidRDefault="00227D30" w:rsidP="00227D30">
      <w:pPr>
        <w:jc w:val="both"/>
        <w:rPr>
          <w:rFonts w:ascii="Arial" w:hAnsi="Arial" w:cs="Arial"/>
        </w:rPr>
      </w:pPr>
    </w:p>
    <w:p w:rsidR="00227D30" w:rsidRPr="00F73BCE" w:rsidRDefault="00227D30" w:rsidP="00227D30">
      <w:pPr>
        <w:numPr>
          <w:ilvl w:val="0"/>
          <w:numId w:val="3"/>
        </w:numPr>
        <w:jc w:val="both"/>
        <w:rPr>
          <w:rFonts w:ascii="Arial" w:hAnsi="Arial" w:cs="Arial"/>
        </w:rPr>
      </w:pPr>
      <w:r w:rsidRPr="00F73BCE">
        <w:rPr>
          <w:rFonts w:ascii="Arial" w:hAnsi="Arial" w:cs="Arial"/>
        </w:rPr>
        <w:lastRenderedPageBreak/>
        <w:t>12b - Mishna; Gemara until "shema mina."  15b - Mishna; Gemara until "ki bari ve-shema dami," Rashi s.v. keivan.</w:t>
      </w:r>
    </w:p>
    <w:p w:rsidR="00227D30" w:rsidRPr="00F73BCE" w:rsidRDefault="00227D30" w:rsidP="00227D30">
      <w:pPr>
        <w:numPr>
          <w:ilvl w:val="0"/>
          <w:numId w:val="3"/>
        </w:numPr>
        <w:jc w:val="both"/>
        <w:rPr>
          <w:rFonts w:ascii="Arial" w:hAnsi="Arial" w:cs="Arial"/>
        </w:rPr>
      </w:pPr>
      <w:r w:rsidRPr="00F73BCE">
        <w:rPr>
          <w:rFonts w:ascii="Arial" w:hAnsi="Arial" w:cs="Arial"/>
        </w:rPr>
        <w:t>Bava Kama 46a - Mishna; Gemara until "u-mazik omer shema," Tosefot s.v. de-afilu; Tosefot, Ketubot 12b s.v. Rav Huna.</w:t>
      </w:r>
    </w:p>
    <w:p w:rsidR="00227D30" w:rsidRPr="00F73BCE" w:rsidRDefault="00227D30" w:rsidP="00227D30">
      <w:pPr>
        <w:numPr>
          <w:ilvl w:val="0"/>
          <w:numId w:val="3"/>
        </w:numPr>
        <w:jc w:val="both"/>
        <w:rPr>
          <w:rFonts w:ascii="Arial" w:hAnsi="Arial" w:cs="Arial"/>
        </w:rPr>
      </w:pPr>
      <w:r w:rsidRPr="00F73BCE">
        <w:rPr>
          <w:rFonts w:ascii="Arial" w:hAnsi="Arial" w:cs="Arial"/>
        </w:rPr>
        <w:t>Ra'avan, Sota - "Ve-od hiksha ha de-amrinan be-Bava Kama… "</w:t>
      </w:r>
    </w:p>
    <w:p w:rsidR="00227D30" w:rsidRPr="00F73BCE" w:rsidRDefault="00227D30" w:rsidP="00227D30">
      <w:pPr>
        <w:numPr>
          <w:ilvl w:val="0"/>
          <w:numId w:val="3"/>
        </w:numPr>
        <w:jc w:val="both"/>
        <w:rPr>
          <w:rFonts w:ascii="Arial" w:hAnsi="Arial" w:cs="Arial"/>
        </w:rPr>
      </w:pPr>
      <w:r w:rsidRPr="00F73BCE">
        <w:rPr>
          <w:rFonts w:ascii="Arial" w:hAnsi="Arial" w:cs="Arial"/>
        </w:rPr>
        <w:t>Bava Kama 118a - Mishna: "Ha-omer la-chaveiro… Shamayim."</w:t>
      </w:r>
    </w:p>
    <w:p w:rsidR="00227D30" w:rsidRPr="00F73BCE" w:rsidRDefault="00227D30" w:rsidP="00227D30">
      <w:pPr>
        <w:numPr>
          <w:ilvl w:val="0"/>
          <w:numId w:val="3"/>
        </w:numPr>
        <w:jc w:val="both"/>
        <w:rPr>
          <w:rFonts w:ascii="Arial" w:hAnsi="Arial" w:cs="Arial"/>
        </w:rPr>
      </w:pPr>
      <w:r w:rsidRPr="00F73BCE">
        <w:rPr>
          <w:rFonts w:ascii="Arial" w:hAnsi="Arial" w:cs="Arial"/>
        </w:rPr>
        <w:t>Shita Mekubetzet, Bava Metzia 100a s.v. ve-im yish'al shoel; Ramban, Bava Batra 34b - "U-vekhol hanakh dini… "</w:t>
      </w:r>
    </w:p>
    <w:p w:rsidR="00227D30" w:rsidRPr="00F73BCE" w:rsidRDefault="00227D30" w:rsidP="00227D30">
      <w:pPr>
        <w:jc w:val="both"/>
        <w:rPr>
          <w:rFonts w:ascii="Arial" w:hAnsi="Arial" w:cs="Arial"/>
        </w:rPr>
      </w:pPr>
    </w:p>
    <w:p w:rsidR="00227D30" w:rsidRPr="00F73BCE" w:rsidRDefault="00227D30" w:rsidP="00227D30">
      <w:pPr>
        <w:jc w:val="both"/>
        <w:rPr>
          <w:rFonts w:ascii="Arial" w:hAnsi="Arial" w:cs="Arial"/>
        </w:rPr>
      </w:pPr>
      <w:r w:rsidRPr="00F73BCE">
        <w:rPr>
          <w:rFonts w:ascii="Arial" w:hAnsi="Arial" w:cs="Arial"/>
        </w:rPr>
        <w:t>Questions:</w:t>
      </w:r>
    </w:p>
    <w:p w:rsidR="00227D30" w:rsidRPr="00F73BCE" w:rsidRDefault="00227D30" w:rsidP="00227D30">
      <w:pPr>
        <w:jc w:val="both"/>
        <w:rPr>
          <w:rFonts w:ascii="Arial" w:hAnsi="Arial" w:cs="Arial"/>
        </w:rPr>
      </w:pPr>
    </w:p>
    <w:p w:rsidR="00227D30" w:rsidRPr="00F73BCE" w:rsidRDefault="00227D30" w:rsidP="00227D30">
      <w:pPr>
        <w:numPr>
          <w:ilvl w:val="0"/>
          <w:numId w:val="4"/>
        </w:numPr>
        <w:jc w:val="both"/>
        <w:rPr>
          <w:rFonts w:ascii="Arial" w:hAnsi="Arial" w:cs="Arial"/>
        </w:rPr>
      </w:pPr>
      <w:r w:rsidRPr="00F73BCE">
        <w:rPr>
          <w:rFonts w:ascii="Arial" w:hAnsi="Arial" w:cs="Arial"/>
        </w:rPr>
        <w:t>According to Rav Yehuda, how can a "bari" (= person who lodges a confident claim) extract money from the presumed owner through his claim, without any evidence?</w:t>
      </w:r>
    </w:p>
    <w:p w:rsidR="00227D30" w:rsidRPr="00F73BCE" w:rsidRDefault="00227D30" w:rsidP="00227D30">
      <w:pPr>
        <w:numPr>
          <w:ilvl w:val="0"/>
          <w:numId w:val="4"/>
        </w:numPr>
        <w:jc w:val="both"/>
        <w:rPr>
          <w:rFonts w:ascii="Arial" w:hAnsi="Arial" w:cs="Arial"/>
        </w:rPr>
      </w:pPr>
      <w:r w:rsidRPr="00F73BCE">
        <w:rPr>
          <w:rFonts w:ascii="Arial" w:hAnsi="Arial" w:cs="Arial"/>
        </w:rPr>
        <w:t>How can Rav Yehuda rule in Bava Kama that the burden of proof rests of the shoulders of the plaintiff even when the alleged nizak (victim of property damage) is a bari and the alleged mazik (person responsible for the damage) is a "shema" (= he advances a doubtful claim)?</w:t>
      </w:r>
    </w:p>
    <w:p w:rsidR="00227D30" w:rsidRPr="00F73BCE" w:rsidRDefault="00227D30" w:rsidP="00227D30">
      <w:pPr>
        <w:numPr>
          <w:ilvl w:val="0"/>
          <w:numId w:val="4"/>
        </w:numPr>
        <w:jc w:val="both"/>
        <w:rPr>
          <w:rFonts w:ascii="Arial" w:hAnsi="Arial" w:cs="Arial"/>
        </w:rPr>
      </w:pPr>
      <w:r w:rsidRPr="00F73BCE">
        <w:rPr>
          <w:rFonts w:ascii="Arial" w:hAnsi="Arial" w:cs="Arial"/>
        </w:rPr>
        <w:t>According to Rav Nachman, what is the halakha in a case where the plaintiff advances a confident claim and the defendant claims, "eini yodei'a im peratikha" ("I don't know if I repaid you")?</w:t>
      </w:r>
    </w:p>
    <w:p w:rsidR="00227D30" w:rsidRPr="00F73BCE" w:rsidRDefault="00227D30" w:rsidP="00227D30">
      <w:pPr>
        <w:numPr>
          <w:ilvl w:val="0"/>
          <w:numId w:val="4"/>
        </w:numPr>
        <w:jc w:val="both"/>
        <w:rPr>
          <w:rFonts w:ascii="Arial" w:hAnsi="Arial" w:cs="Arial"/>
        </w:rPr>
      </w:pPr>
      <w:r w:rsidRPr="00F73BCE">
        <w:rPr>
          <w:rFonts w:ascii="Arial" w:hAnsi="Arial" w:cs="Arial"/>
        </w:rPr>
        <w:t>In a case when there is no muchzak (meaning, no one currently has the disputed item in his possession), does a confident claim suffice for the property to be taken away from the mara kama (last person with proven ownership)?</w:t>
      </w:r>
    </w:p>
    <w:p w:rsidR="00227D30" w:rsidRPr="00F73BCE" w:rsidRDefault="00227D30" w:rsidP="00227D30">
      <w:pPr>
        <w:jc w:val="both"/>
        <w:rPr>
          <w:rFonts w:ascii="Arial" w:hAnsi="Arial" w:cs="Arial"/>
        </w:rPr>
      </w:pPr>
    </w:p>
    <w:sectPr w:rsidR="00227D30" w:rsidRPr="00F73BCE">
      <w:pgSz w:w="12240" w:h="15840"/>
      <w:pgMar w:top="1440" w:right="1800" w:bottom="1440" w:left="1800"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iriam">
    <w:panose1 w:val="020B0502050101010101"/>
    <w:charset w:val="B1"/>
    <w:family w:val="swiss"/>
    <w:pitch w:val="variable"/>
    <w:sig w:usb0="00000801" w:usb1="00000000" w:usb2="00000000" w:usb3="00000000" w:csb0="0000002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8E0B5F"/>
    <w:multiLevelType w:val="singleLevel"/>
    <w:tmpl w:val="E4F4E13C"/>
    <w:lvl w:ilvl="0">
      <w:start w:val="1"/>
      <w:numFmt w:val="decimal"/>
      <w:lvlText w:val="%1. "/>
      <w:legacy w:legacy="1" w:legacySpace="0" w:legacyIndent="360"/>
      <w:lvlJc w:val="left"/>
      <w:pPr>
        <w:ind w:left="360" w:hanging="360"/>
      </w:pPr>
      <w:rPr>
        <w:rFonts w:ascii="Times New Roman" w:hAnsi="Times New Roman" w:cs="Miriam" w:hint="cs"/>
        <w:b w:val="0"/>
        <w:i w:val="0"/>
        <w:sz w:val="24"/>
        <w:u w:val="none"/>
      </w:rPr>
    </w:lvl>
  </w:abstractNum>
  <w:abstractNum w:abstractNumId="1">
    <w:nsid w:val="39412C08"/>
    <w:multiLevelType w:val="singleLevel"/>
    <w:tmpl w:val="E4F4E13C"/>
    <w:lvl w:ilvl="0">
      <w:start w:val="1"/>
      <w:numFmt w:val="decimal"/>
      <w:lvlText w:val="%1. "/>
      <w:legacy w:legacy="1" w:legacySpace="0" w:legacyIndent="360"/>
      <w:lvlJc w:val="left"/>
      <w:pPr>
        <w:ind w:left="360" w:hanging="360"/>
      </w:pPr>
      <w:rPr>
        <w:rFonts w:ascii="Times New Roman" w:hAnsi="Times New Roman" w:cs="Miriam" w:hint="cs"/>
        <w:b w:val="0"/>
        <w:i w:val="0"/>
        <w:sz w:val="24"/>
        <w:u w:val="none"/>
      </w:rPr>
    </w:lvl>
  </w:abstractNum>
  <w:abstractNum w:abstractNumId="2">
    <w:nsid w:val="5B382BEF"/>
    <w:multiLevelType w:val="singleLevel"/>
    <w:tmpl w:val="315AB6E4"/>
    <w:lvl w:ilvl="0">
      <w:start w:val="1"/>
      <w:numFmt w:val="decimal"/>
      <w:lvlText w:val="%1. "/>
      <w:legacy w:legacy="1" w:legacySpace="0" w:legacyIndent="360"/>
      <w:lvlJc w:val="left"/>
      <w:pPr>
        <w:ind w:left="360" w:hanging="360"/>
      </w:pPr>
      <w:rPr>
        <w:rFonts w:ascii="Times New Roman" w:hAnsi="Times New Roman" w:cs="Miriam" w:hint="cs"/>
        <w:b w:val="0"/>
        <w:i w:val="0"/>
        <w:sz w:val="24"/>
        <w:u w:val="none"/>
      </w:rPr>
    </w:lvl>
  </w:abstractNum>
  <w:abstractNum w:abstractNumId="3">
    <w:nsid w:val="761C5F48"/>
    <w:multiLevelType w:val="singleLevel"/>
    <w:tmpl w:val="315AB6E4"/>
    <w:lvl w:ilvl="0">
      <w:start w:val="1"/>
      <w:numFmt w:val="decimal"/>
      <w:lvlText w:val="%1. "/>
      <w:legacy w:legacy="1" w:legacySpace="0" w:legacyIndent="360"/>
      <w:lvlJc w:val="left"/>
      <w:pPr>
        <w:ind w:left="360" w:hanging="360"/>
      </w:pPr>
      <w:rPr>
        <w:rFonts w:ascii="Times New Roman" w:hAnsi="Times New Roman" w:cs="Miriam" w:hint="cs"/>
        <w:b w:val="0"/>
        <w:i w:val="0"/>
        <w:sz w:val="24"/>
        <w:u w:val="none"/>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D30"/>
    <w:rsid w:val="000D0601"/>
    <w:rsid w:val="00227D30"/>
    <w:rsid w:val="00474F5C"/>
    <w:rsid w:val="00630CAF"/>
    <w:rsid w:val="00A26897"/>
    <w:rsid w:val="00C551DE"/>
    <w:rsid w:val="00D44351"/>
    <w:rsid w:val="00E70AA0"/>
    <w:rsid w:val="00F73BC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rFonts w:ascii="Times New Roman" w:hAnsi="Times New Roman" w:cs="Miriam"/>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
    <w:name w:val="CC"/>
    <w:basedOn w:val="BodyText"/>
    <w:pPr>
      <w:keepLines/>
      <w:spacing w:after="160"/>
      <w:ind w:left="360" w:hanging="360"/>
    </w:pPr>
    <w:rPr>
      <w:noProof/>
      <w:sz w:val="20"/>
      <w:szCs w:val="20"/>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locked/>
    <w:rPr>
      <w:rFonts w:ascii="Times New Roman" w:hAnsi="Times New Roman" w:cs="Miriam"/>
      <w:sz w:val="24"/>
      <w:szCs w:val="24"/>
      <w:lang w:bidi="he-IL"/>
    </w:rPr>
  </w:style>
  <w:style w:type="paragraph" w:styleId="BodyText2">
    <w:name w:val="Body Text 2"/>
    <w:basedOn w:val="Normal"/>
    <w:link w:val="BodyText2Char"/>
    <w:uiPriority w:val="99"/>
    <w:pPr>
      <w:spacing w:line="360" w:lineRule="auto"/>
      <w:jc w:val="both"/>
    </w:pPr>
    <w:rPr>
      <w:rFonts w:ascii="Courier New" w:hAnsi="Courier New"/>
      <w:sz w:val="22"/>
    </w:rPr>
  </w:style>
  <w:style w:type="character" w:customStyle="1" w:styleId="BodyText2Char">
    <w:name w:val="Body Text 2 Char"/>
    <w:basedOn w:val="DefaultParagraphFont"/>
    <w:link w:val="BodyText2"/>
    <w:uiPriority w:val="99"/>
    <w:semiHidden/>
    <w:locked/>
    <w:rPr>
      <w:rFonts w:ascii="Times New Roman" w:hAnsi="Times New Roman" w:cs="Miriam"/>
      <w:sz w:val="24"/>
      <w:szCs w:val="24"/>
      <w:lang w:bidi="he-IL"/>
    </w:rPr>
  </w:style>
  <w:style w:type="character" w:styleId="Hyperlink">
    <w:name w:val="Hyperlink"/>
    <w:basedOn w:val="DefaultParagraphFont"/>
    <w:uiPriority w:val="99"/>
    <w:rsid w:val="00227D30"/>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rFonts w:ascii="Times New Roman" w:hAnsi="Times New Roman" w:cs="Miriam"/>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
    <w:name w:val="CC"/>
    <w:basedOn w:val="BodyText"/>
    <w:pPr>
      <w:keepLines/>
      <w:spacing w:after="160"/>
      <w:ind w:left="360" w:hanging="360"/>
    </w:pPr>
    <w:rPr>
      <w:noProof/>
      <w:sz w:val="20"/>
      <w:szCs w:val="20"/>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locked/>
    <w:rPr>
      <w:rFonts w:ascii="Times New Roman" w:hAnsi="Times New Roman" w:cs="Miriam"/>
      <w:sz w:val="24"/>
      <w:szCs w:val="24"/>
      <w:lang w:bidi="he-IL"/>
    </w:rPr>
  </w:style>
  <w:style w:type="paragraph" w:styleId="BodyText2">
    <w:name w:val="Body Text 2"/>
    <w:basedOn w:val="Normal"/>
    <w:link w:val="BodyText2Char"/>
    <w:uiPriority w:val="99"/>
    <w:pPr>
      <w:spacing w:line="360" w:lineRule="auto"/>
      <w:jc w:val="both"/>
    </w:pPr>
    <w:rPr>
      <w:rFonts w:ascii="Courier New" w:hAnsi="Courier New"/>
      <w:sz w:val="22"/>
    </w:rPr>
  </w:style>
  <w:style w:type="character" w:customStyle="1" w:styleId="BodyText2Char">
    <w:name w:val="Body Text 2 Char"/>
    <w:basedOn w:val="DefaultParagraphFont"/>
    <w:link w:val="BodyText2"/>
    <w:uiPriority w:val="99"/>
    <w:semiHidden/>
    <w:locked/>
    <w:rPr>
      <w:rFonts w:ascii="Times New Roman" w:hAnsi="Times New Roman" w:cs="Miriam"/>
      <w:sz w:val="24"/>
      <w:szCs w:val="24"/>
      <w:lang w:bidi="he-IL"/>
    </w:rPr>
  </w:style>
  <w:style w:type="character" w:styleId="Hyperlink">
    <w:name w:val="Hyperlink"/>
    <w:basedOn w:val="DefaultParagraphFont"/>
    <w:uiPriority w:val="99"/>
    <w:rsid w:val="00227D30"/>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3A55A7-2140-4DB9-B095-83BBEDD79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3961</Words>
  <Characters>19317</Characters>
  <Application>Microsoft Office Word</Application>
  <DocSecurity>0</DocSecurity>
  <Lines>160</Lines>
  <Paragraphs>46</Paragraphs>
  <ScaleCrop>false</ScaleCrop>
  <HeadingPairs>
    <vt:vector size="2" baseType="variant">
      <vt:variant>
        <vt:lpstr>Title</vt:lpstr>
      </vt:variant>
      <vt:variant>
        <vt:i4>1</vt:i4>
      </vt:variant>
    </vt:vector>
  </HeadingPairs>
  <TitlesOfParts>
    <vt:vector size="1" baseType="lpstr">
      <vt:lpstr>The Ketuba of One Hundred and of Two Hundred</vt:lpstr>
    </vt:vector>
  </TitlesOfParts>
  <Company>Unknown Organization</Company>
  <LinksUpToDate>false</LinksUpToDate>
  <CharactersWithSpaces>23232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Ketuba of One Hundred and of Two Hundred</dc:title>
  <dc:creator>Brigitte &amp; David Silverberg</dc:creator>
  <cp:lastModifiedBy>tmpUser</cp:lastModifiedBy>
  <cp:revision>3</cp:revision>
  <dcterms:created xsi:type="dcterms:W3CDTF">2015-01-29T10:43:00Z</dcterms:created>
  <dcterms:modified xsi:type="dcterms:W3CDTF">2015-02-04T08:17:00Z</dcterms:modified>
</cp:coreProperties>
</file>