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88A" w:rsidRPr="000C1970" w:rsidRDefault="0014188A" w:rsidP="00034F3E">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 xml:space="preserve">YESHIVAT </w:t>
      </w:r>
      <w:bookmarkStart w:id="0" w:name="_GoBack"/>
      <w:bookmarkEnd w:id="0"/>
      <w:r w:rsidRPr="000C1970">
        <w:rPr>
          <w:rFonts w:asciiTheme="minorBidi" w:hAnsiTheme="minorBidi" w:cstheme="minorBidi"/>
          <w:sz w:val="24"/>
          <w:szCs w:val="24"/>
        </w:rPr>
        <w:t>HAR ETZION</w:t>
      </w:r>
    </w:p>
    <w:p w:rsidR="0014188A" w:rsidRPr="000C1970" w:rsidRDefault="0014188A" w:rsidP="00034F3E">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ISRAEL KOSCHITZKY VIRTUAL BEIT MIDRASH (VBM)</w:t>
      </w:r>
    </w:p>
    <w:p w:rsidR="0014188A" w:rsidRPr="000C1970" w:rsidRDefault="0014188A" w:rsidP="00034F3E">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w:t>
      </w:r>
    </w:p>
    <w:p w:rsidR="0014188A" w:rsidRPr="000C1970" w:rsidRDefault="0014188A" w:rsidP="00034F3E">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034F3E">
      <w:pPr>
        <w:pStyle w:val="CC"/>
        <w:keepLines w:val="0"/>
        <w:tabs>
          <w:tab w:val="left" w:pos="720"/>
        </w:tabs>
        <w:spacing w:after="0"/>
        <w:ind w:left="0" w:firstLine="0"/>
        <w:jc w:val="center"/>
        <w:rPr>
          <w:rFonts w:asciiTheme="minorBidi" w:hAnsiTheme="minorBidi" w:cstheme="minorBidi"/>
          <w:sz w:val="24"/>
          <w:szCs w:val="24"/>
        </w:rPr>
      </w:pPr>
      <w:r w:rsidRPr="000C1970">
        <w:rPr>
          <w:rFonts w:asciiTheme="minorBidi" w:hAnsiTheme="minorBidi" w:cstheme="minorBidi"/>
          <w:sz w:val="24"/>
          <w:szCs w:val="24"/>
        </w:rPr>
        <w:t>GEOGRAPHY IN THE PARASHA</w:t>
      </w:r>
    </w:p>
    <w:p w:rsidR="0014188A" w:rsidRPr="000C1970" w:rsidRDefault="0014188A" w:rsidP="00034F3E">
      <w:pPr>
        <w:pStyle w:val="CC"/>
        <w:keepLines w:val="0"/>
        <w:tabs>
          <w:tab w:val="left" w:pos="720"/>
        </w:tabs>
        <w:spacing w:after="0"/>
        <w:ind w:left="0" w:firstLine="0"/>
        <w:jc w:val="center"/>
        <w:rPr>
          <w:rFonts w:asciiTheme="minorBidi" w:hAnsiTheme="minorBidi" w:cstheme="minorBidi"/>
          <w:sz w:val="24"/>
          <w:szCs w:val="24"/>
        </w:rPr>
      </w:pPr>
    </w:p>
    <w:p w:rsidR="0014188A" w:rsidRPr="000C1970" w:rsidRDefault="0014188A" w:rsidP="00034F3E">
      <w:pPr>
        <w:pStyle w:val="CC"/>
        <w:keepLines w:val="0"/>
        <w:tabs>
          <w:tab w:val="left" w:pos="2552"/>
        </w:tabs>
        <w:spacing w:after="0"/>
        <w:ind w:left="0" w:firstLine="0"/>
        <w:jc w:val="center"/>
        <w:rPr>
          <w:rFonts w:asciiTheme="minorBidi" w:hAnsiTheme="minorBidi" w:cstheme="minorBidi"/>
          <w:b w:val="0"/>
          <w:bCs/>
          <w:sz w:val="24"/>
          <w:szCs w:val="24"/>
        </w:rPr>
      </w:pPr>
      <w:r w:rsidRPr="000C1970">
        <w:rPr>
          <w:rFonts w:asciiTheme="minorBidi" w:hAnsiTheme="minorBidi" w:cstheme="minorBidi"/>
          <w:b w:val="0"/>
          <w:bCs/>
          <w:sz w:val="24"/>
          <w:szCs w:val="24"/>
        </w:rPr>
        <w:t>For easy printing, see</w:t>
      </w:r>
    </w:p>
    <w:p w:rsidR="0014188A" w:rsidRPr="000C1970" w:rsidRDefault="008A2A41" w:rsidP="00034F3E">
      <w:pPr>
        <w:pStyle w:val="CC"/>
        <w:keepLines w:val="0"/>
        <w:tabs>
          <w:tab w:val="left" w:pos="2552"/>
        </w:tabs>
        <w:spacing w:after="0"/>
        <w:ind w:left="0" w:firstLine="0"/>
        <w:jc w:val="center"/>
        <w:rPr>
          <w:rFonts w:asciiTheme="minorBidi" w:hAnsiTheme="minorBidi" w:cstheme="minorBidi"/>
          <w:b w:val="0"/>
          <w:sz w:val="24"/>
          <w:szCs w:val="24"/>
        </w:rPr>
      </w:pPr>
      <w:hyperlink r:id="rId9" w:history="1">
        <w:r w:rsidR="00475B0B" w:rsidRPr="000C1970">
          <w:rPr>
            <w:rStyle w:val="Hyperlink"/>
            <w:rFonts w:asciiTheme="minorBidi" w:hAnsiTheme="minorBidi" w:cstheme="minorBidi"/>
            <w:b w:val="0"/>
            <w:sz w:val="24"/>
            <w:szCs w:val="24"/>
          </w:rPr>
          <w:t>http://vbm-torah.org/archive/geography/15bo.htm</w:t>
        </w:r>
      </w:hyperlink>
      <w:r w:rsidR="0014188A" w:rsidRPr="000C1970">
        <w:rPr>
          <w:rFonts w:asciiTheme="minorBidi" w:hAnsiTheme="minorBidi" w:cstheme="minorBidi"/>
          <w:b w:val="0"/>
          <w:sz w:val="24"/>
          <w:szCs w:val="24"/>
        </w:rPr>
        <w:t xml:space="preserve">   </w:t>
      </w:r>
    </w:p>
    <w:p w:rsidR="0014188A" w:rsidRPr="000C1970" w:rsidRDefault="0014188A" w:rsidP="00034F3E">
      <w:pPr>
        <w:pStyle w:val="CC"/>
        <w:keepLines w:val="0"/>
        <w:tabs>
          <w:tab w:val="left" w:pos="2552"/>
        </w:tabs>
        <w:spacing w:after="0"/>
        <w:ind w:left="0" w:firstLine="0"/>
        <w:jc w:val="center"/>
        <w:rPr>
          <w:rFonts w:asciiTheme="minorBidi" w:hAnsiTheme="minorBidi" w:cstheme="minorBidi"/>
          <w:sz w:val="24"/>
          <w:szCs w:val="24"/>
        </w:rPr>
      </w:pPr>
    </w:p>
    <w:p w:rsidR="0014188A" w:rsidRPr="000C1970" w:rsidRDefault="0014188A" w:rsidP="00034F3E">
      <w:pPr>
        <w:spacing w:after="0" w:line="240" w:lineRule="auto"/>
        <w:jc w:val="center"/>
        <w:rPr>
          <w:rFonts w:asciiTheme="minorBidi" w:hAnsiTheme="minorBidi"/>
          <w:i/>
          <w:iCs/>
          <w:sz w:val="24"/>
          <w:szCs w:val="24"/>
        </w:rPr>
      </w:pPr>
    </w:p>
    <w:p w:rsidR="0014188A" w:rsidRPr="000C1970" w:rsidRDefault="0014188A" w:rsidP="00034F3E">
      <w:pPr>
        <w:spacing w:after="0" w:line="240" w:lineRule="auto"/>
        <w:jc w:val="center"/>
        <w:rPr>
          <w:rFonts w:asciiTheme="minorBidi" w:hAnsiTheme="minorBidi"/>
          <w:b/>
          <w:bCs/>
          <w:sz w:val="24"/>
          <w:szCs w:val="24"/>
        </w:rPr>
      </w:pPr>
      <w:r w:rsidRPr="000C1970">
        <w:rPr>
          <w:rFonts w:asciiTheme="minorBidi" w:hAnsiTheme="minorBidi"/>
          <w:b/>
          <w:bCs/>
          <w:i/>
          <w:iCs/>
          <w:sz w:val="24"/>
          <w:szCs w:val="24"/>
        </w:rPr>
        <w:t xml:space="preserve">PARASHAT </w:t>
      </w:r>
      <w:r w:rsidR="00475B0B" w:rsidRPr="000C1970">
        <w:rPr>
          <w:rFonts w:asciiTheme="minorBidi" w:hAnsiTheme="minorBidi"/>
          <w:b/>
          <w:bCs/>
          <w:i/>
          <w:iCs/>
          <w:sz w:val="24"/>
          <w:szCs w:val="24"/>
        </w:rPr>
        <w:t>BO</w:t>
      </w:r>
    </w:p>
    <w:p w:rsidR="0014188A" w:rsidRPr="000C1970" w:rsidRDefault="0014188A" w:rsidP="00034F3E">
      <w:pPr>
        <w:spacing w:after="0" w:line="240" w:lineRule="auto"/>
        <w:jc w:val="center"/>
        <w:rPr>
          <w:rFonts w:asciiTheme="minorBidi" w:hAnsiTheme="minorBidi"/>
          <w:b/>
          <w:bCs/>
          <w:sz w:val="24"/>
          <w:szCs w:val="24"/>
        </w:rPr>
      </w:pPr>
    </w:p>
    <w:p w:rsidR="004A6EF7" w:rsidRPr="000C1970" w:rsidRDefault="00475B0B" w:rsidP="00034F3E">
      <w:pPr>
        <w:spacing w:after="0" w:line="240" w:lineRule="auto"/>
        <w:jc w:val="center"/>
        <w:rPr>
          <w:rFonts w:asciiTheme="minorBidi" w:hAnsiTheme="minorBidi"/>
          <w:b/>
          <w:bCs/>
          <w:sz w:val="24"/>
          <w:szCs w:val="24"/>
        </w:rPr>
      </w:pPr>
      <w:r w:rsidRPr="000C1970">
        <w:rPr>
          <w:rFonts w:asciiTheme="minorBidi" w:hAnsiTheme="minorBidi"/>
          <w:b/>
          <w:bCs/>
          <w:sz w:val="24"/>
          <w:szCs w:val="24"/>
        </w:rPr>
        <w:t>The Land of Goshen</w:t>
      </w:r>
    </w:p>
    <w:p w:rsidR="00F7770D" w:rsidRPr="000C1970" w:rsidRDefault="00F7770D" w:rsidP="00034F3E">
      <w:pPr>
        <w:spacing w:after="0" w:line="240" w:lineRule="auto"/>
        <w:jc w:val="center"/>
        <w:rPr>
          <w:rFonts w:asciiTheme="minorBidi" w:hAnsiTheme="minorBidi"/>
          <w:b/>
          <w:bCs/>
          <w:sz w:val="24"/>
          <w:szCs w:val="24"/>
        </w:rPr>
      </w:pPr>
      <w:r w:rsidRPr="000C1970">
        <w:rPr>
          <w:rFonts w:asciiTheme="minorBidi" w:hAnsiTheme="minorBidi"/>
          <w:b/>
          <w:bCs/>
          <w:sz w:val="24"/>
          <w:szCs w:val="24"/>
        </w:rPr>
        <w:t xml:space="preserve">By </w:t>
      </w:r>
      <w:r w:rsidR="003241CE" w:rsidRPr="000C1970">
        <w:rPr>
          <w:rFonts w:asciiTheme="minorBidi" w:hAnsiTheme="minorBidi"/>
          <w:b/>
          <w:bCs/>
          <w:sz w:val="24"/>
          <w:szCs w:val="24"/>
        </w:rPr>
        <w:t>Prof.</w:t>
      </w:r>
      <w:r w:rsidRPr="000C1970">
        <w:rPr>
          <w:rFonts w:asciiTheme="minorBidi" w:hAnsiTheme="minorBidi"/>
          <w:b/>
          <w:bCs/>
          <w:sz w:val="24"/>
          <w:szCs w:val="24"/>
        </w:rPr>
        <w:t xml:space="preserve"> Yoel Elitzur</w:t>
      </w:r>
    </w:p>
    <w:p w:rsidR="0077133E" w:rsidRPr="000C1970" w:rsidRDefault="0077133E" w:rsidP="00034F3E">
      <w:pPr>
        <w:spacing w:after="0" w:line="240" w:lineRule="auto"/>
        <w:jc w:val="both"/>
        <w:rPr>
          <w:rFonts w:asciiTheme="minorBidi" w:hAnsiTheme="minorBidi"/>
          <w:b/>
          <w:bCs/>
          <w:sz w:val="24"/>
          <w:szCs w:val="24"/>
        </w:rPr>
      </w:pPr>
    </w:p>
    <w:p w:rsidR="0014188A" w:rsidRPr="000C1970" w:rsidRDefault="0014188A" w:rsidP="00034F3E">
      <w:pPr>
        <w:spacing w:after="0" w:line="240" w:lineRule="auto"/>
        <w:jc w:val="both"/>
        <w:rPr>
          <w:rFonts w:asciiTheme="minorBidi" w:hAnsiTheme="minorBidi"/>
          <w:b/>
          <w:bCs/>
          <w:sz w:val="24"/>
          <w:szCs w:val="24"/>
        </w:rPr>
      </w:pPr>
    </w:p>
    <w:p w:rsidR="00475B0B" w:rsidRPr="000C1970" w:rsidRDefault="00475B0B" w:rsidP="00034F3E">
      <w:pPr>
        <w:spacing w:after="0" w:line="240" w:lineRule="auto"/>
        <w:jc w:val="both"/>
        <w:rPr>
          <w:rFonts w:asciiTheme="minorBidi" w:hAnsiTheme="minorBidi"/>
          <w:b/>
          <w:bCs/>
          <w:sz w:val="24"/>
          <w:szCs w:val="24"/>
        </w:rPr>
      </w:pPr>
      <w:r w:rsidRPr="000C1970">
        <w:rPr>
          <w:rFonts w:asciiTheme="minorBidi" w:hAnsiTheme="minorBidi"/>
          <w:b/>
          <w:bCs/>
          <w:sz w:val="24"/>
          <w:szCs w:val="24"/>
        </w:rPr>
        <w:t>Where is the Land of Goshen?</w:t>
      </w:r>
    </w:p>
    <w:p w:rsidR="00475B0B" w:rsidRPr="000C1970" w:rsidRDefault="00475B0B" w:rsidP="00034F3E">
      <w:pPr>
        <w:spacing w:after="0" w:line="240" w:lineRule="auto"/>
        <w:jc w:val="both"/>
        <w:rPr>
          <w:rFonts w:asciiTheme="minorBidi" w:hAnsiTheme="minorBidi"/>
          <w:b/>
          <w:bCs/>
          <w:sz w:val="24"/>
          <w:szCs w:val="24"/>
        </w:rPr>
      </w:pPr>
    </w:p>
    <w:p w:rsidR="00CA4B13" w:rsidRPr="000C1970" w:rsidRDefault="00475B0B" w:rsidP="00034F3E">
      <w:pPr>
        <w:spacing w:after="0" w:line="240" w:lineRule="auto"/>
        <w:jc w:val="both"/>
        <w:rPr>
          <w:rFonts w:asciiTheme="minorBidi" w:hAnsiTheme="minorBidi"/>
          <w:sz w:val="24"/>
          <w:szCs w:val="24"/>
        </w:rPr>
      </w:pPr>
      <w:r w:rsidRPr="000C1970">
        <w:rPr>
          <w:rFonts w:asciiTheme="minorBidi" w:hAnsiTheme="minorBidi"/>
          <w:sz w:val="24"/>
          <w:szCs w:val="24"/>
        </w:rPr>
        <w:tab/>
        <w:t xml:space="preserve">“But on that day I will set apart the </w:t>
      </w:r>
      <w:r w:rsidR="00183E32" w:rsidRPr="000C1970">
        <w:rPr>
          <w:rFonts w:asciiTheme="minorBidi" w:hAnsiTheme="minorBidi"/>
          <w:sz w:val="24"/>
          <w:szCs w:val="24"/>
        </w:rPr>
        <w:t xml:space="preserve">land </w:t>
      </w:r>
      <w:r w:rsidRPr="000C1970">
        <w:rPr>
          <w:rFonts w:asciiTheme="minorBidi" w:hAnsiTheme="minorBidi"/>
          <w:sz w:val="24"/>
          <w:szCs w:val="24"/>
        </w:rPr>
        <w:t>of Goshen, where My people dwell… that you may know that I the Lord am in the midst of the land” (Exodus 8:18). The people of Israel resided in the land of Goshen from the time they descended to Egypt until the time they left it. Immediately after Joseph revealed himself to his brothers, he invited his father and the entire family to the land of Goshen: “You will dwell in the land of Goshen, where you will be near me</w:t>
      </w:r>
      <w:r w:rsidR="00810630" w:rsidRPr="000C1970">
        <w:rPr>
          <w:rFonts w:asciiTheme="minorBidi" w:hAnsiTheme="minorBidi"/>
          <w:sz w:val="24"/>
          <w:szCs w:val="24"/>
        </w:rPr>
        <w:t xml:space="preserve"> – you and your children and your grandchildren, your flocks and herds, and all that is yours” (Genesis 45:10). Indeed, while the family was still en route to Egypt, Judah was sent ahead to </w:t>
      </w:r>
      <w:r w:rsidR="007F1254" w:rsidRPr="000C1970">
        <w:rPr>
          <w:rFonts w:asciiTheme="minorBidi" w:hAnsiTheme="minorBidi"/>
          <w:sz w:val="24"/>
          <w:szCs w:val="24"/>
        </w:rPr>
        <w:t>prepare accommodations for the family in Goshen: “He had sent Judah ahead of him to Joseph, to point the way before him to Goshen. They came to the land of Goshen” (46:28).</w:t>
      </w:r>
      <w:r w:rsidR="00CA4B13" w:rsidRPr="000C1970">
        <w:rPr>
          <w:rFonts w:asciiTheme="minorBidi" w:hAnsiTheme="minorBidi"/>
          <w:sz w:val="24"/>
          <w:szCs w:val="24"/>
        </w:rPr>
        <w:t xml:space="preserve"> But where is this land of Goshen, where the people of Israel resided?</w:t>
      </w:r>
    </w:p>
    <w:p w:rsidR="00CA4B13" w:rsidRPr="000C1970" w:rsidRDefault="00CA4B13" w:rsidP="00034F3E">
      <w:pPr>
        <w:spacing w:after="0" w:line="240" w:lineRule="auto"/>
        <w:jc w:val="both"/>
        <w:rPr>
          <w:rFonts w:asciiTheme="minorBidi" w:hAnsiTheme="minorBidi"/>
          <w:sz w:val="24"/>
          <w:szCs w:val="24"/>
        </w:rPr>
      </w:pPr>
    </w:p>
    <w:p w:rsidR="00CA4B13" w:rsidRPr="000C1970" w:rsidRDefault="00CA4B13" w:rsidP="00034F3E">
      <w:pPr>
        <w:spacing w:after="0" w:line="240" w:lineRule="auto"/>
        <w:jc w:val="both"/>
        <w:rPr>
          <w:rFonts w:asciiTheme="minorBidi" w:hAnsiTheme="minorBidi"/>
          <w:sz w:val="24"/>
          <w:szCs w:val="24"/>
        </w:rPr>
      </w:pPr>
      <w:r w:rsidRPr="000C1970">
        <w:rPr>
          <w:rFonts w:asciiTheme="minorBidi" w:hAnsiTheme="minorBidi"/>
          <w:sz w:val="24"/>
          <w:szCs w:val="24"/>
        </w:rPr>
        <w:tab/>
        <w:t xml:space="preserve">One hint </w:t>
      </w:r>
      <w:r w:rsidR="00F21AD1">
        <w:rPr>
          <w:rFonts w:asciiTheme="minorBidi" w:hAnsiTheme="minorBidi"/>
          <w:sz w:val="24"/>
          <w:szCs w:val="24"/>
        </w:rPr>
        <w:t xml:space="preserve">as </w:t>
      </w:r>
      <w:r w:rsidRPr="000C1970">
        <w:rPr>
          <w:rFonts w:asciiTheme="minorBidi" w:hAnsiTheme="minorBidi"/>
          <w:sz w:val="24"/>
          <w:szCs w:val="24"/>
        </w:rPr>
        <w:t>to Goshen’s location can be found in the message that Joseph sent to his father: “You will dwell in the land of Goshen, where you will be near me.” We see from this that Goshen must have been close to the centers of the Egyptian government. We read in Exodus that the location among the reeds by the bank of the Nile where Jochebed placed the basket containing the infant Moses was near Pharaoh’s palace, where Pharaoh’s daughter went to bathe. In the context of the plagues as well, we read of the direct connection between Moses and Pharaoh, which reaches a climax during the plague of the firstborn: “</w:t>
      </w:r>
      <w:r w:rsidR="00EF77B6" w:rsidRPr="000C1970">
        <w:rPr>
          <w:rFonts w:asciiTheme="minorBidi" w:hAnsiTheme="minorBidi"/>
          <w:sz w:val="24"/>
          <w:szCs w:val="24"/>
        </w:rPr>
        <w:t>He summoned Moses and Aaron in the night and said, ‘Up, depart from among my people’” (Exodus 12:31). The way this scenario is described demonstrates once more that the people of Israel lived in close proximity to Pharaoh.</w:t>
      </w:r>
    </w:p>
    <w:p w:rsidR="00EF77B6" w:rsidRPr="000C1970" w:rsidRDefault="00EF77B6" w:rsidP="00034F3E">
      <w:pPr>
        <w:spacing w:after="0" w:line="240" w:lineRule="auto"/>
        <w:jc w:val="both"/>
        <w:rPr>
          <w:rFonts w:asciiTheme="minorBidi" w:hAnsiTheme="minorBidi"/>
          <w:sz w:val="24"/>
          <w:szCs w:val="24"/>
        </w:rPr>
      </w:pPr>
    </w:p>
    <w:p w:rsidR="00EF77B6" w:rsidRPr="000C1970" w:rsidRDefault="00EF77B6" w:rsidP="00034F3E">
      <w:pPr>
        <w:spacing w:after="0" w:line="240" w:lineRule="auto"/>
        <w:jc w:val="both"/>
        <w:rPr>
          <w:rFonts w:asciiTheme="minorBidi" w:hAnsiTheme="minorBidi"/>
          <w:sz w:val="24"/>
          <w:szCs w:val="24"/>
        </w:rPr>
      </w:pPr>
      <w:r w:rsidRPr="000C1970">
        <w:rPr>
          <w:rFonts w:asciiTheme="minorBidi" w:hAnsiTheme="minorBidi"/>
          <w:sz w:val="24"/>
          <w:szCs w:val="24"/>
        </w:rPr>
        <w:tab/>
        <w:t xml:space="preserve">The land of Goshen bore another name as well – </w:t>
      </w:r>
      <w:r w:rsidRPr="000C1970">
        <w:rPr>
          <w:rFonts w:asciiTheme="minorBidi" w:hAnsiTheme="minorBidi"/>
          <w:b/>
          <w:bCs/>
          <w:sz w:val="24"/>
          <w:szCs w:val="24"/>
        </w:rPr>
        <w:t>Ramesses</w:t>
      </w:r>
      <w:r w:rsidRPr="000C1970">
        <w:rPr>
          <w:rFonts w:asciiTheme="minorBidi" w:hAnsiTheme="minorBidi"/>
          <w:sz w:val="24"/>
          <w:szCs w:val="24"/>
        </w:rPr>
        <w:t xml:space="preserve">. Even as early as Genesis, the Torah recounts that Joseph settled his father and brothers “in the choicest part of the land </w:t>
      </w:r>
      <w:r w:rsidR="004C4197">
        <w:rPr>
          <w:rFonts w:asciiTheme="minorBidi" w:hAnsiTheme="minorBidi"/>
          <w:sz w:val="24"/>
          <w:szCs w:val="24"/>
        </w:rPr>
        <w:t>[</w:t>
      </w:r>
      <w:r w:rsidRPr="000C1970">
        <w:rPr>
          <w:rFonts w:asciiTheme="minorBidi" w:hAnsiTheme="minorBidi"/>
          <w:sz w:val="24"/>
          <w:szCs w:val="24"/>
        </w:rPr>
        <w:t>of Egypt</w:t>
      </w:r>
      <w:r w:rsidR="004C4197">
        <w:rPr>
          <w:rFonts w:asciiTheme="minorBidi" w:hAnsiTheme="minorBidi"/>
          <w:sz w:val="24"/>
          <w:szCs w:val="24"/>
        </w:rPr>
        <w:t>]</w:t>
      </w:r>
      <w:r w:rsidRPr="000C1970">
        <w:rPr>
          <w:rFonts w:asciiTheme="minorBidi" w:hAnsiTheme="minorBidi"/>
          <w:sz w:val="24"/>
          <w:szCs w:val="24"/>
        </w:rPr>
        <w:t xml:space="preserve">, in the land of Ramesses” (47:11). When the period of enslavement began, the people of Israel built “garrison cities for Pharaoh: Pithom and Ramesses” (Exodus 1:11), and the </w:t>
      </w:r>
      <w:r w:rsidRPr="000C1970">
        <w:rPr>
          <w:rFonts w:asciiTheme="minorBidi" w:hAnsiTheme="minorBidi"/>
          <w:sz w:val="24"/>
          <w:szCs w:val="24"/>
        </w:rPr>
        <w:lastRenderedPageBreak/>
        <w:t xml:space="preserve">Exodus, described in our </w:t>
      </w:r>
      <w:r w:rsidRPr="000C1970">
        <w:rPr>
          <w:rFonts w:asciiTheme="minorBidi" w:hAnsiTheme="minorBidi"/>
          <w:i/>
          <w:iCs/>
          <w:sz w:val="24"/>
          <w:szCs w:val="24"/>
        </w:rPr>
        <w:t>parasha</w:t>
      </w:r>
      <w:r w:rsidRPr="000C1970">
        <w:rPr>
          <w:rFonts w:asciiTheme="minorBidi" w:hAnsiTheme="minorBidi"/>
          <w:sz w:val="24"/>
          <w:szCs w:val="24"/>
        </w:rPr>
        <w:t>, begins in Ramesses: “The Israelites journeyed from Ramesses to Succoth” (12:37).</w:t>
      </w:r>
    </w:p>
    <w:p w:rsidR="00EF77B6" w:rsidRPr="000C1970" w:rsidRDefault="00EF77B6" w:rsidP="00034F3E">
      <w:pPr>
        <w:spacing w:after="0" w:line="240" w:lineRule="auto"/>
        <w:jc w:val="both"/>
        <w:rPr>
          <w:rFonts w:asciiTheme="minorBidi" w:hAnsiTheme="minorBidi"/>
          <w:sz w:val="24"/>
          <w:szCs w:val="24"/>
        </w:rPr>
      </w:pPr>
    </w:p>
    <w:p w:rsidR="00EF77B6" w:rsidRPr="000C1970" w:rsidRDefault="00EF77B6" w:rsidP="00034F3E">
      <w:pPr>
        <w:spacing w:after="0" w:line="240" w:lineRule="auto"/>
        <w:jc w:val="both"/>
        <w:rPr>
          <w:rFonts w:asciiTheme="minorBidi" w:hAnsiTheme="minorBidi"/>
          <w:sz w:val="24"/>
          <w:szCs w:val="24"/>
        </w:rPr>
      </w:pPr>
      <w:r w:rsidRPr="000C1970">
        <w:rPr>
          <w:rFonts w:asciiTheme="minorBidi" w:hAnsiTheme="minorBidi"/>
          <w:sz w:val="24"/>
          <w:szCs w:val="24"/>
        </w:rPr>
        <w:tab/>
        <w:t xml:space="preserve">Ancient Egypt was shaped like a kind of long sausage, following the Nile </w:t>
      </w:r>
      <w:r w:rsidR="00741D66" w:rsidRPr="000C1970">
        <w:rPr>
          <w:rFonts w:asciiTheme="minorBidi" w:hAnsiTheme="minorBidi"/>
          <w:sz w:val="24"/>
          <w:szCs w:val="24"/>
        </w:rPr>
        <w:t xml:space="preserve">from the heights of the south to the Mediterranean Sea in the north. Near </w:t>
      </w:r>
      <w:r w:rsidR="002545CE" w:rsidRPr="000C1970">
        <w:rPr>
          <w:rFonts w:asciiTheme="minorBidi" w:hAnsiTheme="minorBidi"/>
          <w:sz w:val="24"/>
          <w:szCs w:val="24"/>
        </w:rPr>
        <w:t>Heliopolis</w:t>
      </w:r>
      <w:r w:rsidR="00741D66" w:rsidRPr="000C1970">
        <w:rPr>
          <w:rFonts w:asciiTheme="minorBidi" w:hAnsiTheme="minorBidi"/>
          <w:sz w:val="24"/>
          <w:szCs w:val="24"/>
        </w:rPr>
        <w:t xml:space="preserve">, in the vicinity of modern Cairo, the Nile splits into tributaries, forming a triangular shape. The Greeks called the land within this triangle the “Delta,” due to the region’s similarity to the shape of the Greek letter delta. The Nile Delta </w:t>
      </w:r>
      <w:r w:rsidR="002545CE" w:rsidRPr="000C1970">
        <w:rPr>
          <w:rFonts w:asciiTheme="minorBidi" w:hAnsiTheme="minorBidi"/>
          <w:sz w:val="24"/>
          <w:szCs w:val="24"/>
        </w:rPr>
        <w:t>is known as “Lower Egypt,” and its Egyptian hieroglyph was a wasp or a bee. Pithom and Ramesses have not been identified with certainty, but it is reasonable to assume that they were located within the Delta, apparently on its eastern end.</w:t>
      </w:r>
      <w:r w:rsidR="002545CE" w:rsidRPr="000C1970">
        <w:rPr>
          <w:rStyle w:val="FootnoteReference"/>
          <w:rFonts w:asciiTheme="minorBidi" w:hAnsiTheme="minorBidi"/>
          <w:sz w:val="24"/>
          <w:szCs w:val="24"/>
        </w:rPr>
        <w:footnoteReference w:id="1"/>
      </w:r>
      <w:r w:rsidR="00034F3E" w:rsidRPr="00034F3E">
        <w:rPr>
          <w:rFonts w:asciiTheme="minorBidi" w:hAnsiTheme="minorBidi"/>
          <w:sz w:val="24"/>
          <w:szCs w:val="24"/>
          <w:vertAlign w:val="superscript"/>
        </w:rPr>
        <w:t>,</w:t>
      </w:r>
      <w:r w:rsidR="00034F3E">
        <w:rPr>
          <w:rFonts w:asciiTheme="minorBidi" w:hAnsiTheme="minorBidi"/>
          <w:sz w:val="24"/>
          <w:szCs w:val="24"/>
        </w:rPr>
        <w:t xml:space="preserve"> </w:t>
      </w:r>
      <w:r w:rsidR="002545CE" w:rsidRPr="000C1970">
        <w:rPr>
          <w:rStyle w:val="FootnoteReference"/>
          <w:rFonts w:asciiTheme="minorBidi" w:hAnsiTheme="minorBidi"/>
          <w:sz w:val="24"/>
          <w:szCs w:val="24"/>
        </w:rPr>
        <w:footnoteReference w:id="2"/>
      </w:r>
    </w:p>
    <w:p w:rsidR="00CA4B13" w:rsidRPr="000C1970" w:rsidRDefault="00CA4B13" w:rsidP="00034F3E">
      <w:pPr>
        <w:spacing w:after="0" w:line="240" w:lineRule="auto"/>
        <w:jc w:val="both"/>
        <w:rPr>
          <w:rFonts w:asciiTheme="minorBidi" w:hAnsiTheme="minorBidi"/>
          <w:sz w:val="24"/>
          <w:szCs w:val="24"/>
        </w:rPr>
      </w:pPr>
    </w:p>
    <w:p w:rsidR="00034F3E" w:rsidRDefault="00034F3E" w:rsidP="00034F3E">
      <w:pPr>
        <w:spacing w:after="0" w:line="240" w:lineRule="auto"/>
        <w:jc w:val="both"/>
        <w:rPr>
          <w:rFonts w:asciiTheme="minorBidi" w:hAnsiTheme="minorBidi"/>
          <w:b/>
          <w:bCs/>
          <w:sz w:val="24"/>
          <w:szCs w:val="24"/>
        </w:rPr>
      </w:pPr>
      <w:r>
        <w:rPr>
          <w:rFonts w:asciiTheme="minorBidi" w:hAnsiTheme="minorBidi"/>
          <w:b/>
          <w:bCs/>
          <w:noProof/>
          <w:sz w:val="24"/>
          <w:szCs w:val="24"/>
        </w:rPr>
        <w:drawing>
          <wp:inline distT="0" distB="0" distL="0" distR="0">
            <wp:extent cx="4681728" cy="4581144"/>
            <wp:effectExtent l="0" t="0" r="508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bo-map.jpg"/>
                    <pic:cNvPicPr/>
                  </pic:nvPicPr>
                  <pic:blipFill>
                    <a:blip r:embed="rId10">
                      <a:extLst>
                        <a:ext uri="{28A0092B-C50C-407E-A947-70E740481C1C}">
                          <a14:useLocalDpi xmlns:a14="http://schemas.microsoft.com/office/drawing/2010/main" val="0"/>
                        </a:ext>
                      </a:extLst>
                    </a:blip>
                    <a:stretch>
                      <a:fillRect/>
                    </a:stretch>
                  </pic:blipFill>
                  <pic:spPr>
                    <a:xfrm>
                      <a:off x="0" y="0"/>
                      <a:ext cx="4681728" cy="4581144"/>
                    </a:xfrm>
                    <a:prstGeom prst="rect">
                      <a:avLst/>
                    </a:prstGeom>
                  </pic:spPr>
                </pic:pic>
              </a:graphicData>
            </a:graphic>
          </wp:inline>
        </w:drawing>
      </w:r>
    </w:p>
    <w:p w:rsidR="00034F3E" w:rsidRDefault="00034F3E" w:rsidP="00034F3E">
      <w:pPr>
        <w:spacing w:after="0" w:line="240" w:lineRule="auto"/>
        <w:jc w:val="both"/>
        <w:rPr>
          <w:rFonts w:asciiTheme="minorBidi" w:hAnsiTheme="minorBidi"/>
          <w:b/>
          <w:bCs/>
          <w:sz w:val="24"/>
          <w:szCs w:val="24"/>
        </w:rPr>
      </w:pPr>
    </w:p>
    <w:p w:rsidR="00034F3E" w:rsidRDefault="00034F3E" w:rsidP="00034F3E">
      <w:pPr>
        <w:spacing w:after="0" w:line="240" w:lineRule="auto"/>
        <w:jc w:val="both"/>
        <w:rPr>
          <w:rFonts w:asciiTheme="minorBidi" w:hAnsiTheme="minorBidi"/>
          <w:b/>
          <w:bCs/>
          <w:sz w:val="24"/>
          <w:szCs w:val="24"/>
        </w:rPr>
      </w:pPr>
    </w:p>
    <w:p w:rsidR="002545CE" w:rsidRPr="000C1970" w:rsidRDefault="002545CE" w:rsidP="00034F3E">
      <w:pPr>
        <w:spacing w:after="0" w:line="240" w:lineRule="auto"/>
        <w:jc w:val="both"/>
        <w:rPr>
          <w:rFonts w:asciiTheme="minorBidi" w:hAnsiTheme="minorBidi"/>
          <w:b/>
          <w:bCs/>
          <w:sz w:val="24"/>
          <w:szCs w:val="24"/>
        </w:rPr>
      </w:pPr>
      <w:r w:rsidRPr="000C1970">
        <w:rPr>
          <w:rFonts w:asciiTheme="minorBidi" w:hAnsiTheme="minorBidi"/>
          <w:b/>
          <w:bCs/>
          <w:sz w:val="24"/>
          <w:szCs w:val="24"/>
        </w:rPr>
        <w:t>Goshen in the Land of Israel</w:t>
      </w:r>
    </w:p>
    <w:p w:rsidR="002545CE" w:rsidRPr="000C1970" w:rsidRDefault="002545CE" w:rsidP="00034F3E">
      <w:pPr>
        <w:spacing w:after="0" w:line="240" w:lineRule="auto"/>
        <w:jc w:val="both"/>
        <w:rPr>
          <w:rFonts w:asciiTheme="minorBidi" w:hAnsiTheme="minorBidi"/>
          <w:b/>
          <w:bCs/>
          <w:sz w:val="24"/>
          <w:szCs w:val="24"/>
        </w:rPr>
      </w:pPr>
    </w:p>
    <w:p w:rsidR="002545CE" w:rsidRPr="000C1970" w:rsidRDefault="002545CE" w:rsidP="00034F3E">
      <w:pPr>
        <w:spacing w:after="0" w:line="240" w:lineRule="auto"/>
        <w:jc w:val="both"/>
        <w:rPr>
          <w:rFonts w:asciiTheme="minorBidi" w:hAnsiTheme="minorBidi"/>
          <w:sz w:val="24"/>
          <w:szCs w:val="24"/>
        </w:rPr>
      </w:pPr>
      <w:r w:rsidRPr="000C1970">
        <w:rPr>
          <w:rFonts w:asciiTheme="minorBidi" w:hAnsiTheme="minorBidi"/>
          <w:sz w:val="24"/>
          <w:szCs w:val="24"/>
        </w:rPr>
        <w:tab/>
        <w:t>What is known, from a linguistic perspective, about the name “</w:t>
      </w:r>
      <w:r w:rsidRPr="000C1970">
        <w:rPr>
          <w:rFonts w:asciiTheme="minorBidi" w:hAnsiTheme="minorBidi"/>
          <w:b/>
          <w:bCs/>
          <w:sz w:val="24"/>
          <w:szCs w:val="24"/>
        </w:rPr>
        <w:t>Goshen</w:t>
      </w:r>
      <w:r w:rsidRPr="000C1970">
        <w:rPr>
          <w:rFonts w:asciiTheme="minorBidi" w:hAnsiTheme="minorBidi"/>
          <w:sz w:val="24"/>
          <w:szCs w:val="24"/>
        </w:rPr>
        <w:t>”? Attempts to</w:t>
      </w:r>
      <w:r w:rsidR="00183E32" w:rsidRPr="000C1970">
        <w:rPr>
          <w:rFonts w:asciiTheme="minorBidi" w:hAnsiTheme="minorBidi"/>
          <w:sz w:val="24"/>
          <w:szCs w:val="24"/>
        </w:rPr>
        <w:t xml:space="preserve"> ascribe Egyptian or Semitic etymological roots to the name have not been fruitful. However, it is worth noting that the name Goshen </w:t>
      </w:r>
      <w:r w:rsidR="00183E32" w:rsidRPr="000C1970">
        <w:rPr>
          <w:rFonts w:asciiTheme="minorBidi" w:hAnsiTheme="minorBidi"/>
          <w:sz w:val="24"/>
          <w:szCs w:val="24"/>
        </w:rPr>
        <w:lastRenderedPageBreak/>
        <w:t xml:space="preserve">appears in a non-Egyptian context three times in the book of Joshua – as locations in the land of Israel. Apparently, there were two different </w:t>
      </w:r>
      <w:r w:rsidR="00183E32" w:rsidRPr="000C1970">
        <w:rPr>
          <w:rFonts w:asciiTheme="minorBidi" w:hAnsiTheme="minorBidi"/>
          <w:b/>
          <w:bCs/>
          <w:sz w:val="24"/>
          <w:szCs w:val="24"/>
        </w:rPr>
        <w:t>Goshens</w:t>
      </w:r>
      <w:r w:rsidR="00183E32" w:rsidRPr="000C1970">
        <w:rPr>
          <w:rFonts w:asciiTheme="minorBidi" w:hAnsiTheme="minorBidi"/>
          <w:sz w:val="24"/>
          <w:szCs w:val="24"/>
        </w:rPr>
        <w:t xml:space="preserve"> in the land of Israel at the time, both located in Judea. One was a city and the other was a “land,” more accurately a region, similar to the “land” of Goshen in Egypt. The city of Goshen is enumerated in the southwestern group of cities in the region </w:t>
      </w:r>
      <w:r w:rsidR="00EC0E86">
        <w:rPr>
          <w:rFonts w:asciiTheme="minorBidi" w:hAnsiTheme="minorBidi"/>
          <w:sz w:val="24"/>
          <w:szCs w:val="24"/>
        </w:rPr>
        <w:t xml:space="preserve">of </w:t>
      </w:r>
      <w:r w:rsidR="00183E32" w:rsidRPr="000C1970">
        <w:rPr>
          <w:rFonts w:asciiTheme="minorBidi" w:hAnsiTheme="minorBidi"/>
          <w:sz w:val="24"/>
          <w:szCs w:val="24"/>
        </w:rPr>
        <w:t>south</w:t>
      </w:r>
      <w:r w:rsidR="00EC0E86">
        <w:rPr>
          <w:rFonts w:asciiTheme="minorBidi" w:hAnsiTheme="minorBidi"/>
          <w:sz w:val="24"/>
          <w:szCs w:val="24"/>
        </w:rPr>
        <w:t>ern</w:t>
      </w:r>
      <w:r w:rsidR="00183E32" w:rsidRPr="000C1970">
        <w:rPr>
          <w:rFonts w:asciiTheme="minorBidi" w:hAnsiTheme="minorBidi"/>
          <w:sz w:val="24"/>
          <w:szCs w:val="24"/>
        </w:rPr>
        <w:t xml:space="preserve"> Mount Hebron, along with </w:t>
      </w:r>
      <w:r w:rsidR="00F3786A" w:rsidRPr="000C1970">
        <w:rPr>
          <w:rFonts w:asciiTheme="minorBidi" w:hAnsiTheme="minorBidi"/>
          <w:sz w:val="24"/>
          <w:szCs w:val="24"/>
        </w:rPr>
        <w:t xml:space="preserve">Jattir, Debir, Anab, Eshtemoh and Anim (Joshua 15:48-51). In contrast, the </w:t>
      </w:r>
      <w:r w:rsidR="00F3786A" w:rsidRPr="000C1970">
        <w:rPr>
          <w:rFonts w:asciiTheme="minorBidi" w:hAnsiTheme="minorBidi"/>
          <w:b/>
          <w:bCs/>
          <w:sz w:val="24"/>
          <w:szCs w:val="24"/>
        </w:rPr>
        <w:t>land of Goshen</w:t>
      </w:r>
      <w:r w:rsidR="00F3786A" w:rsidRPr="000C1970">
        <w:rPr>
          <w:rFonts w:asciiTheme="minorBidi" w:hAnsiTheme="minorBidi"/>
          <w:sz w:val="24"/>
          <w:szCs w:val="24"/>
        </w:rPr>
        <w:t xml:space="preserve"> – also referred to as the </w:t>
      </w:r>
      <w:r w:rsidR="00F3786A" w:rsidRPr="000C1970">
        <w:rPr>
          <w:rFonts w:asciiTheme="minorBidi" w:hAnsiTheme="minorBidi"/>
          <w:b/>
          <w:bCs/>
          <w:sz w:val="24"/>
          <w:szCs w:val="24"/>
        </w:rPr>
        <w:t>land of the Goshen</w:t>
      </w:r>
      <w:r w:rsidR="00F3786A" w:rsidRPr="000C1970">
        <w:rPr>
          <w:rFonts w:asciiTheme="minorBidi" w:hAnsiTheme="minorBidi"/>
          <w:sz w:val="24"/>
          <w:szCs w:val="24"/>
        </w:rPr>
        <w:t xml:space="preserve"> – is the name of a region in the land of Israel. In the summary of Joshua’s conquests in the southern part of the Land, we read: “Thus Joshua conquered the whole country: the hill country, the Negeb, the Shephelah, and the slopes… Joshua conquered them from Kadesh-barnea to Gaza, all the land of Goshen, and up to Gibeon” (10:40-41). Later, in the general summary, we read: “Joshua conquered the whole of this region: the hill country [of Judah], the Negeb, the whole land of </w:t>
      </w:r>
      <w:r w:rsidR="00EF08E6">
        <w:rPr>
          <w:rFonts w:asciiTheme="minorBidi" w:hAnsiTheme="minorBidi"/>
          <w:sz w:val="24"/>
          <w:szCs w:val="24"/>
        </w:rPr>
        <w:t xml:space="preserve">the </w:t>
      </w:r>
      <w:r w:rsidR="00F3786A" w:rsidRPr="000C1970">
        <w:rPr>
          <w:rFonts w:asciiTheme="minorBidi" w:hAnsiTheme="minorBidi"/>
          <w:sz w:val="24"/>
          <w:szCs w:val="24"/>
        </w:rPr>
        <w:t xml:space="preserve">Goshen, the Shephelah, the Arabah, and the hill country and coastal plain of Israel” (11:16). </w:t>
      </w:r>
    </w:p>
    <w:p w:rsidR="00475B0B" w:rsidRDefault="00475B0B" w:rsidP="00034F3E">
      <w:pPr>
        <w:spacing w:after="0" w:line="240" w:lineRule="auto"/>
        <w:jc w:val="both"/>
        <w:rPr>
          <w:rFonts w:asciiTheme="minorBidi" w:hAnsiTheme="minorBidi"/>
          <w:sz w:val="24"/>
          <w:szCs w:val="24"/>
        </w:rPr>
      </w:pPr>
    </w:p>
    <w:p w:rsidR="000C1970" w:rsidRDefault="000C1970" w:rsidP="00034F3E">
      <w:pPr>
        <w:spacing w:after="0" w:line="240" w:lineRule="auto"/>
        <w:jc w:val="both"/>
        <w:rPr>
          <w:rFonts w:asciiTheme="minorBidi" w:hAnsiTheme="minorBidi"/>
          <w:sz w:val="24"/>
          <w:szCs w:val="24"/>
        </w:rPr>
      </w:pPr>
      <w:r>
        <w:rPr>
          <w:rFonts w:asciiTheme="minorBidi" w:hAnsiTheme="minorBidi"/>
          <w:sz w:val="24"/>
          <w:szCs w:val="24"/>
        </w:rPr>
        <w:tab/>
        <w:t xml:space="preserve">R. Yisrael Ariel, in his atlas of the borders of the land of Israel (following the commentary of </w:t>
      </w:r>
      <w:r>
        <w:rPr>
          <w:rFonts w:asciiTheme="minorBidi" w:hAnsiTheme="minorBidi"/>
          <w:i/>
          <w:iCs/>
          <w:sz w:val="24"/>
          <w:szCs w:val="24"/>
        </w:rPr>
        <w:t>Da’at Zekenim Mi-ba’alei Ha-Tosafot</w:t>
      </w:r>
      <w:r>
        <w:rPr>
          <w:rFonts w:asciiTheme="minorBidi" w:hAnsiTheme="minorBidi"/>
          <w:sz w:val="24"/>
          <w:szCs w:val="24"/>
        </w:rPr>
        <w:t xml:space="preserve"> on Genesis 46:29, and a </w:t>
      </w:r>
      <w:r>
        <w:rPr>
          <w:rFonts w:asciiTheme="minorBidi" w:hAnsiTheme="minorBidi"/>
          <w:i/>
          <w:iCs/>
          <w:sz w:val="24"/>
          <w:szCs w:val="24"/>
        </w:rPr>
        <w:t>derash</w:t>
      </w:r>
      <w:r>
        <w:rPr>
          <w:rFonts w:asciiTheme="minorBidi" w:hAnsiTheme="minorBidi"/>
          <w:sz w:val="24"/>
          <w:szCs w:val="24"/>
        </w:rPr>
        <w:t xml:space="preserve"> cited</w:t>
      </w:r>
      <w:r w:rsidR="00F21AD1">
        <w:rPr>
          <w:rFonts w:asciiTheme="minorBidi" w:hAnsiTheme="minorBidi"/>
          <w:sz w:val="24"/>
          <w:szCs w:val="24"/>
        </w:rPr>
        <w:t xml:space="preserve"> critically</w:t>
      </w:r>
      <w:r>
        <w:rPr>
          <w:rFonts w:asciiTheme="minorBidi" w:hAnsiTheme="minorBidi"/>
          <w:sz w:val="24"/>
          <w:szCs w:val="24"/>
        </w:rPr>
        <w:t xml:space="preserve"> by Radak in his commentary on Joshua 11:16) includes the Egyptian Goshen within the borders of the land of Israel, stretching the territory of the tribe of Judah to the point where it reaches the Nile Delta! This detail is possibly the most extreme of his generally maximalist positions regarding the borders of the Land. I believe that this kind </w:t>
      </w:r>
      <w:r w:rsidR="00745719">
        <w:rPr>
          <w:rFonts w:asciiTheme="minorBidi" w:hAnsiTheme="minorBidi"/>
          <w:sz w:val="24"/>
          <w:szCs w:val="24"/>
        </w:rPr>
        <w:t xml:space="preserve">of view is patently impossible. The idea that Joshua could have conquered land in the eastern Nile Delta from the Canaanites is perplexing. As we will explain in our discussion on </w:t>
      </w:r>
      <w:r w:rsidR="00745719">
        <w:rPr>
          <w:rFonts w:asciiTheme="minorBidi" w:hAnsiTheme="minorBidi"/>
          <w:i/>
          <w:iCs/>
          <w:sz w:val="24"/>
          <w:szCs w:val="24"/>
        </w:rPr>
        <w:t>Parashat Mishpatim</w:t>
      </w:r>
      <w:r w:rsidR="00745719">
        <w:rPr>
          <w:rFonts w:asciiTheme="minorBidi" w:hAnsiTheme="minorBidi"/>
          <w:sz w:val="24"/>
          <w:szCs w:val="24"/>
        </w:rPr>
        <w:t>, the borders of the tribal territories fall within the smaller version of the Land’s borders. These borders reach</w:t>
      </w:r>
      <w:r w:rsidR="0034484A">
        <w:rPr>
          <w:rFonts w:asciiTheme="minorBidi" w:hAnsiTheme="minorBidi"/>
          <w:sz w:val="24"/>
          <w:szCs w:val="24"/>
        </w:rPr>
        <w:t xml:space="preserve"> in the southwest</w:t>
      </w:r>
      <w:r w:rsidR="00745719">
        <w:rPr>
          <w:rFonts w:asciiTheme="minorBidi" w:hAnsiTheme="minorBidi"/>
          <w:sz w:val="24"/>
          <w:szCs w:val="24"/>
        </w:rPr>
        <w:t xml:space="preserve"> to the </w:t>
      </w:r>
      <w:r w:rsidR="00137A0F">
        <w:rPr>
          <w:rFonts w:asciiTheme="minorBidi" w:hAnsiTheme="minorBidi"/>
          <w:sz w:val="24"/>
          <w:szCs w:val="24"/>
        </w:rPr>
        <w:t>“</w:t>
      </w:r>
      <w:r w:rsidR="00745719">
        <w:rPr>
          <w:rFonts w:asciiTheme="minorBidi" w:hAnsiTheme="minorBidi"/>
          <w:sz w:val="24"/>
          <w:szCs w:val="24"/>
        </w:rPr>
        <w:t>wadi of Egypt</w:t>
      </w:r>
      <w:r w:rsidR="0034484A">
        <w:rPr>
          <w:rFonts w:asciiTheme="minorBidi" w:hAnsiTheme="minorBidi"/>
          <w:sz w:val="24"/>
          <w:szCs w:val="24"/>
        </w:rPr>
        <w:t>,</w:t>
      </w:r>
      <w:r w:rsidR="00137A0F">
        <w:rPr>
          <w:rFonts w:asciiTheme="minorBidi" w:hAnsiTheme="minorBidi"/>
          <w:sz w:val="24"/>
          <w:szCs w:val="24"/>
        </w:rPr>
        <w:t>”</w:t>
      </w:r>
      <w:r w:rsidR="0034484A">
        <w:rPr>
          <w:rFonts w:asciiTheme="minorBidi" w:hAnsiTheme="minorBidi"/>
          <w:sz w:val="24"/>
          <w:szCs w:val="24"/>
        </w:rPr>
        <w:t xml:space="preserve"> whose</w:t>
      </w:r>
      <w:r w:rsidR="00745719">
        <w:rPr>
          <w:rFonts w:asciiTheme="minorBidi" w:hAnsiTheme="minorBidi"/>
          <w:sz w:val="24"/>
          <w:szCs w:val="24"/>
        </w:rPr>
        <w:t xml:space="preserve"> </w:t>
      </w:r>
      <w:r w:rsidR="00FA1B63">
        <w:rPr>
          <w:rFonts w:asciiTheme="minorBidi" w:hAnsiTheme="minorBidi"/>
          <w:sz w:val="24"/>
          <w:szCs w:val="24"/>
        </w:rPr>
        <w:t>identification with</w:t>
      </w:r>
      <w:r w:rsidR="0034484A">
        <w:rPr>
          <w:rFonts w:asciiTheme="minorBidi" w:hAnsiTheme="minorBidi"/>
          <w:sz w:val="24"/>
          <w:szCs w:val="24"/>
        </w:rPr>
        <w:t xml:space="preserve"> modern</w:t>
      </w:r>
      <w:r w:rsidR="004C4197">
        <w:rPr>
          <w:rFonts w:asciiTheme="minorBidi" w:hAnsiTheme="minorBidi"/>
          <w:sz w:val="24"/>
          <w:szCs w:val="24"/>
        </w:rPr>
        <w:t>-day</w:t>
      </w:r>
      <w:r w:rsidR="00FA1B63">
        <w:rPr>
          <w:rFonts w:asciiTheme="minorBidi" w:hAnsiTheme="minorBidi"/>
          <w:sz w:val="24"/>
          <w:szCs w:val="24"/>
        </w:rPr>
        <w:t xml:space="preserve"> </w:t>
      </w:r>
      <w:r w:rsidR="00745719">
        <w:rPr>
          <w:rFonts w:asciiTheme="minorBidi" w:hAnsiTheme="minorBidi"/>
          <w:sz w:val="24"/>
          <w:szCs w:val="24"/>
        </w:rPr>
        <w:t xml:space="preserve">Wadi el-Arish </w:t>
      </w:r>
      <w:r w:rsidR="00FA1B63">
        <w:rPr>
          <w:rFonts w:asciiTheme="minorBidi" w:hAnsiTheme="minorBidi"/>
          <w:sz w:val="24"/>
          <w:szCs w:val="24"/>
        </w:rPr>
        <w:t xml:space="preserve">is </w:t>
      </w:r>
      <w:r w:rsidR="00745719">
        <w:rPr>
          <w:rFonts w:asciiTheme="minorBidi" w:hAnsiTheme="minorBidi"/>
          <w:sz w:val="24"/>
          <w:szCs w:val="24"/>
        </w:rPr>
        <w:t>reasonable and accepted.</w:t>
      </w:r>
    </w:p>
    <w:p w:rsidR="00137A0F" w:rsidRDefault="00137A0F" w:rsidP="00034F3E">
      <w:pPr>
        <w:spacing w:after="0" w:line="240" w:lineRule="auto"/>
        <w:jc w:val="both"/>
        <w:rPr>
          <w:rFonts w:asciiTheme="minorBidi" w:hAnsiTheme="minorBidi"/>
          <w:sz w:val="24"/>
          <w:szCs w:val="24"/>
        </w:rPr>
      </w:pPr>
    </w:p>
    <w:p w:rsidR="00137A0F" w:rsidRDefault="00137A0F" w:rsidP="00034F3E">
      <w:pPr>
        <w:spacing w:after="0" w:line="240" w:lineRule="auto"/>
        <w:jc w:val="both"/>
        <w:rPr>
          <w:rFonts w:asciiTheme="minorBidi" w:hAnsiTheme="minorBidi"/>
          <w:sz w:val="24"/>
          <w:szCs w:val="24"/>
        </w:rPr>
      </w:pPr>
      <w:r>
        <w:rPr>
          <w:rFonts w:asciiTheme="minorBidi" w:hAnsiTheme="minorBidi"/>
          <w:sz w:val="24"/>
          <w:szCs w:val="24"/>
        </w:rPr>
        <w:tab/>
        <w:t>Most modern commentators and scholars of Biblical geography maintain that the land of Goshen mentioned in Joshua 10-11 refers to the territorial area of the city of Goshen mentioned in chapter 15. However, this view does not make sense for a number of reasons:</w:t>
      </w:r>
    </w:p>
    <w:p w:rsidR="00137A0F" w:rsidRDefault="00137A0F" w:rsidP="00034F3E">
      <w:pPr>
        <w:spacing w:after="0" w:line="240" w:lineRule="auto"/>
        <w:jc w:val="both"/>
        <w:rPr>
          <w:rFonts w:asciiTheme="minorBidi" w:hAnsiTheme="minorBidi"/>
          <w:sz w:val="24"/>
          <w:szCs w:val="24"/>
        </w:rPr>
      </w:pPr>
    </w:p>
    <w:p w:rsidR="00137A0F" w:rsidRDefault="00137A0F" w:rsidP="00034F3E">
      <w:pPr>
        <w:pStyle w:val="ListParagraph"/>
        <w:numPr>
          <w:ilvl w:val="0"/>
          <w:numId w:val="11"/>
        </w:numPr>
        <w:spacing w:after="0" w:line="240" w:lineRule="auto"/>
        <w:jc w:val="both"/>
        <w:rPr>
          <w:rFonts w:asciiTheme="minorBidi" w:hAnsiTheme="minorBidi"/>
          <w:sz w:val="24"/>
          <w:szCs w:val="24"/>
        </w:rPr>
      </w:pPr>
      <w:r>
        <w:rPr>
          <w:rFonts w:asciiTheme="minorBidi" w:hAnsiTheme="minorBidi"/>
          <w:sz w:val="24"/>
          <w:szCs w:val="24"/>
        </w:rPr>
        <w:t xml:space="preserve">The city of Goshen was a small city, mentioned only once in </w:t>
      </w:r>
      <w:r>
        <w:rPr>
          <w:rFonts w:asciiTheme="minorBidi" w:hAnsiTheme="minorBidi"/>
          <w:i/>
          <w:iCs/>
          <w:sz w:val="24"/>
          <w:szCs w:val="24"/>
        </w:rPr>
        <w:t>Tanakh</w:t>
      </w:r>
      <w:r>
        <w:rPr>
          <w:rFonts w:asciiTheme="minorBidi" w:hAnsiTheme="minorBidi"/>
          <w:sz w:val="24"/>
          <w:szCs w:val="24"/>
        </w:rPr>
        <w:t xml:space="preserve">, and its territorial area </w:t>
      </w:r>
      <w:r w:rsidR="00EC0E86">
        <w:rPr>
          <w:rFonts w:asciiTheme="minorBidi" w:hAnsiTheme="minorBidi"/>
          <w:sz w:val="24"/>
          <w:szCs w:val="24"/>
        </w:rPr>
        <w:t xml:space="preserve">certainly did not exceed a few square miles. In its vicinity lay the well-known cities of Debir, Anab and Eshtemoh. The area of southern Mount Hebron was certainly named for these cities </w:t>
      </w:r>
      <w:r w:rsidR="00F21AD1">
        <w:rPr>
          <w:rFonts w:asciiTheme="minorBidi" w:hAnsiTheme="minorBidi"/>
          <w:sz w:val="24"/>
          <w:szCs w:val="24"/>
        </w:rPr>
        <w:t>rather than</w:t>
      </w:r>
      <w:r w:rsidR="00EC0E86">
        <w:rPr>
          <w:rFonts w:asciiTheme="minorBidi" w:hAnsiTheme="minorBidi"/>
          <w:sz w:val="24"/>
          <w:szCs w:val="24"/>
        </w:rPr>
        <w:t xml:space="preserve"> for Goshen.</w:t>
      </w:r>
    </w:p>
    <w:p w:rsidR="00EC0E86" w:rsidRDefault="00EC0E86" w:rsidP="00034F3E">
      <w:pPr>
        <w:pStyle w:val="ListParagraph"/>
        <w:spacing w:after="0" w:line="240" w:lineRule="auto"/>
        <w:jc w:val="both"/>
        <w:rPr>
          <w:rFonts w:asciiTheme="minorBidi" w:hAnsiTheme="minorBidi"/>
          <w:sz w:val="24"/>
          <w:szCs w:val="24"/>
        </w:rPr>
      </w:pPr>
    </w:p>
    <w:p w:rsidR="00EC0E86" w:rsidRDefault="00EE68A3" w:rsidP="00034F3E">
      <w:pPr>
        <w:pStyle w:val="ListParagraph"/>
        <w:numPr>
          <w:ilvl w:val="0"/>
          <w:numId w:val="11"/>
        </w:numPr>
        <w:spacing w:after="0" w:line="240" w:lineRule="auto"/>
        <w:jc w:val="both"/>
        <w:rPr>
          <w:rFonts w:asciiTheme="minorBidi" w:hAnsiTheme="minorBidi"/>
          <w:sz w:val="24"/>
          <w:szCs w:val="24"/>
        </w:rPr>
      </w:pPr>
      <w:r w:rsidRPr="00EE68A3">
        <w:rPr>
          <w:rFonts w:asciiTheme="minorBidi" w:hAnsiTheme="minorBidi"/>
          <w:b/>
          <w:bCs/>
          <w:sz w:val="24"/>
          <w:szCs w:val="24"/>
        </w:rPr>
        <w:t xml:space="preserve">The land of Goshen </w:t>
      </w:r>
      <w:r>
        <w:rPr>
          <w:rFonts w:asciiTheme="minorBidi" w:hAnsiTheme="minorBidi"/>
          <w:sz w:val="24"/>
          <w:szCs w:val="24"/>
        </w:rPr>
        <w:t xml:space="preserve">in the summaries of Joshua’s conquests is a vast region, mentioned alongside the hill country, the Shephelah, the Arabah, the Negeb and the slopes. The “hill country” refers to the </w:t>
      </w:r>
      <w:r w:rsidR="00942A69">
        <w:rPr>
          <w:rFonts w:asciiTheme="minorBidi" w:hAnsiTheme="minorBidi"/>
          <w:sz w:val="24"/>
          <w:szCs w:val="24"/>
        </w:rPr>
        <w:t xml:space="preserve">mountainous region of Israel, the Shephelah is what is known today as the “inner Shephelah,” the Arabah is the Jordan Rift Valley and the Dead Sea, the Negeb refers to </w:t>
      </w:r>
      <w:r w:rsidR="00F21AD1">
        <w:rPr>
          <w:rFonts w:asciiTheme="minorBidi" w:hAnsiTheme="minorBidi"/>
          <w:sz w:val="24"/>
          <w:szCs w:val="24"/>
        </w:rPr>
        <w:t>the</w:t>
      </w:r>
      <w:r w:rsidR="00942A69">
        <w:rPr>
          <w:rFonts w:asciiTheme="minorBidi" w:hAnsiTheme="minorBidi"/>
          <w:sz w:val="24"/>
          <w:szCs w:val="24"/>
        </w:rPr>
        <w:t xml:space="preserve"> northern Negeb region, and “the slopes” are the steep, rocky slopes of the east. The only region remaining in the land where the </w:t>
      </w:r>
      <w:r w:rsidR="00942A69" w:rsidRPr="00942A69">
        <w:rPr>
          <w:rFonts w:asciiTheme="minorBidi" w:hAnsiTheme="minorBidi"/>
          <w:b/>
          <w:bCs/>
          <w:sz w:val="24"/>
          <w:szCs w:val="24"/>
        </w:rPr>
        <w:t>land of Goshen</w:t>
      </w:r>
      <w:r w:rsidR="00942A69">
        <w:rPr>
          <w:rFonts w:asciiTheme="minorBidi" w:hAnsiTheme="minorBidi"/>
          <w:sz w:val="24"/>
          <w:szCs w:val="24"/>
        </w:rPr>
        <w:t xml:space="preserve"> can possibly be </w:t>
      </w:r>
      <w:r w:rsidR="00942A69">
        <w:rPr>
          <w:rFonts w:asciiTheme="minorBidi" w:hAnsiTheme="minorBidi"/>
          <w:sz w:val="24"/>
          <w:szCs w:val="24"/>
        </w:rPr>
        <w:lastRenderedPageBreak/>
        <w:t>placed is the western hillside region between the mountains and the Shephelah, which, as the verse specifies, extends to Gibeon at its northern end.</w:t>
      </w:r>
    </w:p>
    <w:p w:rsidR="00942A69" w:rsidRPr="00942A69" w:rsidRDefault="00942A69" w:rsidP="00034F3E">
      <w:pPr>
        <w:pStyle w:val="ListParagraph"/>
        <w:spacing w:after="0" w:line="240" w:lineRule="auto"/>
        <w:rPr>
          <w:rFonts w:asciiTheme="minorBidi" w:hAnsiTheme="minorBidi"/>
          <w:sz w:val="24"/>
          <w:szCs w:val="24"/>
        </w:rPr>
      </w:pPr>
    </w:p>
    <w:p w:rsidR="00942A69" w:rsidRDefault="00942A69" w:rsidP="00034F3E">
      <w:pPr>
        <w:pStyle w:val="ListParagraph"/>
        <w:numPr>
          <w:ilvl w:val="0"/>
          <w:numId w:val="11"/>
        </w:numPr>
        <w:spacing w:after="0" w:line="240" w:lineRule="auto"/>
        <w:jc w:val="both"/>
        <w:rPr>
          <w:rFonts w:asciiTheme="minorBidi" w:hAnsiTheme="minorBidi"/>
          <w:sz w:val="24"/>
          <w:szCs w:val="24"/>
        </w:rPr>
      </w:pPr>
      <w:r>
        <w:rPr>
          <w:rFonts w:asciiTheme="minorBidi" w:hAnsiTheme="minorBidi"/>
          <w:sz w:val="24"/>
          <w:szCs w:val="24"/>
        </w:rPr>
        <w:t>An important linguistic consideration</w:t>
      </w:r>
      <w:r w:rsidR="00DD1E98">
        <w:rPr>
          <w:rFonts w:asciiTheme="minorBidi" w:hAnsiTheme="minorBidi"/>
          <w:sz w:val="24"/>
          <w:szCs w:val="24"/>
        </w:rPr>
        <w:t>, discerned by John Gray in 1967,</w:t>
      </w:r>
      <w:r>
        <w:rPr>
          <w:rFonts w:asciiTheme="minorBidi" w:hAnsiTheme="minorBidi"/>
          <w:sz w:val="24"/>
          <w:szCs w:val="24"/>
        </w:rPr>
        <w:t xml:space="preserve"> is the use of the definite article in Joshua 11:16 </w:t>
      </w:r>
      <w:r w:rsidR="00EF08E6">
        <w:rPr>
          <w:rFonts w:asciiTheme="minorBidi" w:hAnsiTheme="minorBidi"/>
          <w:sz w:val="24"/>
          <w:szCs w:val="24"/>
        </w:rPr>
        <w:t>–</w:t>
      </w:r>
      <w:r>
        <w:rPr>
          <w:rFonts w:asciiTheme="minorBidi" w:hAnsiTheme="minorBidi"/>
          <w:sz w:val="24"/>
          <w:szCs w:val="24"/>
        </w:rPr>
        <w:t xml:space="preserve"> </w:t>
      </w:r>
      <w:r w:rsidR="00EF08E6">
        <w:rPr>
          <w:rFonts w:asciiTheme="minorBidi" w:hAnsiTheme="minorBidi"/>
          <w:sz w:val="24"/>
          <w:szCs w:val="24"/>
        </w:rPr>
        <w:t xml:space="preserve">“the whole land of </w:t>
      </w:r>
      <w:r w:rsidR="00EF08E6" w:rsidRPr="00EF08E6">
        <w:rPr>
          <w:rFonts w:asciiTheme="minorBidi" w:hAnsiTheme="minorBidi"/>
          <w:b/>
          <w:bCs/>
          <w:sz w:val="24"/>
          <w:szCs w:val="24"/>
        </w:rPr>
        <w:t>the</w:t>
      </w:r>
      <w:r w:rsidR="00EF08E6">
        <w:rPr>
          <w:rFonts w:asciiTheme="minorBidi" w:hAnsiTheme="minorBidi"/>
          <w:sz w:val="24"/>
          <w:szCs w:val="24"/>
        </w:rPr>
        <w:t xml:space="preserve"> Goshen (</w:t>
      </w:r>
      <w:r w:rsidR="00EF08E6" w:rsidRPr="00EF08E6">
        <w:rPr>
          <w:rFonts w:asciiTheme="minorBidi" w:hAnsiTheme="minorBidi"/>
          <w:i/>
          <w:iCs/>
          <w:sz w:val="24"/>
          <w:szCs w:val="24"/>
        </w:rPr>
        <w:t xml:space="preserve">Eretz </w:t>
      </w:r>
      <w:r w:rsidR="00EF08E6" w:rsidRPr="00EF08E6">
        <w:rPr>
          <w:rFonts w:asciiTheme="minorBidi" w:hAnsiTheme="minorBidi"/>
          <w:b/>
          <w:bCs/>
          <w:i/>
          <w:iCs/>
          <w:sz w:val="24"/>
          <w:szCs w:val="24"/>
        </w:rPr>
        <w:t>Ha</w:t>
      </w:r>
      <w:r w:rsidR="00EF08E6" w:rsidRPr="00EF08E6">
        <w:rPr>
          <w:rFonts w:asciiTheme="minorBidi" w:hAnsiTheme="minorBidi"/>
          <w:i/>
          <w:iCs/>
          <w:sz w:val="24"/>
          <w:szCs w:val="24"/>
        </w:rPr>
        <w:t>-Goshen</w:t>
      </w:r>
      <w:r w:rsidR="00EF08E6">
        <w:rPr>
          <w:rFonts w:asciiTheme="minorBidi" w:hAnsiTheme="minorBidi"/>
          <w:sz w:val="24"/>
          <w:szCs w:val="24"/>
        </w:rPr>
        <w:t xml:space="preserve">).” As a rule in Biblical Hebrew, and to a </w:t>
      </w:r>
      <w:r w:rsidR="00F21AD1">
        <w:rPr>
          <w:rFonts w:asciiTheme="minorBidi" w:hAnsiTheme="minorBidi"/>
          <w:sz w:val="24"/>
          <w:szCs w:val="24"/>
        </w:rPr>
        <w:t>great</w:t>
      </w:r>
      <w:r w:rsidR="00EF08E6">
        <w:rPr>
          <w:rFonts w:asciiTheme="minorBidi" w:hAnsiTheme="minorBidi"/>
          <w:sz w:val="24"/>
          <w:szCs w:val="24"/>
        </w:rPr>
        <w:t xml:space="preserve"> extent in modern Hebrew as well, the regions of the land are referred to using the definite article: </w:t>
      </w:r>
      <w:r w:rsidR="00EF08E6" w:rsidRPr="00EF08E6">
        <w:rPr>
          <w:rFonts w:asciiTheme="minorBidi" w:hAnsiTheme="minorBidi"/>
          <w:b/>
          <w:bCs/>
          <w:sz w:val="24"/>
          <w:szCs w:val="24"/>
        </w:rPr>
        <w:t>the</w:t>
      </w:r>
      <w:r w:rsidR="00EF08E6">
        <w:rPr>
          <w:rFonts w:asciiTheme="minorBidi" w:hAnsiTheme="minorBidi"/>
          <w:sz w:val="24"/>
          <w:szCs w:val="24"/>
        </w:rPr>
        <w:t xml:space="preserve"> Negeb</w:t>
      </w:r>
      <w:r w:rsidR="00A87997">
        <w:rPr>
          <w:rFonts w:asciiTheme="minorBidi" w:hAnsiTheme="minorBidi"/>
          <w:sz w:val="24"/>
          <w:szCs w:val="24"/>
        </w:rPr>
        <w:t xml:space="preserve"> (</w:t>
      </w:r>
      <w:r w:rsidR="00A87997" w:rsidRPr="00A87997">
        <w:rPr>
          <w:rFonts w:asciiTheme="minorBidi" w:hAnsiTheme="minorBidi"/>
          <w:b/>
          <w:bCs/>
          <w:i/>
          <w:iCs/>
          <w:sz w:val="24"/>
          <w:szCs w:val="24"/>
        </w:rPr>
        <w:t>Ha</w:t>
      </w:r>
      <w:r w:rsidR="00A87997" w:rsidRPr="00A87997">
        <w:rPr>
          <w:rFonts w:asciiTheme="minorBidi" w:hAnsiTheme="minorBidi"/>
          <w:i/>
          <w:iCs/>
          <w:sz w:val="24"/>
          <w:szCs w:val="24"/>
        </w:rPr>
        <w:t>-Negev</w:t>
      </w:r>
      <w:r w:rsidR="00A87997">
        <w:rPr>
          <w:rFonts w:asciiTheme="minorBidi" w:hAnsiTheme="minorBidi"/>
          <w:sz w:val="24"/>
          <w:szCs w:val="24"/>
        </w:rPr>
        <w:t>);</w:t>
      </w:r>
      <w:r w:rsidR="00EF08E6">
        <w:rPr>
          <w:rFonts w:asciiTheme="minorBidi" w:hAnsiTheme="minorBidi"/>
          <w:sz w:val="24"/>
          <w:szCs w:val="24"/>
        </w:rPr>
        <w:t xml:space="preserve"> </w:t>
      </w:r>
      <w:r w:rsidR="00EF08E6" w:rsidRPr="00EF08E6">
        <w:rPr>
          <w:rFonts w:asciiTheme="minorBidi" w:hAnsiTheme="minorBidi"/>
          <w:b/>
          <w:bCs/>
          <w:sz w:val="24"/>
          <w:szCs w:val="24"/>
        </w:rPr>
        <w:t>the</w:t>
      </w:r>
      <w:r w:rsidR="00EF08E6">
        <w:rPr>
          <w:rFonts w:asciiTheme="minorBidi" w:hAnsiTheme="minorBidi"/>
          <w:sz w:val="24"/>
          <w:szCs w:val="24"/>
        </w:rPr>
        <w:t xml:space="preserve"> Sharon plain (</w:t>
      </w:r>
      <w:r w:rsidR="00EF08E6" w:rsidRPr="00EF08E6">
        <w:rPr>
          <w:rFonts w:asciiTheme="minorBidi" w:hAnsiTheme="minorBidi"/>
          <w:b/>
          <w:bCs/>
          <w:i/>
          <w:iCs/>
          <w:sz w:val="24"/>
          <w:szCs w:val="24"/>
        </w:rPr>
        <w:t>Ha</w:t>
      </w:r>
      <w:r w:rsidR="00EF08E6">
        <w:rPr>
          <w:rFonts w:asciiTheme="minorBidi" w:hAnsiTheme="minorBidi"/>
          <w:i/>
          <w:iCs/>
          <w:sz w:val="24"/>
          <w:szCs w:val="24"/>
        </w:rPr>
        <w:t>-Sharon</w:t>
      </w:r>
      <w:r w:rsidR="00EF08E6">
        <w:rPr>
          <w:rFonts w:asciiTheme="minorBidi" w:hAnsiTheme="minorBidi"/>
          <w:sz w:val="24"/>
          <w:szCs w:val="24"/>
        </w:rPr>
        <w:t>)</w:t>
      </w:r>
      <w:r w:rsidR="00A87997">
        <w:rPr>
          <w:rFonts w:asciiTheme="minorBidi" w:hAnsiTheme="minorBidi"/>
          <w:sz w:val="24"/>
          <w:szCs w:val="24"/>
        </w:rPr>
        <w:t>;</w:t>
      </w:r>
      <w:r w:rsidR="00EF08E6">
        <w:rPr>
          <w:rFonts w:asciiTheme="minorBidi" w:hAnsiTheme="minorBidi"/>
          <w:sz w:val="24"/>
          <w:szCs w:val="24"/>
        </w:rPr>
        <w:t xml:space="preserve"> </w:t>
      </w:r>
      <w:r w:rsidR="00EF08E6" w:rsidRPr="00A87997">
        <w:rPr>
          <w:rFonts w:asciiTheme="minorBidi" w:hAnsiTheme="minorBidi"/>
          <w:b/>
          <w:bCs/>
          <w:sz w:val="24"/>
          <w:szCs w:val="24"/>
        </w:rPr>
        <w:t>the</w:t>
      </w:r>
      <w:r w:rsidR="00EF08E6">
        <w:rPr>
          <w:rFonts w:asciiTheme="minorBidi" w:hAnsiTheme="minorBidi"/>
          <w:sz w:val="24"/>
          <w:szCs w:val="24"/>
        </w:rPr>
        <w:t xml:space="preserve"> Galilee</w:t>
      </w:r>
      <w:r w:rsidR="00A87997">
        <w:rPr>
          <w:rFonts w:asciiTheme="minorBidi" w:hAnsiTheme="minorBidi"/>
          <w:sz w:val="24"/>
          <w:szCs w:val="24"/>
        </w:rPr>
        <w:t xml:space="preserve"> (</w:t>
      </w:r>
      <w:r w:rsidR="00A87997" w:rsidRPr="00A87997">
        <w:rPr>
          <w:rFonts w:asciiTheme="minorBidi" w:hAnsiTheme="minorBidi"/>
          <w:b/>
          <w:bCs/>
          <w:i/>
          <w:iCs/>
          <w:sz w:val="24"/>
          <w:szCs w:val="24"/>
        </w:rPr>
        <w:t>Ha</w:t>
      </w:r>
      <w:r w:rsidR="00A87997" w:rsidRPr="00A87997">
        <w:rPr>
          <w:rFonts w:asciiTheme="minorBidi" w:hAnsiTheme="minorBidi"/>
          <w:i/>
          <w:iCs/>
          <w:sz w:val="24"/>
          <w:szCs w:val="24"/>
        </w:rPr>
        <w:t>-Galil</w:t>
      </w:r>
      <w:r w:rsidR="00A87997">
        <w:rPr>
          <w:rFonts w:asciiTheme="minorBidi" w:hAnsiTheme="minorBidi"/>
          <w:sz w:val="24"/>
          <w:szCs w:val="24"/>
        </w:rPr>
        <w:t>);</w:t>
      </w:r>
      <w:r w:rsidR="00EF08E6">
        <w:rPr>
          <w:rFonts w:asciiTheme="minorBidi" w:hAnsiTheme="minorBidi"/>
          <w:sz w:val="24"/>
          <w:szCs w:val="24"/>
        </w:rPr>
        <w:t xml:space="preserve"> the valley of </w:t>
      </w:r>
      <w:r w:rsidR="00EF08E6" w:rsidRPr="00420146">
        <w:rPr>
          <w:rFonts w:asciiTheme="minorBidi" w:hAnsiTheme="minorBidi"/>
          <w:b/>
          <w:bCs/>
          <w:sz w:val="24"/>
          <w:szCs w:val="24"/>
        </w:rPr>
        <w:t>the</w:t>
      </w:r>
      <w:r w:rsidR="00EF08E6">
        <w:rPr>
          <w:rFonts w:asciiTheme="minorBidi" w:hAnsiTheme="minorBidi"/>
          <w:sz w:val="24"/>
          <w:szCs w:val="24"/>
        </w:rPr>
        <w:t xml:space="preserve"> Lebanon (</w:t>
      </w:r>
      <w:r w:rsidR="00EF08E6" w:rsidRPr="00420146">
        <w:rPr>
          <w:rFonts w:asciiTheme="minorBidi" w:hAnsiTheme="minorBidi"/>
          <w:b/>
          <w:bCs/>
          <w:i/>
          <w:iCs/>
          <w:sz w:val="24"/>
          <w:szCs w:val="24"/>
        </w:rPr>
        <w:t>Ha</w:t>
      </w:r>
      <w:r w:rsidR="00EF08E6">
        <w:rPr>
          <w:rFonts w:asciiTheme="minorBidi" w:hAnsiTheme="minorBidi"/>
          <w:i/>
          <w:iCs/>
          <w:sz w:val="24"/>
          <w:szCs w:val="24"/>
        </w:rPr>
        <w:t>-Levanon</w:t>
      </w:r>
      <w:r w:rsidR="00A87997">
        <w:rPr>
          <w:rFonts w:asciiTheme="minorBidi" w:hAnsiTheme="minorBidi"/>
          <w:sz w:val="24"/>
          <w:szCs w:val="24"/>
        </w:rPr>
        <w:t>);</w:t>
      </w:r>
      <w:r w:rsidR="00EF08E6">
        <w:rPr>
          <w:rFonts w:asciiTheme="minorBidi" w:hAnsiTheme="minorBidi"/>
          <w:sz w:val="24"/>
          <w:szCs w:val="24"/>
        </w:rPr>
        <w:t xml:space="preserve"> </w:t>
      </w:r>
      <w:r w:rsidR="00A87997" w:rsidRPr="00A87997">
        <w:rPr>
          <w:rFonts w:asciiTheme="minorBidi" w:hAnsiTheme="minorBidi"/>
          <w:b/>
          <w:bCs/>
          <w:sz w:val="24"/>
          <w:szCs w:val="24"/>
        </w:rPr>
        <w:t>the</w:t>
      </w:r>
      <w:r w:rsidR="00A87997">
        <w:rPr>
          <w:rFonts w:asciiTheme="minorBidi" w:hAnsiTheme="minorBidi"/>
          <w:sz w:val="24"/>
          <w:szCs w:val="24"/>
        </w:rPr>
        <w:t xml:space="preserve"> Carmel region (</w:t>
      </w:r>
      <w:r w:rsidR="00A87997" w:rsidRPr="00A87997">
        <w:rPr>
          <w:rFonts w:asciiTheme="minorBidi" w:hAnsiTheme="minorBidi"/>
          <w:b/>
          <w:bCs/>
          <w:i/>
          <w:iCs/>
          <w:sz w:val="24"/>
          <w:szCs w:val="24"/>
        </w:rPr>
        <w:t>Ha</w:t>
      </w:r>
      <w:r w:rsidR="00A87997" w:rsidRPr="00A87997">
        <w:rPr>
          <w:rFonts w:asciiTheme="minorBidi" w:hAnsiTheme="minorBidi"/>
          <w:i/>
          <w:iCs/>
          <w:sz w:val="24"/>
          <w:szCs w:val="24"/>
        </w:rPr>
        <w:t>-Karmel</w:t>
      </w:r>
      <w:r w:rsidR="00A87997">
        <w:rPr>
          <w:rFonts w:asciiTheme="minorBidi" w:hAnsiTheme="minorBidi"/>
          <w:sz w:val="24"/>
          <w:szCs w:val="24"/>
        </w:rPr>
        <w:t xml:space="preserve">); </w:t>
      </w:r>
      <w:r w:rsidR="00A87997" w:rsidRPr="00A87997">
        <w:rPr>
          <w:rFonts w:asciiTheme="minorBidi" w:hAnsiTheme="minorBidi"/>
          <w:b/>
          <w:bCs/>
          <w:sz w:val="24"/>
          <w:szCs w:val="24"/>
        </w:rPr>
        <w:t>the</w:t>
      </w:r>
      <w:r w:rsidR="00A87997">
        <w:rPr>
          <w:rFonts w:asciiTheme="minorBidi" w:hAnsiTheme="minorBidi"/>
          <w:sz w:val="24"/>
          <w:szCs w:val="24"/>
        </w:rPr>
        <w:t xml:space="preserve"> Bashan (</w:t>
      </w:r>
      <w:r w:rsidR="00A87997" w:rsidRPr="00A87997">
        <w:rPr>
          <w:rFonts w:asciiTheme="minorBidi" w:hAnsiTheme="minorBidi"/>
          <w:b/>
          <w:bCs/>
          <w:i/>
          <w:iCs/>
          <w:sz w:val="24"/>
          <w:szCs w:val="24"/>
        </w:rPr>
        <w:t>Ha</w:t>
      </w:r>
      <w:r w:rsidR="00A87997" w:rsidRPr="00A87997">
        <w:rPr>
          <w:rFonts w:asciiTheme="minorBidi" w:hAnsiTheme="minorBidi"/>
          <w:i/>
          <w:iCs/>
          <w:sz w:val="24"/>
          <w:szCs w:val="24"/>
        </w:rPr>
        <w:t>-Bashan</w:t>
      </w:r>
      <w:r w:rsidR="00A87997">
        <w:rPr>
          <w:rFonts w:asciiTheme="minorBidi" w:hAnsiTheme="minorBidi"/>
          <w:sz w:val="24"/>
          <w:szCs w:val="24"/>
        </w:rPr>
        <w:t xml:space="preserve">); </w:t>
      </w:r>
      <w:r w:rsidR="00A87997" w:rsidRPr="00A87997">
        <w:rPr>
          <w:rFonts w:asciiTheme="minorBidi" w:hAnsiTheme="minorBidi"/>
          <w:b/>
          <w:bCs/>
          <w:sz w:val="24"/>
          <w:szCs w:val="24"/>
        </w:rPr>
        <w:t>the</w:t>
      </w:r>
      <w:r w:rsidR="00A87997">
        <w:rPr>
          <w:rFonts w:asciiTheme="minorBidi" w:hAnsiTheme="minorBidi"/>
          <w:sz w:val="24"/>
          <w:szCs w:val="24"/>
        </w:rPr>
        <w:t xml:space="preserve"> Gilead (</w:t>
      </w:r>
      <w:r w:rsidR="00A87997" w:rsidRPr="00A87997">
        <w:rPr>
          <w:rFonts w:asciiTheme="minorBidi" w:hAnsiTheme="minorBidi"/>
          <w:b/>
          <w:bCs/>
          <w:i/>
          <w:iCs/>
          <w:sz w:val="24"/>
          <w:szCs w:val="24"/>
        </w:rPr>
        <w:t>Ha</w:t>
      </w:r>
      <w:r w:rsidR="00A87997" w:rsidRPr="00A87997">
        <w:rPr>
          <w:rFonts w:asciiTheme="minorBidi" w:hAnsiTheme="minorBidi"/>
          <w:i/>
          <w:iCs/>
          <w:sz w:val="24"/>
          <w:szCs w:val="24"/>
        </w:rPr>
        <w:t>-Gil’ad</w:t>
      </w:r>
      <w:r w:rsidR="00A87997">
        <w:rPr>
          <w:rFonts w:asciiTheme="minorBidi" w:hAnsiTheme="minorBidi"/>
          <w:sz w:val="24"/>
          <w:szCs w:val="24"/>
        </w:rPr>
        <w:t xml:space="preserve">). What we see from this is that </w:t>
      </w:r>
      <w:r w:rsidR="00A87997" w:rsidRPr="00A87997">
        <w:rPr>
          <w:rFonts w:asciiTheme="minorBidi" w:hAnsiTheme="minorBidi"/>
          <w:b/>
          <w:bCs/>
          <w:sz w:val="24"/>
          <w:szCs w:val="24"/>
        </w:rPr>
        <w:t>Goshen</w:t>
      </w:r>
      <w:r w:rsidR="00A87997">
        <w:rPr>
          <w:rFonts w:asciiTheme="minorBidi" w:hAnsiTheme="minorBidi"/>
          <w:sz w:val="24"/>
          <w:szCs w:val="24"/>
        </w:rPr>
        <w:t xml:space="preserve"> belongs to this same family of names, and like the other </w:t>
      </w:r>
      <w:r w:rsidR="009A3661">
        <w:rPr>
          <w:rFonts w:asciiTheme="minorBidi" w:hAnsiTheme="minorBidi"/>
          <w:sz w:val="24"/>
          <w:szCs w:val="24"/>
        </w:rPr>
        <w:t xml:space="preserve">items </w:t>
      </w:r>
      <w:r w:rsidR="00A67C52">
        <w:rPr>
          <w:rFonts w:asciiTheme="minorBidi" w:hAnsiTheme="minorBidi"/>
          <w:sz w:val="24"/>
          <w:szCs w:val="24"/>
        </w:rPr>
        <w:t>on this list, it too is apparently an ancient Semitic name for a large geographic</w:t>
      </w:r>
      <w:r w:rsidR="00F21AD1">
        <w:rPr>
          <w:rFonts w:asciiTheme="minorBidi" w:hAnsiTheme="minorBidi"/>
          <w:sz w:val="24"/>
          <w:szCs w:val="24"/>
        </w:rPr>
        <w:t>al</w:t>
      </w:r>
      <w:r w:rsidR="00A67C52">
        <w:rPr>
          <w:rFonts w:asciiTheme="minorBidi" w:hAnsiTheme="minorBidi"/>
          <w:sz w:val="24"/>
          <w:szCs w:val="24"/>
        </w:rPr>
        <w:t xml:space="preserve"> area. It has a three-letter root, and it is formed from a common nominal pattern. </w:t>
      </w:r>
      <w:r w:rsidR="00F21AD1">
        <w:rPr>
          <w:rFonts w:asciiTheme="minorBidi" w:hAnsiTheme="minorBidi"/>
          <w:sz w:val="24"/>
          <w:szCs w:val="24"/>
        </w:rPr>
        <w:t xml:space="preserve">Although </w:t>
      </w:r>
      <w:r w:rsidR="00A67C52">
        <w:rPr>
          <w:rFonts w:asciiTheme="minorBidi" w:hAnsiTheme="minorBidi"/>
          <w:sz w:val="24"/>
          <w:szCs w:val="24"/>
        </w:rPr>
        <w:t xml:space="preserve">we </w:t>
      </w:r>
      <w:r w:rsidR="00F21AD1">
        <w:rPr>
          <w:rFonts w:asciiTheme="minorBidi" w:hAnsiTheme="minorBidi"/>
          <w:sz w:val="24"/>
          <w:szCs w:val="24"/>
        </w:rPr>
        <w:t xml:space="preserve">do not </w:t>
      </w:r>
      <w:r w:rsidR="00A67C52">
        <w:rPr>
          <w:rFonts w:asciiTheme="minorBidi" w:hAnsiTheme="minorBidi"/>
          <w:sz w:val="24"/>
          <w:szCs w:val="24"/>
        </w:rPr>
        <w:t xml:space="preserve">have the </w:t>
      </w:r>
      <w:r w:rsidR="00F21AD1">
        <w:rPr>
          <w:rFonts w:asciiTheme="minorBidi" w:hAnsiTheme="minorBidi"/>
          <w:sz w:val="24"/>
          <w:szCs w:val="24"/>
        </w:rPr>
        <w:t>slightest</w:t>
      </w:r>
      <w:r w:rsidR="00A67C52">
        <w:rPr>
          <w:rFonts w:asciiTheme="minorBidi" w:hAnsiTheme="minorBidi"/>
          <w:sz w:val="24"/>
          <w:szCs w:val="24"/>
        </w:rPr>
        <w:t xml:space="preserve"> idea how to understand the meaning of this root (suggestions proposed by scholars connecting </w:t>
      </w:r>
      <w:r w:rsidR="00A67C52">
        <w:rPr>
          <w:rFonts w:asciiTheme="minorBidi" w:hAnsiTheme="minorBidi"/>
          <w:b/>
          <w:bCs/>
          <w:sz w:val="24"/>
          <w:szCs w:val="24"/>
        </w:rPr>
        <w:t>Goshen</w:t>
      </w:r>
      <w:r w:rsidR="00A67C52">
        <w:rPr>
          <w:rFonts w:asciiTheme="minorBidi" w:hAnsiTheme="minorBidi"/>
          <w:sz w:val="24"/>
          <w:szCs w:val="24"/>
        </w:rPr>
        <w:t xml:space="preserve"> to the root G-</w:t>
      </w:r>
      <w:r w:rsidR="009A3661">
        <w:rPr>
          <w:rFonts w:asciiTheme="minorBidi" w:hAnsiTheme="minorBidi"/>
          <w:sz w:val="24"/>
          <w:szCs w:val="24"/>
        </w:rPr>
        <w:t>W</w:t>
      </w:r>
      <w:r w:rsidR="00A67C52">
        <w:rPr>
          <w:rFonts w:asciiTheme="minorBidi" w:hAnsiTheme="minorBidi"/>
          <w:sz w:val="24"/>
          <w:szCs w:val="24"/>
        </w:rPr>
        <w:t>-</w:t>
      </w:r>
      <w:r w:rsidR="00606BE9" w:rsidRPr="00606BE9">
        <w:rPr>
          <w:rFonts w:asciiTheme="minorBidi" w:hAnsiTheme="minorBidi"/>
          <w:sz w:val="24"/>
          <w:szCs w:val="24"/>
        </w:rPr>
        <w:t>Š</w:t>
      </w:r>
      <w:r w:rsidR="00606BE9">
        <w:rPr>
          <w:rFonts w:asciiTheme="minorBidi" w:hAnsiTheme="minorBidi"/>
          <w:sz w:val="24"/>
          <w:szCs w:val="24"/>
        </w:rPr>
        <w:t xml:space="preserve"> or to the name </w:t>
      </w:r>
      <w:r w:rsidR="00606BE9" w:rsidRPr="00F21AD1">
        <w:rPr>
          <w:rFonts w:asciiTheme="minorBidi" w:hAnsiTheme="minorBidi"/>
          <w:sz w:val="24"/>
          <w:szCs w:val="24"/>
        </w:rPr>
        <w:t>Geshuri</w:t>
      </w:r>
      <w:r w:rsidR="00606BE9">
        <w:rPr>
          <w:rFonts w:asciiTheme="minorBidi" w:hAnsiTheme="minorBidi"/>
          <w:sz w:val="24"/>
          <w:szCs w:val="24"/>
        </w:rPr>
        <w:t xml:space="preserve"> are unlikely), it can be estimated that it expresses something connected to the topographic scenery or to the agriculture of the region, or perhaps to the manner in which animals were raised. Apparently, the same geographical characterization existed in the eastern Nile Delta as well.</w:t>
      </w:r>
    </w:p>
    <w:p w:rsidR="00606BE9" w:rsidRDefault="00606BE9" w:rsidP="00034F3E">
      <w:pPr>
        <w:spacing w:after="0" w:line="240" w:lineRule="auto"/>
        <w:jc w:val="both"/>
        <w:rPr>
          <w:rFonts w:asciiTheme="minorBidi" w:hAnsiTheme="minorBidi"/>
          <w:sz w:val="24"/>
          <w:szCs w:val="24"/>
        </w:rPr>
      </w:pPr>
    </w:p>
    <w:p w:rsidR="00606BE9" w:rsidRDefault="00606BE9" w:rsidP="00034F3E">
      <w:pPr>
        <w:spacing w:after="0" w:line="240" w:lineRule="auto"/>
        <w:jc w:val="both"/>
        <w:rPr>
          <w:rFonts w:asciiTheme="minorBidi" w:hAnsiTheme="minorBidi"/>
          <w:b/>
          <w:bCs/>
          <w:sz w:val="24"/>
          <w:szCs w:val="24"/>
        </w:rPr>
      </w:pPr>
      <w:r w:rsidRPr="00606BE9">
        <w:rPr>
          <w:rFonts w:asciiTheme="minorBidi" w:hAnsiTheme="minorBidi"/>
          <w:b/>
          <w:bCs/>
          <w:sz w:val="24"/>
          <w:szCs w:val="24"/>
        </w:rPr>
        <w:t>Hebrew Name</w:t>
      </w:r>
      <w:r w:rsidR="007B5797">
        <w:rPr>
          <w:rFonts w:asciiTheme="minorBidi" w:hAnsiTheme="minorBidi"/>
          <w:b/>
          <w:bCs/>
          <w:sz w:val="24"/>
          <w:szCs w:val="24"/>
        </w:rPr>
        <w:t>s</w:t>
      </w:r>
      <w:r w:rsidRPr="00606BE9">
        <w:rPr>
          <w:rFonts w:asciiTheme="minorBidi" w:hAnsiTheme="minorBidi"/>
          <w:b/>
          <w:bCs/>
          <w:sz w:val="24"/>
          <w:szCs w:val="24"/>
        </w:rPr>
        <w:t xml:space="preserve"> in Egypt?</w:t>
      </w:r>
    </w:p>
    <w:p w:rsidR="00606BE9" w:rsidRDefault="00606BE9" w:rsidP="00034F3E">
      <w:pPr>
        <w:spacing w:after="0" w:line="240" w:lineRule="auto"/>
        <w:jc w:val="both"/>
        <w:rPr>
          <w:rFonts w:asciiTheme="minorBidi" w:hAnsiTheme="minorBidi"/>
          <w:b/>
          <w:bCs/>
          <w:sz w:val="24"/>
          <w:szCs w:val="24"/>
        </w:rPr>
      </w:pPr>
    </w:p>
    <w:p w:rsidR="00606BE9" w:rsidRDefault="00606BE9" w:rsidP="00034F3E">
      <w:pPr>
        <w:spacing w:after="0" w:line="240" w:lineRule="auto"/>
        <w:jc w:val="both"/>
        <w:rPr>
          <w:rFonts w:asciiTheme="minorBidi" w:hAnsiTheme="minorBidi"/>
          <w:sz w:val="24"/>
          <w:szCs w:val="24"/>
        </w:rPr>
      </w:pPr>
      <w:r>
        <w:rPr>
          <w:rFonts w:asciiTheme="minorBidi" w:hAnsiTheme="minorBidi"/>
          <w:sz w:val="24"/>
          <w:szCs w:val="24"/>
        </w:rPr>
        <w:tab/>
        <w:t xml:space="preserve">It should come as no surprise that </w:t>
      </w:r>
      <w:r w:rsidR="006E192B">
        <w:rPr>
          <w:rFonts w:asciiTheme="minorBidi" w:hAnsiTheme="minorBidi"/>
          <w:sz w:val="24"/>
          <w:szCs w:val="24"/>
        </w:rPr>
        <w:t>a Hebrew-Canaanite name existed in the eastern part of Lower Egypt. In the main part of Egypt, the place names are always Egyptian (</w:t>
      </w:r>
      <w:r w:rsidR="00E26A6C">
        <w:rPr>
          <w:rFonts w:asciiTheme="minorBidi" w:hAnsiTheme="minorBidi"/>
          <w:sz w:val="24"/>
          <w:szCs w:val="24"/>
        </w:rPr>
        <w:t xml:space="preserve">examples mentioned in </w:t>
      </w:r>
      <w:r w:rsidR="00E26A6C">
        <w:rPr>
          <w:rFonts w:asciiTheme="minorBidi" w:hAnsiTheme="minorBidi"/>
          <w:i/>
          <w:iCs/>
          <w:sz w:val="24"/>
          <w:szCs w:val="24"/>
        </w:rPr>
        <w:t xml:space="preserve">Tanakh </w:t>
      </w:r>
      <w:r w:rsidR="00E26A6C">
        <w:rPr>
          <w:rFonts w:asciiTheme="minorBidi" w:hAnsiTheme="minorBidi"/>
          <w:sz w:val="24"/>
          <w:szCs w:val="24"/>
        </w:rPr>
        <w:t xml:space="preserve">include </w:t>
      </w:r>
      <w:r w:rsidR="009A3661">
        <w:rPr>
          <w:rFonts w:asciiTheme="minorBidi" w:hAnsiTheme="minorBidi"/>
          <w:sz w:val="24"/>
          <w:szCs w:val="24"/>
        </w:rPr>
        <w:t>No-</w:t>
      </w:r>
      <w:r w:rsidR="00E26A6C">
        <w:rPr>
          <w:rFonts w:asciiTheme="minorBidi" w:hAnsiTheme="minorBidi"/>
          <w:sz w:val="24"/>
          <w:szCs w:val="24"/>
        </w:rPr>
        <w:t>Amon</w:t>
      </w:r>
      <w:r w:rsidR="006E192B">
        <w:rPr>
          <w:rFonts w:asciiTheme="minorBidi" w:hAnsiTheme="minorBidi"/>
          <w:sz w:val="24"/>
          <w:szCs w:val="24"/>
        </w:rPr>
        <w:t>,</w:t>
      </w:r>
      <w:r w:rsidR="00E26A6C">
        <w:rPr>
          <w:rFonts w:asciiTheme="minorBidi" w:hAnsiTheme="minorBidi"/>
          <w:sz w:val="24"/>
          <w:szCs w:val="24"/>
        </w:rPr>
        <w:t xml:space="preserve"> Tahpanhes, </w:t>
      </w:r>
      <w:r w:rsidR="009A3661">
        <w:rPr>
          <w:rFonts w:asciiTheme="minorBidi" w:hAnsiTheme="minorBidi"/>
          <w:sz w:val="24"/>
          <w:szCs w:val="24"/>
        </w:rPr>
        <w:t>On</w:t>
      </w:r>
      <w:r w:rsidR="00E26A6C">
        <w:rPr>
          <w:rFonts w:asciiTheme="minorBidi" w:hAnsiTheme="minorBidi"/>
          <w:sz w:val="24"/>
          <w:szCs w:val="24"/>
        </w:rPr>
        <w:t>, Moph and Syene)</w:t>
      </w:r>
      <w:r w:rsidR="007B5797">
        <w:rPr>
          <w:rFonts w:asciiTheme="minorBidi" w:hAnsiTheme="minorBidi"/>
          <w:sz w:val="24"/>
          <w:szCs w:val="24"/>
        </w:rPr>
        <w:t>.</w:t>
      </w:r>
      <w:r w:rsidR="00E26A6C">
        <w:rPr>
          <w:rFonts w:asciiTheme="minorBidi" w:hAnsiTheme="minorBidi"/>
          <w:sz w:val="24"/>
          <w:szCs w:val="24"/>
        </w:rPr>
        <w:t xml:space="preserve"> </w:t>
      </w:r>
      <w:r w:rsidR="007B5797">
        <w:rPr>
          <w:rFonts w:asciiTheme="minorBidi" w:hAnsiTheme="minorBidi"/>
          <w:sz w:val="24"/>
          <w:szCs w:val="24"/>
        </w:rPr>
        <w:t xml:space="preserve">However, </w:t>
      </w:r>
      <w:r w:rsidR="00E26A6C">
        <w:rPr>
          <w:rFonts w:asciiTheme="minorBidi" w:hAnsiTheme="minorBidi"/>
          <w:sz w:val="24"/>
          <w:szCs w:val="24"/>
        </w:rPr>
        <w:t xml:space="preserve">in northeast Egypt we find a number of Hebrew </w:t>
      </w:r>
      <w:r w:rsidR="00017D35">
        <w:rPr>
          <w:rFonts w:asciiTheme="minorBidi" w:hAnsiTheme="minorBidi"/>
          <w:sz w:val="24"/>
          <w:szCs w:val="24"/>
        </w:rPr>
        <w:t xml:space="preserve">or </w:t>
      </w:r>
      <w:r w:rsidR="00E26A6C">
        <w:rPr>
          <w:rFonts w:asciiTheme="minorBidi" w:hAnsiTheme="minorBidi"/>
          <w:sz w:val="24"/>
          <w:szCs w:val="24"/>
        </w:rPr>
        <w:t>Canaanite names, including Succoth, Migdol, Baal-zephon and apparently Etham</w:t>
      </w:r>
      <w:r w:rsidR="007B5797">
        <w:rPr>
          <w:rFonts w:asciiTheme="minorBidi" w:hAnsiTheme="minorBidi"/>
          <w:sz w:val="24"/>
          <w:szCs w:val="24"/>
        </w:rPr>
        <w:t xml:space="preserve">, and in the desert that serves as Egypt’s eastern border we find the Semitic names Marah and Elim. In the same vein, the oldest known record of the Hebrew alphabet (from the </w:t>
      </w:r>
      <w:r w:rsidR="00017D35">
        <w:rPr>
          <w:rFonts w:asciiTheme="minorBidi" w:hAnsiTheme="minorBidi"/>
          <w:sz w:val="24"/>
          <w:szCs w:val="24"/>
        </w:rPr>
        <w:t>Middle Bronze age</w:t>
      </w:r>
      <w:r w:rsidR="007B5797">
        <w:rPr>
          <w:rFonts w:asciiTheme="minorBidi" w:hAnsiTheme="minorBidi"/>
          <w:sz w:val="24"/>
          <w:szCs w:val="24"/>
        </w:rPr>
        <w:t>) was found in the site Serabit el-Khadim in the western Sinai Peninsula</w:t>
      </w:r>
      <w:r w:rsidR="00BD7946">
        <w:rPr>
          <w:rFonts w:asciiTheme="minorBidi" w:hAnsiTheme="minorBidi"/>
          <w:sz w:val="24"/>
          <w:szCs w:val="24"/>
        </w:rPr>
        <w:t>. Apparently, the Hebrews and the Canaanites left their mark – even from ancient times – on the local place names in this region</w:t>
      </w:r>
      <w:r w:rsidR="00C37D96">
        <w:rPr>
          <w:rFonts w:asciiTheme="minorBidi" w:hAnsiTheme="minorBidi"/>
          <w:sz w:val="24"/>
          <w:szCs w:val="24"/>
        </w:rPr>
        <w:t>.</w:t>
      </w:r>
      <w:r w:rsidR="00BD7946">
        <w:rPr>
          <w:rFonts w:asciiTheme="minorBidi" w:hAnsiTheme="minorBidi"/>
          <w:sz w:val="24"/>
          <w:szCs w:val="24"/>
        </w:rPr>
        <w:t xml:space="preserve"> </w:t>
      </w:r>
      <w:r w:rsidR="00C37D96">
        <w:rPr>
          <w:rFonts w:asciiTheme="minorBidi" w:hAnsiTheme="minorBidi"/>
          <w:sz w:val="24"/>
          <w:szCs w:val="24"/>
        </w:rPr>
        <w:t>R</w:t>
      </w:r>
      <w:r w:rsidR="00BD7946">
        <w:rPr>
          <w:rFonts w:asciiTheme="minorBidi" w:hAnsiTheme="minorBidi"/>
          <w:sz w:val="24"/>
          <w:szCs w:val="24"/>
        </w:rPr>
        <w:t xml:space="preserve">oads </w:t>
      </w:r>
      <w:r w:rsidR="00C37D96">
        <w:rPr>
          <w:rFonts w:asciiTheme="minorBidi" w:hAnsiTheme="minorBidi"/>
          <w:sz w:val="24"/>
          <w:szCs w:val="24"/>
        </w:rPr>
        <w:t xml:space="preserve">originating in this region </w:t>
      </w:r>
      <w:r w:rsidR="00BD7946">
        <w:rPr>
          <w:rFonts w:asciiTheme="minorBidi" w:hAnsiTheme="minorBidi"/>
          <w:sz w:val="24"/>
          <w:szCs w:val="24"/>
        </w:rPr>
        <w:t>lead directly to the land of Canaan, which the book of Genesis (referring to at least part of the land) calls “</w:t>
      </w:r>
      <w:r w:rsidR="00C37D96">
        <w:rPr>
          <w:rFonts w:asciiTheme="minorBidi" w:hAnsiTheme="minorBidi"/>
          <w:sz w:val="24"/>
          <w:szCs w:val="24"/>
        </w:rPr>
        <w:t xml:space="preserve">the land of the Hebrews” (40:15). </w:t>
      </w:r>
    </w:p>
    <w:p w:rsidR="00C37D96" w:rsidRDefault="00C37D96" w:rsidP="00034F3E">
      <w:pPr>
        <w:spacing w:after="0" w:line="240" w:lineRule="auto"/>
        <w:jc w:val="both"/>
        <w:rPr>
          <w:rFonts w:asciiTheme="minorBidi" w:hAnsiTheme="minorBidi"/>
          <w:sz w:val="24"/>
          <w:szCs w:val="24"/>
        </w:rPr>
      </w:pPr>
    </w:p>
    <w:p w:rsidR="00C37D96" w:rsidRDefault="00C37D96" w:rsidP="00034F3E">
      <w:pPr>
        <w:spacing w:after="0" w:line="240" w:lineRule="auto"/>
        <w:jc w:val="both"/>
        <w:rPr>
          <w:rFonts w:asciiTheme="minorBidi" w:hAnsiTheme="minorBidi"/>
          <w:sz w:val="24"/>
          <w:szCs w:val="24"/>
        </w:rPr>
      </w:pPr>
      <w:r>
        <w:rPr>
          <w:rFonts w:asciiTheme="minorBidi" w:hAnsiTheme="minorBidi"/>
          <w:sz w:val="24"/>
          <w:szCs w:val="24"/>
        </w:rPr>
        <w:tab/>
        <w:t xml:space="preserve">The strip of land where the people of Israel resided in Egypt had two names, one Egyptian – Ramesses, and one Hebrew – Goshen. This was certainly a result of the region’s location: between the center of Lower Egypt and the eastern border between Lower Egypt and the Semitic lands. </w:t>
      </w:r>
    </w:p>
    <w:p w:rsidR="00C37D96" w:rsidRDefault="00C37D96" w:rsidP="00034F3E">
      <w:pPr>
        <w:spacing w:after="0" w:line="240" w:lineRule="auto"/>
        <w:jc w:val="both"/>
        <w:rPr>
          <w:rFonts w:asciiTheme="minorBidi" w:hAnsiTheme="minorBidi"/>
          <w:sz w:val="24"/>
          <w:szCs w:val="24"/>
        </w:rPr>
      </w:pPr>
    </w:p>
    <w:p w:rsidR="00C37D96" w:rsidRPr="000C1970" w:rsidRDefault="00C37D96" w:rsidP="00034F3E">
      <w:pPr>
        <w:spacing w:after="0" w:line="240" w:lineRule="auto"/>
        <w:jc w:val="both"/>
        <w:rPr>
          <w:rFonts w:asciiTheme="minorBidi" w:hAnsiTheme="minorBidi"/>
          <w:sz w:val="24"/>
          <w:szCs w:val="24"/>
        </w:rPr>
      </w:pPr>
      <w:r>
        <w:rPr>
          <w:rFonts w:asciiTheme="minorBidi" w:hAnsiTheme="minorBidi"/>
          <w:sz w:val="24"/>
          <w:szCs w:val="24"/>
        </w:rPr>
        <w:tab/>
        <w:t>There is a symbolic message in the language of the verse, “</w:t>
      </w:r>
      <w:r w:rsidRPr="000C1970">
        <w:rPr>
          <w:rFonts w:asciiTheme="minorBidi" w:hAnsiTheme="minorBidi"/>
          <w:sz w:val="24"/>
          <w:szCs w:val="24"/>
        </w:rPr>
        <w:t>The Israelites journeyed from Ramesses to Succoth” (12:37).</w:t>
      </w:r>
      <w:r>
        <w:rPr>
          <w:rFonts w:asciiTheme="minorBidi" w:hAnsiTheme="minorBidi"/>
          <w:sz w:val="24"/>
          <w:szCs w:val="24"/>
        </w:rPr>
        <w:t xml:space="preserve"> Ramesses is a very Egyptian name, meaning “</w:t>
      </w:r>
      <w:r w:rsidR="00054A7A">
        <w:rPr>
          <w:rFonts w:asciiTheme="minorBidi" w:hAnsiTheme="minorBidi"/>
          <w:sz w:val="24"/>
          <w:szCs w:val="24"/>
        </w:rPr>
        <w:t xml:space="preserve">child </w:t>
      </w:r>
      <w:r>
        <w:rPr>
          <w:rFonts w:asciiTheme="minorBidi" w:hAnsiTheme="minorBidi"/>
          <w:sz w:val="24"/>
          <w:szCs w:val="24"/>
        </w:rPr>
        <w:t xml:space="preserve">of the god Ra,” the sun god. Succoth, on the other hand, is a very Hebrew name. The first step of the journey from Egypt undertaken by the people of Israel </w:t>
      </w:r>
      <w:r w:rsidR="00C2696F">
        <w:rPr>
          <w:rFonts w:asciiTheme="minorBidi" w:hAnsiTheme="minorBidi"/>
          <w:sz w:val="24"/>
          <w:szCs w:val="24"/>
        </w:rPr>
        <w:t xml:space="preserve">symbolized the </w:t>
      </w:r>
      <w:r w:rsidR="00E47F01">
        <w:rPr>
          <w:rFonts w:asciiTheme="minorBidi" w:hAnsiTheme="minorBidi"/>
          <w:sz w:val="24"/>
          <w:szCs w:val="24"/>
        </w:rPr>
        <w:t xml:space="preserve">transition </w:t>
      </w:r>
      <w:r w:rsidR="00C2696F">
        <w:rPr>
          <w:rFonts w:asciiTheme="minorBidi" w:hAnsiTheme="minorBidi"/>
          <w:sz w:val="24"/>
          <w:szCs w:val="24"/>
        </w:rPr>
        <w:t xml:space="preserve">from </w:t>
      </w:r>
      <w:r w:rsidR="00E47F01">
        <w:rPr>
          <w:rFonts w:asciiTheme="minorBidi" w:hAnsiTheme="minorBidi"/>
          <w:sz w:val="24"/>
          <w:szCs w:val="24"/>
        </w:rPr>
        <w:t xml:space="preserve">the Egyptian </w:t>
      </w:r>
      <w:r w:rsidR="00E47F01">
        <w:rPr>
          <w:rFonts w:asciiTheme="minorBidi" w:hAnsiTheme="minorBidi"/>
          <w:sz w:val="24"/>
          <w:szCs w:val="24"/>
        </w:rPr>
        <w:lastRenderedPageBreak/>
        <w:t xml:space="preserve">experience to the Israelite experience: “For the Egyptians whom you see today you will never see again” (Exodus </w:t>
      </w:r>
      <w:r w:rsidR="008517BE">
        <w:rPr>
          <w:rFonts w:asciiTheme="minorBidi" w:hAnsiTheme="minorBidi"/>
          <w:sz w:val="24"/>
          <w:szCs w:val="24"/>
        </w:rPr>
        <w:t>14:13). From now on – from a linguistic perspective as well – you are in a Hebrew world, the first step on the path to “when you have freed the people from Egypt, you shall worship God at this mountain” (3:12).</w:t>
      </w:r>
    </w:p>
    <w:p w:rsidR="00C37D96" w:rsidRPr="00606BE9" w:rsidRDefault="00C37D96" w:rsidP="00034F3E">
      <w:pPr>
        <w:spacing w:after="0" w:line="240" w:lineRule="auto"/>
        <w:jc w:val="both"/>
        <w:rPr>
          <w:rFonts w:asciiTheme="minorBidi" w:hAnsiTheme="minorBidi"/>
          <w:sz w:val="24"/>
          <w:szCs w:val="24"/>
        </w:rPr>
      </w:pPr>
    </w:p>
    <w:p w:rsidR="000C1970" w:rsidRPr="000C1970" w:rsidRDefault="000C1970" w:rsidP="00034F3E">
      <w:pPr>
        <w:spacing w:after="0" w:line="240" w:lineRule="auto"/>
        <w:jc w:val="both"/>
        <w:rPr>
          <w:rFonts w:asciiTheme="minorBidi" w:hAnsiTheme="minorBidi"/>
          <w:sz w:val="24"/>
          <w:szCs w:val="24"/>
        </w:rPr>
      </w:pPr>
    </w:p>
    <w:p w:rsidR="002E5FA5" w:rsidRPr="000C1970" w:rsidRDefault="002E5FA5" w:rsidP="00034F3E">
      <w:pPr>
        <w:spacing w:after="0" w:line="240" w:lineRule="auto"/>
        <w:jc w:val="both"/>
        <w:rPr>
          <w:rFonts w:asciiTheme="minorBidi" w:hAnsiTheme="minorBidi"/>
          <w:b/>
          <w:bCs/>
          <w:sz w:val="24"/>
          <w:szCs w:val="24"/>
        </w:rPr>
      </w:pPr>
      <w:r w:rsidRPr="000C1970">
        <w:rPr>
          <w:rFonts w:asciiTheme="minorBidi" w:hAnsiTheme="minorBidi"/>
          <w:b/>
          <w:bCs/>
          <w:sz w:val="24"/>
          <w:szCs w:val="24"/>
        </w:rPr>
        <w:t>For further study:</w:t>
      </w:r>
    </w:p>
    <w:p w:rsidR="00C16161" w:rsidRDefault="00C16161" w:rsidP="00034F3E">
      <w:pPr>
        <w:spacing w:after="0" w:line="240" w:lineRule="auto"/>
        <w:ind w:left="720" w:hanging="720"/>
        <w:jc w:val="both"/>
        <w:rPr>
          <w:rFonts w:asciiTheme="minorBidi" w:hAnsiTheme="minorBidi"/>
          <w:sz w:val="24"/>
          <w:szCs w:val="24"/>
        </w:rPr>
      </w:pPr>
    </w:p>
    <w:p w:rsidR="00C16161" w:rsidRDefault="00C16161" w:rsidP="00034F3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Ariel, </w:t>
      </w:r>
      <w:r>
        <w:rPr>
          <w:rFonts w:asciiTheme="minorBidi" w:hAnsiTheme="minorBidi"/>
          <w:i/>
          <w:iCs/>
          <w:sz w:val="24"/>
          <w:szCs w:val="24"/>
        </w:rPr>
        <w:t>Atlas Eretz Yisrael Li-gvuloteha al pi Ha-mekorot</w:t>
      </w:r>
      <w:r>
        <w:rPr>
          <w:rFonts w:asciiTheme="minorBidi" w:hAnsiTheme="minorBidi"/>
          <w:sz w:val="24"/>
          <w:szCs w:val="24"/>
        </w:rPr>
        <w:t>, Jerusalem 1993, 85-85 [Hebrew].</w:t>
      </w:r>
    </w:p>
    <w:p w:rsidR="008517BE" w:rsidRDefault="008517BE" w:rsidP="00034F3E">
      <w:pPr>
        <w:spacing w:after="0" w:line="240" w:lineRule="auto"/>
        <w:ind w:left="720" w:hanging="720"/>
        <w:jc w:val="both"/>
        <w:rPr>
          <w:rFonts w:asciiTheme="minorBidi" w:hAnsiTheme="minorBidi"/>
          <w:sz w:val="24"/>
          <w:szCs w:val="24"/>
        </w:rPr>
      </w:pPr>
    </w:p>
    <w:p w:rsidR="00C16161" w:rsidRDefault="00C16161" w:rsidP="00034F3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A. </w:t>
      </w:r>
      <w:r w:rsidR="00720042">
        <w:rPr>
          <w:rFonts w:asciiTheme="minorBidi" w:hAnsiTheme="minorBidi"/>
          <w:sz w:val="24"/>
          <w:szCs w:val="24"/>
        </w:rPr>
        <w:t>J</w:t>
      </w:r>
      <w:r>
        <w:rPr>
          <w:rFonts w:asciiTheme="minorBidi" w:hAnsiTheme="minorBidi"/>
          <w:sz w:val="24"/>
          <w:szCs w:val="24"/>
        </w:rPr>
        <w:t xml:space="preserve">. </w:t>
      </w:r>
      <w:r w:rsidR="00720042">
        <w:rPr>
          <w:rFonts w:asciiTheme="minorBidi" w:hAnsiTheme="minorBidi"/>
          <w:sz w:val="24"/>
          <w:szCs w:val="24"/>
        </w:rPr>
        <w:t>Brawer</w:t>
      </w:r>
      <w:r>
        <w:rPr>
          <w:rFonts w:asciiTheme="minorBidi" w:hAnsiTheme="minorBidi"/>
          <w:sz w:val="24"/>
          <w:szCs w:val="24"/>
        </w:rPr>
        <w:t>, “</w:t>
      </w:r>
      <w:r>
        <w:rPr>
          <w:rFonts w:asciiTheme="minorBidi" w:hAnsiTheme="minorBidi"/>
          <w:i/>
          <w:iCs/>
          <w:sz w:val="24"/>
          <w:szCs w:val="24"/>
        </w:rPr>
        <w:t>Eretz Goshen She-mimizrach La-Delta</w:t>
      </w:r>
      <w:r>
        <w:rPr>
          <w:rFonts w:asciiTheme="minorBidi" w:hAnsiTheme="minorBidi"/>
          <w:sz w:val="24"/>
          <w:szCs w:val="24"/>
        </w:rPr>
        <w:t xml:space="preserve">,” </w:t>
      </w:r>
      <w:r>
        <w:rPr>
          <w:rFonts w:asciiTheme="minorBidi" w:hAnsiTheme="minorBidi"/>
          <w:i/>
          <w:iCs/>
          <w:sz w:val="24"/>
          <w:szCs w:val="24"/>
        </w:rPr>
        <w:t>Beit Mikra</w:t>
      </w:r>
      <w:r>
        <w:rPr>
          <w:rFonts w:asciiTheme="minorBidi" w:hAnsiTheme="minorBidi"/>
          <w:sz w:val="24"/>
          <w:szCs w:val="24"/>
        </w:rPr>
        <w:t xml:space="preserve"> 28 (1966), 91-92 [Hebrew].</w:t>
      </w:r>
    </w:p>
    <w:p w:rsidR="00720042" w:rsidRDefault="00720042" w:rsidP="00034F3E">
      <w:pPr>
        <w:spacing w:after="0" w:line="240" w:lineRule="auto"/>
        <w:ind w:left="720" w:hanging="720"/>
        <w:jc w:val="both"/>
        <w:rPr>
          <w:rFonts w:asciiTheme="minorBidi" w:hAnsiTheme="minorBidi"/>
          <w:sz w:val="24"/>
          <w:szCs w:val="24"/>
        </w:rPr>
      </w:pPr>
    </w:p>
    <w:p w:rsidR="00720042" w:rsidRDefault="00720042" w:rsidP="00034F3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G. A. Cooke, </w:t>
      </w:r>
      <w:r>
        <w:rPr>
          <w:rFonts w:asciiTheme="minorBidi" w:hAnsiTheme="minorBidi"/>
          <w:i/>
          <w:iCs/>
          <w:sz w:val="24"/>
          <w:szCs w:val="24"/>
        </w:rPr>
        <w:t>The Book of Joshua</w:t>
      </w:r>
      <w:r>
        <w:rPr>
          <w:rFonts w:asciiTheme="minorBidi" w:hAnsiTheme="minorBidi"/>
          <w:sz w:val="24"/>
          <w:szCs w:val="24"/>
        </w:rPr>
        <w:t>, Cambridge 1918, 98.</w:t>
      </w:r>
    </w:p>
    <w:p w:rsidR="00DD1E98" w:rsidRDefault="00DD1E98" w:rsidP="00034F3E">
      <w:pPr>
        <w:spacing w:after="0" w:line="240" w:lineRule="auto"/>
        <w:ind w:left="720" w:hanging="720"/>
        <w:jc w:val="both"/>
        <w:rPr>
          <w:rFonts w:asciiTheme="minorBidi" w:hAnsiTheme="minorBidi"/>
          <w:sz w:val="24"/>
          <w:szCs w:val="24"/>
        </w:rPr>
      </w:pPr>
    </w:p>
    <w:p w:rsidR="00DD1E98" w:rsidRPr="00DD1E98" w:rsidRDefault="00DD1E98" w:rsidP="00034F3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J. Gray, </w:t>
      </w:r>
      <w:r>
        <w:rPr>
          <w:rFonts w:asciiTheme="minorBidi" w:hAnsiTheme="minorBidi"/>
          <w:i/>
          <w:iCs/>
          <w:sz w:val="24"/>
          <w:szCs w:val="24"/>
        </w:rPr>
        <w:t xml:space="preserve">Joshua, Judges and Ruth </w:t>
      </w:r>
      <w:r>
        <w:rPr>
          <w:rFonts w:asciiTheme="minorBidi" w:hAnsiTheme="minorBidi"/>
          <w:sz w:val="24"/>
          <w:szCs w:val="24"/>
        </w:rPr>
        <w:t>(The Century Bible), London 1967, 116.</w:t>
      </w:r>
    </w:p>
    <w:p w:rsidR="00C16161" w:rsidRDefault="00C16161" w:rsidP="00034F3E">
      <w:pPr>
        <w:spacing w:after="0" w:line="240" w:lineRule="auto"/>
        <w:ind w:left="720" w:hanging="720"/>
        <w:jc w:val="both"/>
        <w:rPr>
          <w:rFonts w:asciiTheme="minorBidi" w:hAnsiTheme="minorBidi"/>
          <w:sz w:val="24"/>
          <w:szCs w:val="24"/>
        </w:rPr>
      </w:pPr>
    </w:p>
    <w:p w:rsidR="00C16161" w:rsidRPr="008517BE" w:rsidRDefault="00C16161" w:rsidP="00034F3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Kil, </w:t>
      </w:r>
      <w:r>
        <w:rPr>
          <w:rFonts w:asciiTheme="minorBidi" w:hAnsiTheme="minorBidi"/>
          <w:i/>
          <w:iCs/>
          <w:sz w:val="24"/>
          <w:szCs w:val="24"/>
        </w:rPr>
        <w:t>Joshua</w:t>
      </w:r>
      <w:r>
        <w:rPr>
          <w:rFonts w:asciiTheme="minorBidi" w:hAnsiTheme="minorBidi"/>
          <w:sz w:val="24"/>
          <w:szCs w:val="24"/>
        </w:rPr>
        <w:t xml:space="preserve">, </w:t>
      </w:r>
      <w:r>
        <w:rPr>
          <w:rFonts w:asciiTheme="minorBidi" w:hAnsiTheme="minorBidi"/>
          <w:i/>
          <w:iCs/>
          <w:sz w:val="24"/>
          <w:szCs w:val="24"/>
        </w:rPr>
        <w:t>Da’at Mikra</w:t>
      </w:r>
      <w:r>
        <w:rPr>
          <w:rFonts w:asciiTheme="minorBidi" w:hAnsiTheme="minorBidi"/>
          <w:sz w:val="24"/>
          <w:szCs w:val="24"/>
        </w:rPr>
        <w:t>, Jerusalem 1970, 81 [Hebrew].</w:t>
      </w:r>
    </w:p>
    <w:p w:rsidR="00C16161" w:rsidRPr="00C16161" w:rsidRDefault="00C16161" w:rsidP="00034F3E">
      <w:pPr>
        <w:spacing w:after="0" w:line="240" w:lineRule="auto"/>
        <w:ind w:left="720" w:hanging="720"/>
        <w:jc w:val="both"/>
        <w:rPr>
          <w:rFonts w:asciiTheme="minorBidi" w:hAnsiTheme="minorBidi"/>
          <w:sz w:val="24"/>
          <w:szCs w:val="24"/>
        </w:rPr>
      </w:pPr>
    </w:p>
    <w:p w:rsidR="008517BE" w:rsidRDefault="008517BE" w:rsidP="00034F3E">
      <w:pPr>
        <w:spacing w:after="0" w:line="240" w:lineRule="auto"/>
        <w:ind w:left="720" w:hanging="720"/>
        <w:jc w:val="both"/>
        <w:rPr>
          <w:rFonts w:asciiTheme="minorBidi" w:hAnsiTheme="minorBidi"/>
          <w:sz w:val="24"/>
          <w:szCs w:val="24"/>
        </w:rPr>
      </w:pPr>
      <w:r>
        <w:rPr>
          <w:rFonts w:asciiTheme="minorBidi" w:hAnsiTheme="minorBidi"/>
          <w:sz w:val="24"/>
          <w:szCs w:val="24"/>
        </w:rPr>
        <w:t>S. Leonstam, “Goshen 1”</w:t>
      </w:r>
      <w:r w:rsidR="00C16161">
        <w:rPr>
          <w:rFonts w:asciiTheme="minorBidi" w:hAnsiTheme="minorBidi"/>
          <w:sz w:val="24"/>
          <w:szCs w:val="24"/>
        </w:rPr>
        <w:t>; B. Mazar, “Goshen 2,”</w:t>
      </w:r>
      <w:r>
        <w:rPr>
          <w:rFonts w:asciiTheme="minorBidi" w:hAnsiTheme="minorBidi"/>
          <w:sz w:val="24"/>
          <w:szCs w:val="24"/>
        </w:rPr>
        <w:t xml:space="preserve"> </w:t>
      </w:r>
      <w:r>
        <w:rPr>
          <w:rFonts w:asciiTheme="minorBidi" w:hAnsiTheme="minorBidi"/>
          <w:i/>
          <w:iCs/>
          <w:sz w:val="24"/>
          <w:szCs w:val="24"/>
        </w:rPr>
        <w:t>Encyclopaedia Biblica</w:t>
      </w:r>
      <w:r w:rsidR="00C16161">
        <w:rPr>
          <w:rFonts w:asciiTheme="minorBidi" w:hAnsiTheme="minorBidi"/>
          <w:sz w:val="24"/>
          <w:szCs w:val="24"/>
        </w:rPr>
        <w:t>, 2, 569-570 [Hebrew].</w:t>
      </w:r>
    </w:p>
    <w:p w:rsidR="000B6765" w:rsidRDefault="000B6765" w:rsidP="00034F3E">
      <w:pPr>
        <w:spacing w:after="0" w:line="240" w:lineRule="auto"/>
        <w:ind w:left="720" w:hanging="720"/>
        <w:jc w:val="both"/>
        <w:rPr>
          <w:rFonts w:asciiTheme="minorBidi" w:hAnsiTheme="minorBidi"/>
          <w:sz w:val="24"/>
          <w:szCs w:val="24"/>
        </w:rPr>
      </w:pPr>
    </w:p>
    <w:p w:rsidR="000B6765" w:rsidRPr="000B6765" w:rsidRDefault="000B6765" w:rsidP="00034F3E">
      <w:pPr>
        <w:spacing w:after="0" w:line="240" w:lineRule="auto"/>
        <w:ind w:left="720" w:hanging="720"/>
        <w:jc w:val="both"/>
        <w:rPr>
          <w:rFonts w:asciiTheme="minorBidi" w:hAnsiTheme="minorBidi"/>
          <w:sz w:val="24"/>
          <w:szCs w:val="24"/>
        </w:rPr>
      </w:pPr>
      <w:r>
        <w:rPr>
          <w:rFonts w:asciiTheme="minorBidi" w:hAnsiTheme="minorBidi"/>
          <w:sz w:val="24"/>
          <w:szCs w:val="24"/>
        </w:rPr>
        <w:t xml:space="preserve">Y. Levin, </w:t>
      </w:r>
      <w:r w:rsidR="004C4197">
        <w:rPr>
          <w:rFonts w:asciiTheme="minorBidi" w:hAnsiTheme="minorBidi"/>
          <w:sz w:val="24"/>
          <w:szCs w:val="24"/>
        </w:rPr>
        <w:t>“</w:t>
      </w:r>
      <w:r>
        <w:rPr>
          <w:rFonts w:asciiTheme="minorBidi" w:hAnsiTheme="minorBidi"/>
          <w:sz w:val="24"/>
          <w:szCs w:val="24"/>
        </w:rPr>
        <w:t>The Land of Goshen, Gibeon and the Southern Frontier of Saul</w:t>
      </w:r>
      <w:r w:rsidR="004C4197">
        <w:rPr>
          <w:rFonts w:asciiTheme="minorBidi" w:hAnsiTheme="minorBidi"/>
          <w:sz w:val="24"/>
          <w:szCs w:val="24"/>
        </w:rPr>
        <w:t>’</w:t>
      </w:r>
      <w:r>
        <w:rPr>
          <w:rFonts w:asciiTheme="minorBidi" w:hAnsiTheme="minorBidi"/>
          <w:sz w:val="24"/>
          <w:szCs w:val="24"/>
        </w:rPr>
        <w:t>s Kingdom,</w:t>
      </w:r>
      <w:r w:rsidR="004C4197">
        <w:rPr>
          <w:rFonts w:asciiTheme="minorBidi" w:hAnsiTheme="minorBidi"/>
          <w:sz w:val="24"/>
          <w:szCs w:val="24"/>
        </w:rPr>
        <w:t>”</w:t>
      </w:r>
      <w:r>
        <w:rPr>
          <w:rFonts w:asciiTheme="minorBidi" w:hAnsiTheme="minorBidi"/>
          <w:sz w:val="24"/>
          <w:szCs w:val="24"/>
        </w:rPr>
        <w:t xml:space="preserve"> </w:t>
      </w:r>
      <w:r>
        <w:rPr>
          <w:rFonts w:asciiTheme="minorBidi" w:hAnsiTheme="minorBidi"/>
          <w:i/>
          <w:iCs/>
          <w:sz w:val="24"/>
          <w:szCs w:val="24"/>
        </w:rPr>
        <w:t>Judea and Samaria Research Studies</w:t>
      </w:r>
      <w:r>
        <w:rPr>
          <w:rFonts w:asciiTheme="minorBidi" w:hAnsiTheme="minorBidi"/>
          <w:sz w:val="24"/>
          <w:szCs w:val="24"/>
        </w:rPr>
        <w:t xml:space="preserve"> 11 (2002), 51-68 [Hebrew].</w:t>
      </w:r>
    </w:p>
    <w:p w:rsidR="008517BE" w:rsidRPr="008517BE" w:rsidRDefault="008517BE" w:rsidP="00034F3E">
      <w:pPr>
        <w:spacing w:after="0" w:line="240" w:lineRule="auto"/>
        <w:jc w:val="both"/>
        <w:rPr>
          <w:rFonts w:asciiTheme="minorBidi" w:hAnsiTheme="minorBidi"/>
          <w:sz w:val="24"/>
          <w:szCs w:val="24"/>
        </w:rPr>
      </w:pPr>
    </w:p>
    <w:p w:rsidR="008517BE" w:rsidRPr="008517BE" w:rsidRDefault="008517BE" w:rsidP="00034F3E">
      <w:pPr>
        <w:spacing w:after="0" w:line="240" w:lineRule="auto"/>
        <w:jc w:val="both"/>
        <w:rPr>
          <w:rFonts w:asciiTheme="minorBidi" w:hAnsiTheme="minorBidi"/>
          <w:sz w:val="24"/>
          <w:szCs w:val="24"/>
        </w:rPr>
      </w:pPr>
    </w:p>
    <w:p w:rsidR="00C53D8E" w:rsidRPr="000C1970" w:rsidRDefault="00C53D8E" w:rsidP="00034F3E">
      <w:pPr>
        <w:spacing w:after="0" w:line="240" w:lineRule="auto"/>
        <w:jc w:val="both"/>
        <w:rPr>
          <w:rFonts w:asciiTheme="minorBidi" w:hAnsiTheme="minorBidi"/>
          <w:sz w:val="24"/>
          <w:szCs w:val="24"/>
          <w:rtl/>
        </w:rPr>
      </w:pPr>
      <w:r w:rsidRPr="000C1970">
        <w:rPr>
          <w:rFonts w:asciiTheme="minorBidi" w:hAnsiTheme="minorBidi"/>
          <w:sz w:val="24"/>
          <w:szCs w:val="24"/>
        </w:rPr>
        <w:t>Translated by Daniel Landman</w:t>
      </w:r>
    </w:p>
    <w:sectPr w:rsidR="00C53D8E" w:rsidRPr="000C1970" w:rsidSect="00C016C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98" w:rsidRDefault="00555598" w:rsidP="00F94FA1">
      <w:pPr>
        <w:spacing w:after="0" w:line="240" w:lineRule="auto"/>
      </w:pPr>
      <w:r>
        <w:separator/>
      </w:r>
    </w:p>
  </w:endnote>
  <w:endnote w:type="continuationSeparator" w:id="0">
    <w:p w:rsidR="00555598" w:rsidRDefault="00555598" w:rsidP="00F9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98" w:rsidRDefault="00555598" w:rsidP="00F94FA1">
      <w:pPr>
        <w:spacing w:after="0" w:line="240" w:lineRule="auto"/>
      </w:pPr>
      <w:r>
        <w:separator/>
      </w:r>
    </w:p>
  </w:footnote>
  <w:footnote w:type="continuationSeparator" w:id="0">
    <w:p w:rsidR="00555598" w:rsidRDefault="00555598" w:rsidP="00F94FA1">
      <w:pPr>
        <w:spacing w:after="0" w:line="240" w:lineRule="auto"/>
      </w:pPr>
      <w:r>
        <w:continuationSeparator/>
      </w:r>
    </w:p>
  </w:footnote>
  <w:footnote w:id="1">
    <w:p w:rsidR="002545CE" w:rsidRPr="00BD55C1" w:rsidRDefault="002545CE" w:rsidP="00BD55C1">
      <w:pPr>
        <w:pStyle w:val="FootnoteText"/>
        <w:spacing w:line="360" w:lineRule="auto"/>
        <w:jc w:val="both"/>
        <w:rPr>
          <w:rFonts w:asciiTheme="minorBidi" w:hAnsiTheme="minorBidi"/>
        </w:rPr>
      </w:pPr>
      <w:r w:rsidRPr="00BD55C1">
        <w:rPr>
          <w:rStyle w:val="FootnoteReference"/>
          <w:rFonts w:asciiTheme="minorBidi" w:hAnsiTheme="minorBidi"/>
        </w:rPr>
        <w:footnoteRef/>
      </w:r>
      <w:r w:rsidRPr="00BD55C1">
        <w:rPr>
          <w:rFonts w:asciiTheme="minorBidi" w:hAnsiTheme="minorBidi"/>
        </w:rPr>
        <w:t xml:space="preserve"> See our discussion on </w:t>
      </w:r>
      <w:r w:rsidRPr="00BD55C1">
        <w:rPr>
          <w:rFonts w:asciiTheme="minorBidi" w:hAnsiTheme="minorBidi"/>
          <w:i/>
          <w:iCs/>
        </w:rPr>
        <w:t>Parashat Shemot</w:t>
      </w:r>
      <w:r w:rsidRPr="00BD55C1">
        <w:rPr>
          <w:rFonts w:asciiTheme="minorBidi" w:hAnsiTheme="minorBidi"/>
        </w:rPr>
        <w:t>.</w:t>
      </w:r>
    </w:p>
  </w:footnote>
  <w:footnote w:id="2">
    <w:p w:rsidR="002545CE" w:rsidRPr="00BD55C1" w:rsidRDefault="002545CE" w:rsidP="00034F3E">
      <w:pPr>
        <w:pStyle w:val="FootnoteText"/>
        <w:spacing w:line="360" w:lineRule="auto"/>
        <w:jc w:val="both"/>
        <w:rPr>
          <w:rFonts w:asciiTheme="minorBidi" w:hAnsiTheme="minorBidi"/>
        </w:rPr>
      </w:pPr>
      <w:r w:rsidRPr="00034F3E">
        <w:rPr>
          <w:rStyle w:val="FootnoteReference"/>
          <w:rFonts w:asciiTheme="minorBidi" w:hAnsiTheme="minorBidi"/>
        </w:rPr>
        <w:footnoteRef/>
      </w:r>
      <w:r w:rsidRPr="00034F3E">
        <w:rPr>
          <w:rFonts w:asciiTheme="minorBidi" w:hAnsiTheme="minorBidi"/>
        </w:rPr>
        <w:t xml:space="preserve"> </w:t>
      </w:r>
      <w:r w:rsidR="00034F3E">
        <w:rPr>
          <w:rFonts w:asciiTheme="minorBidi" w:hAnsiTheme="minorBidi"/>
        </w:rPr>
        <w:t>See map.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8B6"/>
    <w:multiLevelType w:val="hybridMultilevel"/>
    <w:tmpl w:val="5E463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F4363"/>
    <w:multiLevelType w:val="hybridMultilevel"/>
    <w:tmpl w:val="C484881E"/>
    <w:lvl w:ilvl="0" w:tplc="700020B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C0773"/>
    <w:multiLevelType w:val="hybridMultilevel"/>
    <w:tmpl w:val="C30AFAC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22642"/>
    <w:multiLevelType w:val="hybridMultilevel"/>
    <w:tmpl w:val="7EE4895A"/>
    <w:lvl w:ilvl="0" w:tplc="522CE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950A55"/>
    <w:multiLevelType w:val="hybridMultilevel"/>
    <w:tmpl w:val="5E9C0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B2AF5"/>
    <w:multiLevelType w:val="hybridMultilevel"/>
    <w:tmpl w:val="C8A60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47560"/>
    <w:multiLevelType w:val="hybridMultilevel"/>
    <w:tmpl w:val="D7CE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E7B01"/>
    <w:multiLevelType w:val="hybridMultilevel"/>
    <w:tmpl w:val="9CC8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85253"/>
    <w:multiLevelType w:val="hybridMultilevel"/>
    <w:tmpl w:val="7794D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7473CA"/>
    <w:multiLevelType w:val="hybridMultilevel"/>
    <w:tmpl w:val="26C0EE54"/>
    <w:lvl w:ilvl="0" w:tplc="48D43E44">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F243C0"/>
    <w:multiLevelType w:val="hybridMultilevel"/>
    <w:tmpl w:val="E41209E8"/>
    <w:lvl w:ilvl="0" w:tplc="9F700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9"/>
  </w:num>
  <w:num w:numId="5">
    <w:abstractNumId w:val="0"/>
  </w:num>
  <w:num w:numId="6">
    <w:abstractNumId w:val="10"/>
  </w:num>
  <w:num w:numId="7">
    <w:abstractNumId w:val="7"/>
  </w:num>
  <w:num w:numId="8">
    <w:abstractNumId w:val="8"/>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0C7"/>
    <w:rsid w:val="000006F2"/>
    <w:rsid w:val="0000322D"/>
    <w:rsid w:val="0000401F"/>
    <w:rsid w:val="000040AA"/>
    <w:rsid w:val="000071A3"/>
    <w:rsid w:val="000075D7"/>
    <w:rsid w:val="00013EC3"/>
    <w:rsid w:val="0001628B"/>
    <w:rsid w:val="0001665C"/>
    <w:rsid w:val="00017D35"/>
    <w:rsid w:val="000219D2"/>
    <w:rsid w:val="00030106"/>
    <w:rsid w:val="000349A0"/>
    <w:rsid w:val="00034F3E"/>
    <w:rsid w:val="00035B20"/>
    <w:rsid w:val="000378B4"/>
    <w:rsid w:val="00044018"/>
    <w:rsid w:val="00054A7A"/>
    <w:rsid w:val="000667A0"/>
    <w:rsid w:val="00067381"/>
    <w:rsid w:val="000728F0"/>
    <w:rsid w:val="0007379D"/>
    <w:rsid w:val="0007561D"/>
    <w:rsid w:val="00082125"/>
    <w:rsid w:val="00086C79"/>
    <w:rsid w:val="00090BF6"/>
    <w:rsid w:val="00096619"/>
    <w:rsid w:val="000A773A"/>
    <w:rsid w:val="000B551A"/>
    <w:rsid w:val="000B6765"/>
    <w:rsid w:val="000C1970"/>
    <w:rsid w:val="000D1D50"/>
    <w:rsid w:val="000D77D0"/>
    <w:rsid w:val="000D7EB4"/>
    <w:rsid w:val="000E03B4"/>
    <w:rsid w:val="000E1026"/>
    <w:rsid w:val="000F1918"/>
    <w:rsid w:val="00102C26"/>
    <w:rsid w:val="0010561F"/>
    <w:rsid w:val="00107B29"/>
    <w:rsid w:val="00110506"/>
    <w:rsid w:val="0011115B"/>
    <w:rsid w:val="00123D94"/>
    <w:rsid w:val="00130137"/>
    <w:rsid w:val="00133773"/>
    <w:rsid w:val="00137A0F"/>
    <w:rsid w:val="00140E8E"/>
    <w:rsid w:val="0014188A"/>
    <w:rsid w:val="00141C7B"/>
    <w:rsid w:val="001420BC"/>
    <w:rsid w:val="00143823"/>
    <w:rsid w:val="00145E8E"/>
    <w:rsid w:val="00146E64"/>
    <w:rsid w:val="00154D4B"/>
    <w:rsid w:val="0016148C"/>
    <w:rsid w:val="0016481B"/>
    <w:rsid w:val="001727E6"/>
    <w:rsid w:val="0017412F"/>
    <w:rsid w:val="00175E69"/>
    <w:rsid w:val="00180102"/>
    <w:rsid w:val="00183D39"/>
    <w:rsid w:val="00183E32"/>
    <w:rsid w:val="001846E3"/>
    <w:rsid w:val="00187110"/>
    <w:rsid w:val="001A18E2"/>
    <w:rsid w:val="001A1A82"/>
    <w:rsid w:val="001A2F72"/>
    <w:rsid w:val="001A4355"/>
    <w:rsid w:val="001A4A4A"/>
    <w:rsid w:val="001A531A"/>
    <w:rsid w:val="001A5F24"/>
    <w:rsid w:val="001B085E"/>
    <w:rsid w:val="001C09BE"/>
    <w:rsid w:val="001C1A7B"/>
    <w:rsid w:val="001C1B40"/>
    <w:rsid w:val="001C5046"/>
    <w:rsid w:val="001D3C3F"/>
    <w:rsid w:val="001D561B"/>
    <w:rsid w:val="001E410E"/>
    <w:rsid w:val="001E43CA"/>
    <w:rsid w:val="001E61AE"/>
    <w:rsid w:val="001F1753"/>
    <w:rsid w:val="002031A5"/>
    <w:rsid w:val="00204C4D"/>
    <w:rsid w:val="0022119B"/>
    <w:rsid w:val="00221A0A"/>
    <w:rsid w:val="00221EA0"/>
    <w:rsid w:val="00224E5C"/>
    <w:rsid w:val="00226A12"/>
    <w:rsid w:val="002332F7"/>
    <w:rsid w:val="002345B7"/>
    <w:rsid w:val="002432F4"/>
    <w:rsid w:val="00243CCA"/>
    <w:rsid w:val="00244B14"/>
    <w:rsid w:val="00245299"/>
    <w:rsid w:val="002460AB"/>
    <w:rsid w:val="002545CE"/>
    <w:rsid w:val="0025659F"/>
    <w:rsid w:val="00270509"/>
    <w:rsid w:val="0027357C"/>
    <w:rsid w:val="002841E0"/>
    <w:rsid w:val="002911EB"/>
    <w:rsid w:val="00291289"/>
    <w:rsid w:val="0029214A"/>
    <w:rsid w:val="00293294"/>
    <w:rsid w:val="00297EFE"/>
    <w:rsid w:val="002A12C0"/>
    <w:rsid w:val="002B3A32"/>
    <w:rsid w:val="002B6985"/>
    <w:rsid w:val="002C1FD4"/>
    <w:rsid w:val="002C390F"/>
    <w:rsid w:val="002C400D"/>
    <w:rsid w:val="002C7F83"/>
    <w:rsid w:val="002D0CA4"/>
    <w:rsid w:val="002D3A89"/>
    <w:rsid w:val="002D400C"/>
    <w:rsid w:val="002D4CD1"/>
    <w:rsid w:val="002D5215"/>
    <w:rsid w:val="002E5C09"/>
    <w:rsid w:val="002E5FA5"/>
    <w:rsid w:val="002F680A"/>
    <w:rsid w:val="00304A9B"/>
    <w:rsid w:val="00305262"/>
    <w:rsid w:val="003121E8"/>
    <w:rsid w:val="00315608"/>
    <w:rsid w:val="003232FD"/>
    <w:rsid w:val="00323B98"/>
    <w:rsid w:val="003241CE"/>
    <w:rsid w:val="00325661"/>
    <w:rsid w:val="003407F5"/>
    <w:rsid w:val="003436F9"/>
    <w:rsid w:val="00344392"/>
    <w:rsid w:val="0034484A"/>
    <w:rsid w:val="00346C1D"/>
    <w:rsid w:val="00353F40"/>
    <w:rsid w:val="003569BC"/>
    <w:rsid w:val="0036102D"/>
    <w:rsid w:val="00370D1F"/>
    <w:rsid w:val="00373BDF"/>
    <w:rsid w:val="00373E98"/>
    <w:rsid w:val="003777F8"/>
    <w:rsid w:val="00380C59"/>
    <w:rsid w:val="003819A7"/>
    <w:rsid w:val="0038444A"/>
    <w:rsid w:val="00385415"/>
    <w:rsid w:val="00386882"/>
    <w:rsid w:val="0039612A"/>
    <w:rsid w:val="003A67DE"/>
    <w:rsid w:val="003B00D9"/>
    <w:rsid w:val="003B5A41"/>
    <w:rsid w:val="003B7A1C"/>
    <w:rsid w:val="003C2BB2"/>
    <w:rsid w:val="003C2FA9"/>
    <w:rsid w:val="003C68D8"/>
    <w:rsid w:val="003C6D51"/>
    <w:rsid w:val="003D341D"/>
    <w:rsid w:val="003D65D8"/>
    <w:rsid w:val="003D6D2D"/>
    <w:rsid w:val="003E0CD1"/>
    <w:rsid w:val="003F0C45"/>
    <w:rsid w:val="003F20C2"/>
    <w:rsid w:val="003F50C7"/>
    <w:rsid w:val="00401308"/>
    <w:rsid w:val="0040492A"/>
    <w:rsid w:val="0040533B"/>
    <w:rsid w:val="00410800"/>
    <w:rsid w:val="004133E7"/>
    <w:rsid w:val="0041532B"/>
    <w:rsid w:val="00420146"/>
    <w:rsid w:val="00431248"/>
    <w:rsid w:val="00437119"/>
    <w:rsid w:val="004429E2"/>
    <w:rsid w:val="00447F02"/>
    <w:rsid w:val="004508BD"/>
    <w:rsid w:val="00451BDD"/>
    <w:rsid w:val="004525CE"/>
    <w:rsid w:val="00461C3B"/>
    <w:rsid w:val="00463B9B"/>
    <w:rsid w:val="00472B66"/>
    <w:rsid w:val="00475B0B"/>
    <w:rsid w:val="00475DC1"/>
    <w:rsid w:val="0048207C"/>
    <w:rsid w:val="00493081"/>
    <w:rsid w:val="00494A65"/>
    <w:rsid w:val="004A3B56"/>
    <w:rsid w:val="004A6EF7"/>
    <w:rsid w:val="004B1483"/>
    <w:rsid w:val="004B19BA"/>
    <w:rsid w:val="004B6C38"/>
    <w:rsid w:val="004C4197"/>
    <w:rsid w:val="004D764E"/>
    <w:rsid w:val="004E5CC1"/>
    <w:rsid w:val="004F0F02"/>
    <w:rsid w:val="004F1154"/>
    <w:rsid w:val="004F36C0"/>
    <w:rsid w:val="004F507D"/>
    <w:rsid w:val="004F5B18"/>
    <w:rsid w:val="004F6CCA"/>
    <w:rsid w:val="005027CD"/>
    <w:rsid w:val="00512D65"/>
    <w:rsid w:val="005156CE"/>
    <w:rsid w:val="0051681A"/>
    <w:rsid w:val="00525633"/>
    <w:rsid w:val="005257E0"/>
    <w:rsid w:val="00530E10"/>
    <w:rsid w:val="00532396"/>
    <w:rsid w:val="0054065F"/>
    <w:rsid w:val="00540DCC"/>
    <w:rsid w:val="005417F5"/>
    <w:rsid w:val="0054404B"/>
    <w:rsid w:val="005446B0"/>
    <w:rsid w:val="00550BF0"/>
    <w:rsid w:val="005523E6"/>
    <w:rsid w:val="00552E02"/>
    <w:rsid w:val="00555598"/>
    <w:rsid w:val="00563022"/>
    <w:rsid w:val="00567560"/>
    <w:rsid w:val="00571144"/>
    <w:rsid w:val="00576914"/>
    <w:rsid w:val="005852F0"/>
    <w:rsid w:val="0059291C"/>
    <w:rsid w:val="005A0252"/>
    <w:rsid w:val="005A1DB0"/>
    <w:rsid w:val="005A6DE6"/>
    <w:rsid w:val="005B41C7"/>
    <w:rsid w:val="005C2A4E"/>
    <w:rsid w:val="005C7FBE"/>
    <w:rsid w:val="005D269F"/>
    <w:rsid w:val="005D4B63"/>
    <w:rsid w:val="005E38C6"/>
    <w:rsid w:val="005E49C1"/>
    <w:rsid w:val="005E5705"/>
    <w:rsid w:val="005F1C77"/>
    <w:rsid w:val="005F2583"/>
    <w:rsid w:val="005F6924"/>
    <w:rsid w:val="005F77C8"/>
    <w:rsid w:val="006044B4"/>
    <w:rsid w:val="00606BE9"/>
    <w:rsid w:val="00606F75"/>
    <w:rsid w:val="00607973"/>
    <w:rsid w:val="00611629"/>
    <w:rsid w:val="00612333"/>
    <w:rsid w:val="00612420"/>
    <w:rsid w:val="0061368E"/>
    <w:rsid w:val="006336F0"/>
    <w:rsid w:val="0064344D"/>
    <w:rsid w:val="0064547D"/>
    <w:rsid w:val="0065123A"/>
    <w:rsid w:val="00663BB0"/>
    <w:rsid w:val="0067659B"/>
    <w:rsid w:val="006904EB"/>
    <w:rsid w:val="006A2141"/>
    <w:rsid w:val="006A7334"/>
    <w:rsid w:val="006B4943"/>
    <w:rsid w:val="006C1443"/>
    <w:rsid w:val="006C30AC"/>
    <w:rsid w:val="006C571D"/>
    <w:rsid w:val="006C5F2A"/>
    <w:rsid w:val="006C5FAD"/>
    <w:rsid w:val="006C778F"/>
    <w:rsid w:val="006D13E4"/>
    <w:rsid w:val="006D2B95"/>
    <w:rsid w:val="006D2DB6"/>
    <w:rsid w:val="006D38EC"/>
    <w:rsid w:val="006D3DA0"/>
    <w:rsid w:val="006E192B"/>
    <w:rsid w:val="006E3860"/>
    <w:rsid w:val="006E3A89"/>
    <w:rsid w:val="006E5367"/>
    <w:rsid w:val="006E7851"/>
    <w:rsid w:val="006F32D9"/>
    <w:rsid w:val="006F635D"/>
    <w:rsid w:val="007016BB"/>
    <w:rsid w:val="00701C64"/>
    <w:rsid w:val="007173E1"/>
    <w:rsid w:val="00720042"/>
    <w:rsid w:val="00724896"/>
    <w:rsid w:val="007256A1"/>
    <w:rsid w:val="00741D66"/>
    <w:rsid w:val="007439F4"/>
    <w:rsid w:val="00745719"/>
    <w:rsid w:val="00746A11"/>
    <w:rsid w:val="00766D37"/>
    <w:rsid w:val="00770A85"/>
    <w:rsid w:val="0077133E"/>
    <w:rsid w:val="00777035"/>
    <w:rsid w:val="00782D07"/>
    <w:rsid w:val="007850BE"/>
    <w:rsid w:val="00791945"/>
    <w:rsid w:val="0079439B"/>
    <w:rsid w:val="00797D4E"/>
    <w:rsid w:val="007A1622"/>
    <w:rsid w:val="007B26BB"/>
    <w:rsid w:val="007B5797"/>
    <w:rsid w:val="007B68A4"/>
    <w:rsid w:val="007D1786"/>
    <w:rsid w:val="007D5AA4"/>
    <w:rsid w:val="007E2128"/>
    <w:rsid w:val="007E76F5"/>
    <w:rsid w:val="007F1254"/>
    <w:rsid w:val="007F440D"/>
    <w:rsid w:val="007F4C83"/>
    <w:rsid w:val="00803309"/>
    <w:rsid w:val="00810630"/>
    <w:rsid w:val="00810B1E"/>
    <w:rsid w:val="00816772"/>
    <w:rsid w:val="00832EC2"/>
    <w:rsid w:val="00832F08"/>
    <w:rsid w:val="00833B2E"/>
    <w:rsid w:val="00833C2B"/>
    <w:rsid w:val="00841785"/>
    <w:rsid w:val="00844414"/>
    <w:rsid w:val="00851066"/>
    <w:rsid w:val="00851223"/>
    <w:rsid w:val="008517BE"/>
    <w:rsid w:val="0085239C"/>
    <w:rsid w:val="00853BC2"/>
    <w:rsid w:val="0085631A"/>
    <w:rsid w:val="00856D77"/>
    <w:rsid w:val="0086662F"/>
    <w:rsid w:val="00875834"/>
    <w:rsid w:val="00877A8D"/>
    <w:rsid w:val="008802DF"/>
    <w:rsid w:val="00881769"/>
    <w:rsid w:val="008830C6"/>
    <w:rsid w:val="00892254"/>
    <w:rsid w:val="00892A6C"/>
    <w:rsid w:val="00893059"/>
    <w:rsid w:val="00894F80"/>
    <w:rsid w:val="008A2A41"/>
    <w:rsid w:val="008B120A"/>
    <w:rsid w:val="008B278A"/>
    <w:rsid w:val="008B2F9B"/>
    <w:rsid w:val="008B36F4"/>
    <w:rsid w:val="008C233C"/>
    <w:rsid w:val="008C2CB2"/>
    <w:rsid w:val="008C3B05"/>
    <w:rsid w:val="008D1E8D"/>
    <w:rsid w:val="008D22E7"/>
    <w:rsid w:val="008D4104"/>
    <w:rsid w:val="008D4DDC"/>
    <w:rsid w:val="008E0480"/>
    <w:rsid w:val="008E1EFF"/>
    <w:rsid w:val="008E55C7"/>
    <w:rsid w:val="008E64F5"/>
    <w:rsid w:val="008E7541"/>
    <w:rsid w:val="008F0873"/>
    <w:rsid w:val="008F50B8"/>
    <w:rsid w:val="008F71EA"/>
    <w:rsid w:val="008F7208"/>
    <w:rsid w:val="009011D6"/>
    <w:rsid w:val="0090354F"/>
    <w:rsid w:val="00910EBB"/>
    <w:rsid w:val="009141D6"/>
    <w:rsid w:val="0091696C"/>
    <w:rsid w:val="009321AB"/>
    <w:rsid w:val="00934983"/>
    <w:rsid w:val="009359B3"/>
    <w:rsid w:val="00942A69"/>
    <w:rsid w:val="00945905"/>
    <w:rsid w:val="00950A89"/>
    <w:rsid w:val="00954C15"/>
    <w:rsid w:val="00957DD9"/>
    <w:rsid w:val="00962F7C"/>
    <w:rsid w:val="00965435"/>
    <w:rsid w:val="00972740"/>
    <w:rsid w:val="00976868"/>
    <w:rsid w:val="00977EF3"/>
    <w:rsid w:val="00980571"/>
    <w:rsid w:val="00985A74"/>
    <w:rsid w:val="00995EA9"/>
    <w:rsid w:val="009A26ED"/>
    <w:rsid w:val="009A2BF3"/>
    <w:rsid w:val="009A3661"/>
    <w:rsid w:val="009A4FD1"/>
    <w:rsid w:val="009A68AF"/>
    <w:rsid w:val="009B497A"/>
    <w:rsid w:val="009B77BF"/>
    <w:rsid w:val="009C16CF"/>
    <w:rsid w:val="009C4AB7"/>
    <w:rsid w:val="009D394F"/>
    <w:rsid w:val="009D53DA"/>
    <w:rsid w:val="009D6181"/>
    <w:rsid w:val="009D64D4"/>
    <w:rsid w:val="009E1A77"/>
    <w:rsid w:val="009E4D40"/>
    <w:rsid w:val="009E501F"/>
    <w:rsid w:val="009E798B"/>
    <w:rsid w:val="009F0970"/>
    <w:rsid w:val="00A04BBD"/>
    <w:rsid w:val="00A14456"/>
    <w:rsid w:val="00A15F8E"/>
    <w:rsid w:val="00A16154"/>
    <w:rsid w:val="00A16756"/>
    <w:rsid w:val="00A334BD"/>
    <w:rsid w:val="00A33E47"/>
    <w:rsid w:val="00A34FB4"/>
    <w:rsid w:val="00A35DD0"/>
    <w:rsid w:val="00A36222"/>
    <w:rsid w:val="00A3726E"/>
    <w:rsid w:val="00A40C0C"/>
    <w:rsid w:val="00A460C5"/>
    <w:rsid w:val="00A468EE"/>
    <w:rsid w:val="00A53DD7"/>
    <w:rsid w:val="00A60C18"/>
    <w:rsid w:val="00A62C8C"/>
    <w:rsid w:val="00A67C52"/>
    <w:rsid w:val="00A775C7"/>
    <w:rsid w:val="00A777D1"/>
    <w:rsid w:val="00A85567"/>
    <w:rsid w:val="00A87725"/>
    <w:rsid w:val="00A87997"/>
    <w:rsid w:val="00A91D74"/>
    <w:rsid w:val="00A92F4B"/>
    <w:rsid w:val="00AA562B"/>
    <w:rsid w:val="00AB10B2"/>
    <w:rsid w:val="00AC148D"/>
    <w:rsid w:val="00AD2D82"/>
    <w:rsid w:val="00AD2D98"/>
    <w:rsid w:val="00AD549C"/>
    <w:rsid w:val="00AE0F50"/>
    <w:rsid w:val="00AE3D64"/>
    <w:rsid w:val="00AF512C"/>
    <w:rsid w:val="00B0757F"/>
    <w:rsid w:val="00B121AD"/>
    <w:rsid w:val="00B2102D"/>
    <w:rsid w:val="00B31446"/>
    <w:rsid w:val="00B315E9"/>
    <w:rsid w:val="00B32DB6"/>
    <w:rsid w:val="00B35CD1"/>
    <w:rsid w:val="00B378D6"/>
    <w:rsid w:val="00B40FB9"/>
    <w:rsid w:val="00B41F90"/>
    <w:rsid w:val="00B42FB5"/>
    <w:rsid w:val="00B538A2"/>
    <w:rsid w:val="00B54638"/>
    <w:rsid w:val="00B60C15"/>
    <w:rsid w:val="00B6292C"/>
    <w:rsid w:val="00B64296"/>
    <w:rsid w:val="00B77457"/>
    <w:rsid w:val="00B82D4D"/>
    <w:rsid w:val="00B84F87"/>
    <w:rsid w:val="00B86E3F"/>
    <w:rsid w:val="00B97737"/>
    <w:rsid w:val="00B97CAE"/>
    <w:rsid w:val="00BA2722"/>
    <w:rsid w:val="00BB1121"/>
    <w:rsid w:val="00BB1686"/>
    <w:rsid w:val="00BB5E21"/>
    <w:rsid w:val="00BC71DC"/>
    <w:rsid w:val="00BD4AA4"/>
    <w:rsid w:val="00BD55C1"/>
    <w:rsid w:val="00BD7946"/>
    <w:rsid w:val="00BE08A6"/>
    <w:rsid w:val="00BE118C"/>
    <w:rsid w:val="00BE150A"/>
    <w:rsid w:val="00BE43CF"/>
    <w:rsid w:val="00BE780C"/>
    <w:rsid w:val="00BE7B22"/>
    <w:rsid w:val="00BF1E16"/>
    <w:rsid w:val="00C016C3"/>
    <w:rsid w:val="00C027D9"/>
    <w:rsid w:val="00C03FCF"/>
    <w:rsid w:val="00C06A69"/>
    <w:rsid w:val="00C12B3D"/>
    <w:rsid w:val="00C1375E"/>
    <w:rsid w:val="00C1397E"/>
    <w:rsid w:val="00C15713"/>
    <w:rsid w:val="00C16161"/>
    <w:rsid w:val="00C213DD"/>
    <w:rsid w:val="00C2696F"/>
    <w:rsid w:val="00C336FC"/>
    <w:rsid w:val="00C34AD3"/>
    <w:rsid w:val="00C34DE1"/>
    <w:rsid w:val="00C35509"/>
    <w:rsid w:val="00C37D96"/>
    <w:rsid w:val="00C43842"/>
    <w:rsid w:val="00C44235"/>
    <w:rsid w:val="00C44A1A"/>
    <w:rsid w:val="00C5015C"/>
    <w:rsid w:val="00C50A68"/>
    <w:rsid w:val="00C53D8E"/>
    <w:rsid w:val="00C54E7C"/>
    <w:rsid w:val="00C62EEA"/>
    <w:rsid w:val="00C73FBD"/>
    <w:rsid w:val="00C748A1"/>
    <w:rsid w:val="00C75610"/>
    <w:rsid w:val="00C77EB9"/>
    <w:rsid w:val="00C80D04"/>
    <w:rsid w:val="00C829C7"/>
    <w:rsid w:val="00C82B87"/>
    <w:rsid w:val="00C843E4"/>
    <w:rsid w:val="00C91788"/>
    <w:rsid w:val="00C93912"/>
    <w:rsid w:val="00C95904"/>
    <w:rsid w:val="00CA1711"/>
    <w:rsid w:val="00CA4B13"/>
    <w:rsid w:val="00CA7822"/>
    <w:rsid w:val="00CA7E99"/>
    <w:rsid w:val="00CB4628"/>
    <w:rsid w:val="00CB5704"/>
    <w:rsid w:val="00CB5C9C"/>
    <w:rsid w:val="00CC1431"/>
    <w:rsid w:val="00CC647E"/>
    <w:rsid w:val="00CC73F0"/>
    <w:rsid w:val="00CC7E2B"/>
    <w:rsid w:val="00CD0AA1"/>
    <w:rsid w:val="00CE278A"/>
    <w:rsid w:val="00CE2C75"/>
    <w:rsid w:val="00CF29A8"/>
    <w:rsid w:val="00CF393B"/>
    <w:rsid w:val="00D01C96"/>
    <w:rsid w:val="00D10283"/>
    <w:rsid w:val="00D1326D"/>
    <w:rsid w:val="00D145F4"/>
    <w:rsid w:val="00D173F3"/>
    <w:rsid w:val="00D2278F"/>
    <w:rsid w:val="00D33827"/>
    <w:rsid w:val="00D33AB2"/>
    <w:rsid w:val="00D350DC"/>
    <w:rsid w:val="00D4099C"/>
    <w:rsid w:val="00D42AD1"/>
    <w:rsid w:val="00D47EDD"/>
    <w:rsid w:val="00D50DC8"/>
    <w:rsid w:val="00D53E05"/>
    <w:rsid w:val="00D56318"/>
    <w:rsid w:val="00D56B03"/>
    <w:rsid w:val="00D609ED"/>
    <w:rsid w:val="00D62593"/>
    <w:rsid w:val="00D649BB"/>
    <w:rsid w:val="00D64CFA"/>
    <w:rsid w:val="00D67A8C"/>
    <w:rsid w:val="00D73229"/>
    <w:rsid w:val="00D74602"/>
    <w:rsid w:val="00D80FDB"/>
    <w:rsid w:val="00D929A4"/>
    <w:rsid w:val="00D96D1E"/>
    <w:rsid w:val="00DA3EEC"/>
    <w:rsid w:val="00DB1ADD"/>
    <w:rsid w:val="00DB4D72"/>
    <w:rsid w:val="00DB7F37"/>
    <w:rsid w:val="00DC5DE7"/>
    <w:rsid w:val="00DC603A"/>
    <w:rsid w:val="00DC60BA"/>
    <w:rsid w:val="00DC7103"/>
    <w:rsid w:val="00DC749D"/>
    <w:rsid w:val="00DD1E98"/>
    <w:rsid w:val="00DD3841"/>
    <w:rsid w:val="00DE0D6C"/>
    <w:rsid w:val="00DE1524"/>
    <w:rsid w:val="00DE5260"/>
    <w:rsid w:val="00DE6122"/>
    <w:rsid w:val="00DE68A7"/>
    <w:rsid w:val="00DF21F7"/>
    <w:rsid w:val="00DF529B"/>
    <w:rsid w:val="00DF7B3D"/>
    <w:rsid w:val="00E06024"/>
    <w:rsid w:val="00E0683E"/>
    <w:rsid w:val="00E140DA"/>
    <w:rsid w:val="00E24C42"/>
    <w:rsid w:val="00E24DB5"/>
    <w:rsid w:val="00E26A6C"/>
    <w:rsid w:val="00E34915"/>
    <w:rsid w:val="00E40144"/>
    <w:rsid w:val="00E40C85"/>
    <w:rsid w:val="00E45CE9"/>
    <w:rsid w:val="00E47F01"/>
    <w:rsid w:val="00E55A1A"/>
    <w:rsid w:val="00E63077"/>
    <w:rsid w:val="00E64DD2"/>
    <w:rsid w:val="00E67FC9"/>
    <w:rsid w:val="00E704E5"/>
    <w:rsid w:val="00E77DC5"/>
    <w:rsid w:val="00E82E4E"/>
    <w:rsid w:val="00E85641"/>
    <w:rsid w:val="00E857D3"/>
    <w:rsid w:val="00E93223"/>
    <w:rsid w:val="00E94906"/>
    <w:rsid w:val="00E95A5B"/>
    <w:rsid w:val="00EB4E05"/>
    <w:rsid w:val="00EC0E86"/>
    <w:rsid w:val="00ED1F05"/>
    <w:rsid w:val="00ED7F6F"/>
    <w:rsid w:val="00EE2CD0"/>
    <w:rsid w:val="00EE2D2F"/>
    <w:rsid w:val="00EE47BA"/>
    <w:rsid w:val="00EE4CAA"/>
    <w:rsid w:val="00EE67B3"/>
    <w:rsid w:val="00EE68A3"/>
    <w:rsid w:val="00EF08E6"/>
    <w:rsid w:val="00EF2048"/>
    <w:rsid w:val="00EF300A"/>
    <w:rsid w:val="00EF3A51"/>
    <w:rsid w:val="00EF77B6"/>
    <w:rsid w:val="00F037EF"/>
    <w:rsid w:val="00F03B49"/>
    <w:rsid w:val="00F07888"/>
    <w:rsid w:val="00F07A61"/>
    <w:rsid w:val="00F07BD1"/>
    <w:rsid w:val="00F15A2A"/>
    <w:rsid w:val="00F208E2"/>
    <w:rsid w:val="00F20967"/>
    <w:rsid w:val="00F21AD1"/>
    <w:rsid w:val="00F2219D"/>
    <w:rsid w:val="00F249C6"/>
    <w:rsid w:val="00F25E4B"/>
    <w:rsid w:val="00F26730"/>
    <w:rsid w:val="00F27510"/>
    <w:rsid w:val="00F275AC"/>
    <w:rsid w:val="00F36167"/>
    <w:rsid w:val="00F3786A"/>
    <w:rsid w:val="00F61340"/>
    <w:rsid w:val="00F63C04"/>
    <w:rsid w:val="00F72EB3"/>
    <w:rsid w:val="00F7770D"/>
    <w:rsid w:val="00F77FE3"/>
    <w:rsid w:val="00F87F05"/>
    <w:rsid w:val="00F91509"/>
    <w:rsid w:val="00F94B1B"/>
    <w:rsid w:val="00F94FA1"/>
    <w:rsid w:val="00F97F25"/>
    <w:rsid w:val="00FA1386"/>
    <w:rsid w:val="00FA1B63"/>
    <w:rsid w:val="00FA53F1"/>
    <w:rsid w:val="00FA69DF"/>
    <w:rsid w:val="00FB1599"/>
    <w:rsid w:val="00FC2717"/>
    <w:rsid w:val="00FC284A"/>
    <w:rsid w:val="00FD081F"/>
    <w:rsid w:val="00FD0F7A"/>
    <w:rsid w:val="00FD4D5A"/>
    <w:rsid w:val="00FE3829"/>
    <w:rsid w:val="00FE3972"/>
    <w:rsid w:val="00FF56CF"/>
    <w:rsid w:val="00FF573D"/>
    <w:rsid w:val="00FF59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semiHidden/>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98B"/>
  </w:style>
  <w:style w:type="paragraph" w:styleId="Heading3">
    <w:name w:val="heading 3"/>
    <w:basedOn w:val="Normal"/>
    <w:link w:val="Heading3Char"/>
    <w:uiPriority w:val="9"/>
    <w:qFormat/>
    <w:rsid w:val="006C5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3EC3"/>
  </w:style>
  <w:style w:type="character" w:styleId="CommentReference">
    <w:name w:val="annotation reference"/>
    <w:basedOn w:val="DefaultParagraphFont"/>
    <w:uiPriority w:val="99"/>
    <w:semiHidden/>
    <w:unhideWhenUsed/>
    <w:rsid w:val="00ED1F05"/>
    <w:rPr>
      <w:sz w:val="16"/>
      <w:szCs w:val="16"/>
    </w:rPr>
  </w:style>
  <w:style w:type="paragraph" w:styleId="CommentText">
    <w:name w:val="annotation text"/>
    <w:basedOn w:val="Normal"/>
    <w:link w:val="CommentTextChar"/>
    <w:uiPriority w:val="99"/>
    <w:semiHidden/>
    <w:unhideWhenUsed/>
    <w:rsid w:val="00ED1F05"/>
    <w:pPr>
      <w:spacing w:line="240" w:lineRule="auto"/>
    </w:pPr>
    <w:rPr>
      <w:sz w:val="20"/>
      <w:szCs w:val="20"/>
    </w:rPr>
  </w:style>
  <w:style w:type="character" w:customStyle="1" w:styleId="CommentTextChar">
    <w:name w:val="Comment Text Char"/>
    <w:basedOn w:val="DefaultParagraphFont"/>
    <w:link w:val="CommentText"/>
    <w:uiPriority w:val="99"/>
    <w:semiHidden/>
    <w:rsid w:val="00ED1F05"/>
    <w:rPr>
      <w:sz w:val="20"/>
      <w:szCs w:val="20"/>
    </w:rPr>
  </w:style>
  <w:style w:type="paragraph" w:styleId="CommentSubject">
    <w:name w:val="annotation subject"/>
    <w:basedOn w:val="CommentText"/>
    <w:next w:val="CommentText"/>
    <w:link w:val="CommentSubjectChar"/>
    <w:uiPriority w:val="99"/>
    <w:semiHidden/>
    <w:unhideWhenUsed/>
    <w:rsid w:val="00ED1F05"/>
    <w:rPr>
      <w:b/>
      <w:bCs/>
    </w:rPr>
  </w:style>
  <w:style w:type="character" w:customStyle="1" w:styleId="CommentSubjectChar">
    <w:name w:val="Comment Subject Char"/>
    <w:basedOn w:val="CommentTextChar"/>
    <w:link w:val="CommentSubject"/>
    <w:uiPriority w:val="99"/>
    <w:semiHidden/>
    <w:rsid w:val="00ED1F05"/>
    <w:rPr>
      <w:b/>
      <w:bCs/>
      <w:sz w:val="20"/>
      <w:szCs w:val="20"/>
    </w:rPr>
  </w:style>
  <w:style w:type="paragraph" w:styleId="BalloonText">
    <w:name w:val="Balloon Text"/>
    <w:basedOn w:val="Normal"/>
    <w:link w:val="BalloonTextChar"/>
    <w:uiPriority w:val="99"/>
    <w:semiHidden/>
    <w:unhideWhenUsed/>
    <w:rsid w:val="00E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F05"/>
    <w:rPr>
      <w:rFonts w:ascii="Tahoma" w:hAnsi="Tahoma" w:cs="Tahoma"/>
      <w:sz w:val="16"/>
      <w:szCs w:val="16"/>
    </w:rPr>
  </w:style>
  <w:style w:type="paragraph" w:styleId="FootnoteText">
    <w:name w:val="footnote text"/>
    <w:basedOn w:val="Normal"/>
    <w:link w:val="FootnoteTextChar"/>
    <w:uiPriority w:val="99"/>
    <w:semiHidden/>
    <w:unhideWhenUsed/>
    <w:rsid w:val="00F94F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FA1"/>
    <w:rPr>
      <w:sz w:val="20"/>
      <w:szCs w:val="20"/>
    </w:rPr>
  </w:style>
  <w:style w:type="character" w:styleId="FootnoteReference">
    <w:name w:val="footnote reference"/>
    <w:basedOn w:val="DefaultParagraphFont"/>
    <w:uiPriority w:val="99"/>
    <w:semiHidden/>
    <w:unhideWhenUsed/>
    <w:rsid w:val="00F94FA1"/>
    <w:rPr>
      <w:vertAlign w:val="superscript"/>
    </w:rPr>
  </w:style>
  <w:style w:type="paragraph" w:styleId="Revision">
    <w:name w:val="Revision"/>
    <w:hidden/>
    <w:uiPriority w:val="99"/>
    <w:semiHidden/>
    <w:rsid w:val="002D0CA4"/>
    <w:pPr>
      <w:spacing w:after="0" w:line="240" w:lineRule="auto"/>
    </w:pPr>
  </w:style>
  <w:style w:type="paragraph" w:styleId="ListParagraph">
    <w:name w:val="List Paragraph"/>
    <w:basedOn w:val="Normal"/>
    <w:uiPriority w:val="34"/>
    <w:qFormat/>
    <w:rsid w:val="0064344D"/>
    <w:pPr>
      <w:ind w:left="720"/>
      <w:contextualSpacing/>
    </w:pPr>
  </w:style>
  <w:style w:type="table" w:styleId="TableGrid">
    <w:name w:val="Table Grid"/>
    <w:basedOn w:val="TableNormal"/>
    <w:uiPriority w:val="59"/>
    <w:rsid w:val="001A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C5FAD"/>
    <w:rPr>
      <w:rFonts w:ascii="Times New Roman" w:eastAsia="Times New Roman" w:hAnsi="Times New Roman" w:cs="Times New Roman"/>
      <w:b/>
      <w:bCs/>
      <w:sz w:val="27"/>
      <w:szCs w:val="27"/>
    </w:rPr>
  </w:style>
  <w:style w:type="character" w:styleId="Emphasis">
    <w:name w:val="Emphasis"/>
    <w:basedOn w:val="DefaultParagraphFont"/>
    <w:uiPriority w:val="20"/>
    <w:qFormat/>
    <w:rsid w:val="006C5FAD"/>
    <w:rPr>
      <w:i/>
      <w:iCs/>
    </w:rPr>
  </w:style>
  <w:style w:type="character" w:styleId="Hyperlink">
    <w:name w:val="Hyperlink"/>
    <w:basedOn w:val="DefaultParagraphFont"/>
    <w:uiPriority w:val="99"/>
    <w:unhideWhenUsed/>
    <w:rsid w:val="00844414"/>
    <w:rPr>
      <w:color w:val="0000FF" w:themeColor="hyperlink"/>
      <w:u w:val="single"/>
    </w:rPr>
  </w:style>
  <w:style w:type="character" w:styleId="FollowedHyperlink">
    <w:name w:val="FollowedHyperlink"/>
    <w:basedOn w:val="DefaultParagraphFont"/>
    <w:uiPriority w:val="99"/>
    <w:semiHidden/>
    <w:unhideWhenUsed/>
    <w:rsid w:val="00844414"/>
    <w:rPr>
      <w:color w:val="800080" w:themeColor="followedHyperlink"/>
      <w:u w:val="single"/>
    </w:rPr>
  </w:style>
  <w:style w:type="paragraph" w:styleId="Header">
    <w:name w:val="header"/>
    <w:basedOn w:val="Normal"/>
    <w:link w:val="HeaderChar"/>
    <w:uiPriority w:val="99"/>
    <w:unhideWhenUsed/>
    <w:rsid w:val="001418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188A"/>
  </w:style>
  <w:style w:type="paragraph" w:styleId="Footer">
    <w:name w:val="footer"/>
    <w:basedOn w:val="Normal"/>
    <w:link w:val="FooterChar"/>
    <w:uiPriority w:val="99"/>
    <w:unhideWhenUsed/>
    <w:rsid w:val="001418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188A"/>
  </w:style>
  <w:style w:type="paragraph" w:customStyle="1" w:styleId="CC">
    <w:name w:val="CC"/>
    <w:basedOn w:val="BodyText"/>
    <w:uiPriority w:val="99"/>
    <w:rsid w:val="0014188A"/>
    <w:pPr>
      <w:keepLines/>
      <w:widowControl w:val="0"/>
      <w:autoSpaceDE w:val="0"/>
      <w:autoSpaceDN w:val="0"/>
      <w:spacing w:after="160" w:line="240" w:lineRule="auto"/>
      <w:ind w:left="360" w:hanging="360"/>
    </w:pPr>
    <w:rPr>
      <w:rFonts w:ascii="CG Times" w:eastAsia="Calibri" w:hAnsi="CG Times" w:cs="Times New Roman"/>
      <w:b/>
      <w:sz w:val="20"/>
      <w:szCs w:val="20"/>
    </w:rPr>
  </w:style>
  <w:style w:type="paragraph" w:styleId="BodyText">
    <w:name w:val="Body Text"/>
    <w:basedOn w:val="Normal"/>
    <w:link w:val="BodyTextChar"/>
    <w:uiPriority w:val="99"/>
    <w:semiHidden/>
    <w:unhideWhenUsed/>
    <w:rsid w:val="0014188A"/>
    <w:pPr>
      <w:spacing w:after="120"/>
    </w:pPr>
  </w:style>
  <w:style w:type="character" w:customStyle="1" w:styleId="BodyTextChar">
    <w:name w:val="Body Text Char"/>
    <w:basedOn w:val="DefaultParagraphFont"/>
    <w:link w:val="BodyText"/>
    <w:uiPriority w:val="99"/>
    <w:semiHidden/>
    <w:rsid w:val="0014188A"/>
  </w:style>
  <w:style w:type="paragraph" w:styleId="Caption">
    <w:name w:val="caption"/>
    <w:basedOn w:val="Normal"/>
    <w:next w:val="Normal"/>
    <w:uiPriority w:val="35"/>
    <w:unhideWhenUsed/>
    <w:qFormat/>
    <w:rsid w:val="00C53D8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4268">
      <w:bodyDiv w:val="1"/>
      <w:marLeft w:val="0"/>
      <w:marRight w:val="0"/>
      <w:marTop w:val="0"/>
      <w:marBottom w:val="0"/>
      <w:divBdr>
        <w:top w:val="none" w:sz="0" w:space="0" w:color="auto"/>
        <w:left w:val="none" w:sz="0" w:space="0" w:color="auto"/>
        <w:bottom w:val="none" w:sz="0" w:space="0" w:color="auto"/>
        <w:right w:val="none" w:sz="0" w:space="0" w:color="auto"/>
      </w:divBdr>
    </w:div>
    <w:div w:id="687367414">
      <w:bodyDiv w:val="1"/>
      <w:marLeft w:val="0"/>
      <w:marRight w:val="0"/>
      <w:marTop w:val="0"/>
      <w:marBottom w:val="0"/>
      <w:divBdr>
        <w:top w:val="none" w:sz="0" w:space="0" w:color="auto"/>
        <w:left w:val="none" w:sz="0" w:space="0" w:color="auto"/>
        <w:bottom w:val="none" w:sz="0" w:space="0" w:color="auto"/>
        <w:right w:val="none" w:sz="0" w:space="0" w:color="auto"/>
      </w:divBdr>
    </w:div>
    <w:div w:id="907231488">
      <w:bodyDiv w:val="1"/>
      <w:marLeft w:val="0"/>
      <w:marRight w:val="0"/>
      <w:marTop w:val="0"/>
      <w:marBottom w:val="0"/>
      <w:divBdr>
        <w:top w:val="none" w:sz="0" w:space="0" w:color="auto"/>
        <w:left w:val="none" w:sz="0" w:space="0" w:color="auto"/>
        <w:bottom w:val="none" w:sz="0" w:space="0" w:color="auto"/>
        <w:right w:val="none" w:sz="0" w:space="0" w:color="auto"/>
      </w:divBdr>
    </w:div>
    <w:div w:id="1124350831">
      <w:bodyDiv w:val="1"/>
      <w:marLeft w:val="0"/>
      <w:marRight w:val="0"/>
      <w:marTop w:val="0"/>
      <w:marBottom w:val="0"/>
      <w:divBdr>
        <w:top w:val="none" w:sz="0" w:space="0" w:color="auto"/>
        <w:left w:val="none" w:sz="0" w:space="0" w:color="auto"/>
        <w:bottom w:val="none" w:sz="0" w:space="0" w:color="auto"/>
        <w:right w:val="none" w:sz="0" w:space="0" w:color="auto"/>
      </w:divBdr>
    </w:div>
    <w:div w:id="14872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vbm-torah.org/archive/geography/15b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60A81-8539-48E6-AC04-34DA2C3C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1600</Words>
  <Characters>9123</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tmpUser</cp:lastModifiedBy>
  <cp:revision>3</cp:revision>
  <dcterms:created xsi:type="dcterms:W3CDTF">2015-01-13T09:27:00Z</dcterms:created>
  <dcterms:modified xsi:type="dcterms:W3CDTF">2015-01-13T10:03:00Z</dcterms:modified>
</cp:coreProperties>
</file>