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424BC4" w:rsidP="00424BC4">
      <w:pPr>
        <w:pStyle w:val="20"/>
        <w:ind w:firstLine="720"/>
        <w:rPr>
          <w:rFonts w:ascii="Narkisim" w:hAnsi="Narkisim" w:cs="Narkisim"/>
          <w:sz w:val="36"/>
          <w:szCs w:val="36"/>
          <w:rtl/>
        </w:rPr>
      </w:pPr>
      <w:r w:rsidRPr="00424BC4">
        <w:rPr>
          <w:rFonts w:ascii="Narkisim" w:hAnsi="Narkisim" w:cs="Narkisim"/>
          <w:sz w:val="36"/>
          <w:szCs w:val="36"/>
          <w:rtl/>
        </w:rPr>
        <w:t>בעניין הזכרת שם ומלכות בברכה</w:t>
      </w:r>
    </w:p>
    <w:p w:rsidR="00535514" w:rsidRDefault="00535514" w:rsidP="00800A35">
      <w:pPr>
        <w:pStyle w:val="20"/>
        <w:jc w:val="both"/>
        <w:rPr>
          <w:rFonts w:ascii="Narkisim" w:hAnsi="Narkisim" w:cs="Narkisim"/>
          <w:rtl/>
        </w:rPr>
      </w:pPr>
    </w:p>
    <w:p w:rsidR="007B7CFE" w:rsidRPr="002538AD" w:rsidRDefault="007B7CFE" w:rsidP="00800A35">
      <w:pPr>
        <w:pStyle w:val="20"/>
        <w:jc w:val="both"/>
        <w:rPr>
          <w:rFonts w:ascii="Narkisim" w:hAnsi="Narkisim" w:cs="Narkisim"/>
          <w:rtl/>
        </w:rPr>
        <w:sectPr w:rsidR="007B7CFE" w:rsidRPr="002538AD" w:rsidSect="00535514">
          <w:headerReference w:type="default" r:id="rId9"/>
          <w:type w:val="continuous"/>
          <w:pgSz w:w="12240" w:h="15840"/>
          <w:pgMar w:top="1134" w:right="1134" w:bottom="964" w:left="1134" w:header="720" w:footer="720" w:gutter="0"/>
          <w:cols w:space="720"/>
          <w:bidi/>
          <w:docGrid w:linePitch="360"/>
        </w:sectPr>
      </w:pP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lastRenderedPageBreak/>
        <w:t xml:space="preserve">ביחס למטבע הברכה היסודי, ידועה מחלוקת רב ורבי יוחנן. </w:t>
      </w:r>
      <w:proofErr w:type="spellStart"/>
      <w:r w:rsidRPr="00424BC4">
        <w:rPr>
          <w:rFonts w:ascii="Narkisim" w:eastAsia="Calibri" w:hAnsi="Narkisim"/>
          <w:sz w:val="24"/>
          <w:szCs w:val="24"/>
          <w:rtl/>
        </w:rPr>
        <w:t>דגרסינן</w:t>
      </w:r>
      <w:proofErr w:type="spellEnd"/>
      <w:r w:rsidRPr="00424BC4">
        <w:rPr>
          <w:rFonts w:ascii="Narkisim" w:eastAsia="Calibri" w:hAnsi="Narkisim"/>
          <w:sz w:val="24"/>
          <w:szCs w:val="24"/>
          <w:rtl/>
        </w:rPr>
        <w:t xml:space="preserve"> בברכות:</w:t>
      </w:r>
    </w:p>
    <w:p w:rsidR="00424BC4" w:rsidRPr="005C74E3" w:rsidRDefault="00424BC4" w:rsidP="005C74E3">
      <w:pPr>
        <w:pStyle w:val="aa"/>
        <w:rPr>
          <w:sz w:val="22"/>
          <w:szCs w:val="24"/>
          <w:rtl/>
        </w:rPr>
      </w:pPr>
      <w:r w:rsidRPr="005C74E3">
        <w:rPr>
          <w:sz w:val="22"/>
          <w:szCs w:val="24"/>
          <w:rtl/>
        </w:rPr>
        <w:t xml:space="preserve">אמר רב כל ברכה שאין בה הזכרת השם אינה ברכה. ורבי יוחנן אמר </w:t>
      </w:r>
      <w:r w:rsidR="005C74E3">
        <w:rPr>
          <w:sz w:val="22"/>
          <w:szCs w:val="24"/>
          <w:rtl/>
        </w:rPr>
        <w:t>כל ברכה שאין בה מלכות אינה ברכה</w:t>
      </w:r>
      <w:r w:rsidR="005C74E3">
        <w:rPr>
          <w:rFonts w:hint="cs"/>
          <w:sz w:val="22"/>
          <w:szCs w:val="24"/>
          <w:rtl/>
        </w:rPr>
        <w:t>.</w:t>
      </w:r>
      <w:r w:rsidR="005C74E3">
        <w:rPr>
          <w:rFonts w:hint="cs"/>
          <w:sz w:val="22"/>
          <w:szCs w:val="24"/>
          <w:rtl/>
        </w:rPr>
        <w:tab/>
      </w:r>
      <w:r w:rsidRPr="005C74E3">
        <w:rPr>
          <w:sz w:val="18"/>
          <w:szCs w:val="20"/>
          <w:rtl/>
        </w:rPr>
        <w:t>(</w:t>
      </w:r>
      <w:r w:rsidR="005C74E3" w:rsidRPr="005C74E3">
        <w:rPr>
          <w:rFonts w:hint="cs"/>
          <w:sz w:val="18"/>
          <w:szCs w:val="20"/>
          <w:rtl/>
        </w:rPr>
        <w:t xml:space="preserve">ברכות </w:t>
      </w:r>
      <w:r w:rsidR="005C74E3">
        <w:rPr>
          <w:sz w:val="18"/>
          <w:szCs w:val="20"/>
          <w:rtl/>
        </w:rPr>
        <w:t>מ</w:t>
      </w:r>
      <w:r w:rsidR="005C74E3">
        <w:rPr>
          <w:rFonts w:hint="cs"/>
          <w:sz w:val="18"/>
          <w:szCs w:val="20"/>
          <w:rtl/>
        </w:rPr>
        <w:t xml:space="preserve"> ע"ב</w:t>
      </w:r>
      <w:r w:rsidRPr="005C74E3">
        <w:rPr>
          <w:sz w:val="18"/>
          <w:szCs w:val="20"/>
          <w:rtl/>
        </w:rPr>
        <w:t>)</w:t>
      </w:r>
      <w:r w:rsidRPr="005C74E3">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והבינו הראשונים, אם כי הדבר אינו מפורש בסוגיה, כי ר' יוחנן מוסיף על דברי רב, ולדידו זקוקה כל ברכה לשם ולמלכות כאחד. והנה להלכה, פסק </w:t>
      </w:r>
      <w:proofErr w:type="spellStart"/>
      <w:r w:rsidRPr="00424BC4">
        <w:rPr>
          <w:rFonts w:ascii="Narkisim" w:eastAsia="Calibri" w:hAnsi="Narkisim"/>
          <w:sz w:val="24"/>
          <w:szCs w:val="24"/>
          <w:rtl/>
        </w:rPr>
        <w:t>הרי"ף</w:t>
      </w:r>
      <w:proofErr w:type="spellEnd"/>
      <w:r w:rsidRPr="00424BC4">
        <w:rPr>
          <w:rFonts w:ascii="Narkisim" w:eastAsia="Calibri" w:hAnsi="Narkisim"/>
          <w:sz w:val="24"/>
          <w:szCs w:val="24"/>
          <w:rtl/>
        </w:rPr>
        <w:t xml:space="preserve"> כרבי יוחנן, ובעקבו</w:t>
      </w:r>
      <w:r w:rsidR="000E4014">
        <w:rPr>
          <w:rFonts w:ascii="Narkisim" w:eastAsia="Calibri" w:hAnsi="Narkisim"/>
          <w:sz w:val="24"/>
          <w:szCs w:val="24"/>
          <w:rtl/>
        </w:rPr>
        <w:t xml:space="preserve">תיו, חרף הוכחת </w:t>
      </w:r>
      <w:proofErr w:type="spellStart"/>
      <w:r w:rsidR="000E4014">
        <w:rPr>
          <w:rFonts w:ascii="Narkisim" w:eastAsia="Calibri" w:hAnsi="Narkisim"/>
          <w:sz w:val="24"/>
          <w:szCs w:val="24"/>
          <w:rtl/>
        </w:rPr>
        <w:t>אביי</w:t>
      </w:r>
      <w:proofErr w:type="spellEnd"/>
      <w:r w:rsidR="000E4014">
        <w:rPr>
          <w:rFonts w:ascii="Narkisim" w:eastAsia="Calibri" w:hAnsi="Narkisim"/>
          <w:sz w:val="24"/>
          <w:szCs w:val="24"/>
          <w:rtl/>
        </w:rPr>
        <w:t xml:space="preserve"> בהמשך הסוגי</w:t>
      </w:r>
      <w:r w:rsidRPr="00424BC4">
        <w:rPr>
          <w:rFonts w:ascii="Narkisim" w:eastAsia="Calibri" w:hAnsi="Narkisim"/>
          <w:sz w:val="24"/>
          <w:szCs w:val="24"/>
          <w:rtl/>
        </w:rPr>
        <w:t xml:space="preserve">ה שם מברייתא לדברי רב, הלכו גם </w:t>
      </w:r>
      <w:r w:rsidR="000E4014">
        <w:rPr>
          <w:rFonts w:ascii="Narkisim" w:eastAsia="Calibri" w:hAnsi="Narkisim"/>
          <w:sz w:val="24"/>
          <w:szCs w:val="24"/>
          <w:rtl/>
        </w:rPr>
        <w:t>בעלי התוספות על אתר (ד"ה אמר</w:t>
      </w:r>
      <w:r w:rsidR="000E4014">
        <w:rPr>
          <w:rFonts w:ascii="Narkisim" w:eastAsia="Calibri" w:hAnsi="Narkisim" w:hint="cs"/>
          <w:sz w:val="24"/>
          <w:szCs w:val="24"/>
          <w:rtl/>
        </w:rPr>
        <w:t>)</w:t>
      </w:r>
      <w:r w:rsidRPr="00424BC4">
        <w:rPr>
          <w:rFonts w:ascii="Narkisim" w:eastAsia="Calibri" w:hAnsi="Narkisim"/>
          <w:sz w:val="24"/>
          <w:szCs w:val="24"/>
          <w:rtl/>
        </w:rPr>
        <w:t>.</w:t>
      </w:r>
      <w:r w:rsidR="000E4014">
        <w:rPr>
          <w:rStyle w:val="a6"/>
          <w:rFonts w:ascii="Narkisim" w:eastAsia="Calibri" w:hAnsi="Narkisim"/>
          <w:sz w:val="24"/>
          <w:rtl/>
        </w:rPr>
        <w:footnoteReference w:id="1"/>
      </w:r>
      <w:r w:rsidRPr="00424BC4">
        <w:rPr>
          <w:rFonts w:ascii="Narkisim" w:eastAsia="Calibri" w:hAnsi="Narkisim"/>
          <w:sz w:val="24"/>
          <w:szCs w:val="24"/>
          <w:rtl/>
        </w:rPr>
        <w:t xml:space="preserve"> וכך פסק גם הרמב"ם:</w:t>
      </w:r>
    </w:p>
    <w:p w:rsidR="00424BC4" w:rsidRPr="000E4014" w:rsidRDefault="00424BC4" w:rsidP="000E4014">
      <w:pPr>
        <w:pStyle w:val="aa"/>
        <w:rPr>
          <w:sz w:val="22"/>
          <w:szCs w:val="24"/>
          <w:rtl/>
        </w:rPr>
      </w:pPr>
      <w:r w:rsidRPr="000E4014">
        <w:rPr>
          <w:sz w:val="22"/>
          <w:szCs w:val="24"/>
          <w:rtl/>
        </w:rPr>
        <w:t>וכל ברכה שאין בה הזכרת השם ומלכות אינה ברכ</w:t>
      </w:r>
      <w:r w:rsidR="000E4014">
        <w:rPr>
          <w:sz w:val="22"/>
          <w:szCs w:val="24"/>
          <w:rtl/>
        </w:rPr>
        <w:t xml:space="preserve">ה, אלא אם כן </w:t>
      </w:r>
      <w:proofErr w:type="spellStart"/>
      <w:r w:rsidR="000E4014">
        <w:rPr>
          <w:sz w:val="22"/>
          <w:szCs w:val="24"/>
          <w:rtl/>
        </w:rPr>
        <w:t>היתה</w:t>
      </w:r>
      <w:proofErr w:type="spellEnd"/>
      <w:r w:rsidR="000E4014">
        <w:rPr>
          <w:sz w:val="22"/>
          <w:szCs w:val="24"/>
          <w:rtl/>
        </w:rPr>
        <w:t xml:space="preserve"> סמוכה לחבירתה</w:t>
      </w:r>
      <w:r w:rsidR="000E4014">
        <w:rPr>
          <w:rFonts w:hint="cs"/>
          <w:sz w:val="22"/>
          <w:szCs w:val="24"/>
          <w:rtl/>
        </w:rPr>
        <w:t>.</w:t>
      </w:r>
      <w:r w:rsidR="000E4014">
        <w:rPr>
          <w:rFonts w:hint="cs"/>
          <w:sz w:val="22"/>
          <w:szCs w:val="24"/>
          <w:rtl/>
        </w:rPr>
        <w:tab/>
      </w:r>
      <w:r w:rsidRPr="000E4014">
        <w:rPr>
          <w:sz w:val="18"/>
          <w:szCs w:val="20"/>
          <w:rtl/>
        </w:rPr>
        <w:t>(הלכות ברכות א', ה)</w:t>
      </w:r>
      <w:r w:rsidRPr="000E4014">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וכן נקבע בשולחן-ערוך (אורח-חיים רי"ד, א</w:t>
      </w:r>
      <w:r w:rsidR="000E4014">
        <w:rPr>
          <w:rFonts w:ascii="Narkisim" w:eastAsia="Calibri" w:hAnsi="Narkisim"/>
          <w:sz w:val="24"/>
          <w:szCs w:val="24"/>
          <w:rtl/>
        </w:rPr>
        <w:t xml:space="preserve">); וכך, כפי שכבר העיד </w:t>
      </w:r>
      <w:proofErr w:type="spellStart"/>
      <w:r w:rsidR="000E4014">
        <w:rPr>
          <w:rFonts w:ascii="Narkisim" w:eastAsia="Calibri" w:hAnsi="Narkisim"/>
          <w:sz w:val="24"/>
          <w:szCs w:val="24"/>
          <w:rtl/>
        </w:rPr>
        <w:t>הר"י</w:t>
      </w:r>
      <w:proofErr w:type="spellEnd"/>
      <w:r w:rsidR="000E4014">
        <w:rPr>
          <w:rFonts w:ascii="Narkisim" w:eastAsia="Calibri" w:hAnsi="Narkisim" w:hint="cs"/>
          <w:sz w:val="24"/>
          <w:szCs w:val="24"/>
          <w:rtl/>
        </w:rPr>
        <w:t xml:space="preserve"> </w:t>
      </w:r>
      <w:r w:rsidR="000E4014">
        <w:rPr>
          <w:rFonts w:ascii="Narkisim" w:eastAsia="Calibri" w:hAnsi="Narkisim"/>
          <w:sz w:val="24"/>
          <w:szCs w:val="24"/>
          <w:rtl/>
        </w:rPr>
        <w:t>–</w:t>
      </w:r>
      <w:r w:rsidRPr="00424BC4">
        <w:rPr>
          <w:rFonts w:ascii="Narkisim" w:eastAsia="Calibri" w:hAnsi="Narkisim"/>
          <w:sz w:val="24"/>
          <w:szCs w:val="24"/>
          <w:rtl/>
        </w:rPr>
        <w:t xml:space="preserve"> "אלא שכבר נהגו בכל ברכה להזכיר מלכות, </w:t>
      </w:r>
      <w:r w:rsidR="000E4014">
        <w:rPr>
          <w:rFonts w:ascii="Narkisim" w:eastAsia="Calibri" w:hAnsi="Narkisim"/>
          <w:sz w:val="24"/>
          <w:szCs w:val="24"/>
          <w:rtl/>
        </w:rPr>
        <w:t xml:space="preserve">וקיימא לן </w:t>
      </w:r>
      <w:proofErr w:type="spellStart"/>
      <w:r w:rsidR="000E4014">
        <w:rPr>
          <w:rFonts w:ascii="Narkisim" w:eastAsia="Calibri" w:hAnsi="Narkisim"/>
          <w:sz w:val="24"/>
          <w:szCs w:val="24"/>
          <w:rtl/>
        </w:rPr>
        <w:t>פוק</w:t>
      </w:r>
      <w:proofErr w:type="spellEnd"/>
      <w:r w:rsidR="000E4014">
        <w:rPr>
          <w:rFonts w:ascii="Narkisim" w:eastAsia="Calibri" w:hAnsi="Narkisim"/>
          <w:sz w:val="24"/>
          <w:szCs w:val="24"/>
          <w:rtl/>
        </w:rPr>
        <w:t xml:space="preserve"> חזי מה עמא דבר"</w:t>
      </w:r>
      <w:r w:rsidR="000E4014">
        <w:rPr>
          <w:rStyle w:val="a6"/>
          <w:rFonts w:ascii="Narkisim" w:eastAsia="Calibri" w:hAnsi="Narkisim"/>
          <w:sz w:val="24"/>
          <w:rtl/>
        </w:rPr>
        <w:footnoteReference w:id="2"/>
      </w:r>
      <w:r w:rsidRPr="00424BC4">
        <w:rPr>
          <w:rFonts w:ascii="Narkisim" w:eastAsia="Calibri" w:hAnsi="Narkisim"/>
          <w:sz w:val="24"/>
          <w:szCs w:val="24"/>
          <w:rtl/>
        </w:rPr>
        <w:t xml:space="preserve"> - נתקבל כדבר פשוט, שהמונח "שם ומלכות" מזוהה עם ברכה ומגדירה.</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ברם, קיימות כמה ברכות חריגות, והבולטת שבהן היא ברכת אבות שבתפילת שמונה עשרה, שחסרה מלכות בפתיחתה. לגביה, עלו בראשונים כמה תירוצים. התוספות על אתר כתבו:</w:t>
      </w:r>
    </w:p>
    <w:p w:rsidR="00424BC4" w:rsidRPr="000E4014" w:rsidRDefault="00424BC4" w:rsidP="000E4014">
      <w:pPr>
        <w:pStyle w:val="aa"/>
        <w:rPr>
          <w:sz w:val="22"/>
          <w:szCs w:val="24"/>
          <w:rtl/>
        </w:rPr>
      </w:pPr>
      <w:r w:rsidRPr="000E4014">
        <w:rPr>
          <w:sz w:val="22"/>
          <w:szCs w:val="24"/>
          <w:rtl/>
        </w:rPr>
        <w:lastRenderedPageBreak/>
        <w:t xml:space="preserve">אבל א-להי אברהם הוי כמו מלכות, </w:t>
      </w:r>
      <w:proofErr w:type="spellStart"/>
      <w:r w:rsidRPr="000E4014">
        <w:rPr>
          <w:sz w:val="22"/>
          <w:szCs w:val="24"/>
          <w:rtl/>
        </w:rPr>
        <w:t>דאברהם</w:t>
      </w:r>
      <w:proofErr w:type="spellEnd"/>
      <w:r w:rsidRPr="000E4014">
        <w:rPr>
          <w:sz w:val="22"/>
          <w:szCs w:val="24"/>
          <w:rtl/>
        </w:rPr>
        <w:t xml:space="preserve"> אבינו המליך הקב"ה על כל העולם, שהודיע מלכותו</w:t>
      </w:r>
      <w:r w:rsidR="000E4014">
        <w:rPr>
          <w:rFonts w:hint="cs"/>
          <w:sz w:val="22"/>
          <w:szCs w:val="24"/>
          <w:rtl/>
        </w:rPr>
        <w:t>.</w:t>
      </w:r>
      <w:r w:rsidR="000E4014">
        <w:rPr>
          <w:rFonts w:hint="cs"/>
          <w:sz w:val="22"/>
          <w:szCs w:val="24"/>
          <w:rtl/>
        </w:rPr>
        <w:tab/>
      </w:r>
      <w:r w:rsidRPr="000E4014">
        <w:rPr>
          <w:sz w:val="18"/>
          <w:szCs w:val="20"/>
          <w:rtl/>
        </w:rPr>
        <w:t>(שם)</w:t>
      </w:r>
      <w:r w:rsidRPr="000E4014">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proofErr w:type="spellStart"/>
      <w:r w:rsidRPr="00424BC4">
        <w:rPr>
          <w:rFonts w:ascii="Narkisim" w:eastAsia="Calibri" w:hAnsi="Narkisim"/>
          <w:sz w:val="24"/>
          <w:szCs w:val="24"/>
          <w:rtl/>
        </w:rPr>
        <w:t>הרא"ש</w:t>
      </w:r>
      <w:proofErr w:type="spellEnd"/>
      <w:r w:rsidRPr="00424BC4">
        <w:rPr>
          <w:rFonts w:ascii="Narkisim" w:eastAsia="Calibri" w:hAnsi="Narkisim"/>
          <w:sz w:val="24"/>
          <w:szCs w:val="24"/>
          <w:rtl/>
        </w:rPr>
        <w:t xml:space="preserve"> תירץ:</w:t>
      </w:r>
    </w:p>
    <w:p w:rsidR="00424BC4" w:rsidRPr="000E4014" w:rsidRDefault="00424BC4" w:rsidP="000E4014">
      <w:pPr>
        <w:pStyle w:val="aa"/>
        <w:rPr>
          <w:sz w:val="22"/>
          <w:szCs w:val="24"/>
          <w:rtl/>
        </w:rPr>
      </w:pPr>
      <w:r w:rsidRPr="000E4014">
        <w:rPr>
          <w:sz w:val="22"/>
          <w:szCs w:val="24"/>
          <w:rtl/>
        </w:rPr>
        <w:t>כיון דאית בה הא-ל הגדול הוא חשוב כמו מלכות</w:t>
      </w:r>
      <w:r w:rsidR="000E4014">
        <w:rPr>
          <w:rFonts w:hint="cs"/>
          <w:sz w:val="22"/>
          <w:szCs w:val="24"/>
          <w:rtl/>
        </w:rPr>
        <w:tab/>
      </w:r>
      <w:r w:rsidRPr="000E4014">
        <w:rPr>
          <w:sz w:val="18"/>
          <w:szCs w:val="20"/>
          <w:rtl/>
        </w:rPr>
        <w:t>(פ"ו סי' כ"ג)</w:t>
      </w:r>
      <w:r w:rsidRPr="000E4014">
        <w:rPr>
          <w:sz w:val="22"/>
          <w:szCs w:val="24"/>
          <w:rtl/>
        </w:rPr>
        <w:t>.</w:t>
      </w:r>
      <w:r w:rsidR="000E4014">
        <w:rPr>
          <w:rStyle w:val="a6"/>
          <w:sz w:val="22"/>
          <w:rtl/>
        </w:rPr>
        <w:footnoteReference w:id="3"/>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ואילו ב"ספר </w:t>
      </w:r>
      <w:proofErr w:type="spellStart"/>
      <w:r w:rsidRPr="00424BC4">
        <w:rPr>
          <w:rFonts w:ascii="Narkisim" w:eastAsia="Calibri" w:hAnsi="Narkisim"/>
          <w:sz w:val="24"/>
          <w:szCs w:val="24"/>
          <w:rtl/>
        </w:rPr>
        <w:t>המנהגות</w:t>
      </w:r>
      <w:proofErr w:type="spellEnd"/>
      <w:r w:rsidRPr="00424BC4">
        <w:rPr>
          <w:rFonts w:ascii="Narkisim" w:eastAsia="Calibri" w:hAnsi="Narkisim"/>
          <w:sz w:val="24"/>
          <w:szCs w:val="24"/>
          <w:rtl/>
        </w:rPr>
        <w:t>" הובא בשם רב האי גאון:</w:t>
      </w:r>
    </w:p>
    <w:p w:rsidR="00424BC4" w:rsidRPr="000E4014" w:rsidRDefault="00424BC4" w:rsidP="000E4014">
      <w:pPr>
        <w:pStyle w:val="aa"/>
        <w:rPr>
          <w:sz w:val="22"/>
          <w:szCs w:val="24"/>
          <w:rtl/>
        </w:rPr>
      </w:pPr>
      <w:r w:rsidRPr="000E4014">
        <w:rPr>
          <w:sz w:val="22"/>
          <w:szCs w:val="24"/>
          <w:rtl/>
        </w:rPr>
        <w:t xml:space="preserve">כי המלכות שאומר בסוף הברכה, והוא 'מלך עוזר', חשוב כאִלו הוא </w:t>
      </w:r>
      <w:proofErr w:type="spellStart"/>
      <w:r w:rsidRPr="000E4014">
        <w:rPr>
          <w:sz w:val="22"/>
          <w:szCs w:val="24"/>
          <w:rtl/>
        </w:rPr>
        <w:t>בתחִלה</w:t>
      </w:r>
      <w:proofErr w:type="spellEnd"/>
      <w:r w:rsidRPr="000E4014">
        <w:rPr>
          <w:sz w:val="22"/>
          <w:szCs w:val="24"/>
          <w:rtl/>
        </w:rPr>
        <w:t>.</w:t>
      </w:r>
      <w:r w:rsidR="000E4014">
        <w:rPr>
          <w:rStyle w:val="a6"/>
          <w:sz w:val="22"/>
          <w:rtl/>
        </w:rPr>
        <w:footnoteReference w:id="4"/>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המכנה המשותף להסברים אלו הוא, של</w:t>
      </w:r>
      <w:r w:rsidR="000E4014">
        <w:rPr>
          <w:rFonts w:ascii="Narkisim" w:eastAsia="Calibri" w:hAnsi="Narkisim" w:hint="cs"/>
          <w:sz w:val="24"/>
          <w:szCs w:val="24"/>
          <w:rtl/>
        </w:rPr>
        <w:t xml:space="preserve">פי </w:t>
      </w:r>
      <w:r w:rsidRPr="00424BC4">
        <w:rPr>
          <w:rFonts w:ascii="Narkisim" w:eastAsia="Calibri" w:hAnsi="Narkisim"/>
          <w:sz w:val="24"/>
          <w:szCs w:val="24"/>
          <w:rtl/>
        </w:rPr>
        <w:t xml:space="preserve">כולם יש צורך, עקרונית, במלכות בברכת אבות, אלא שיש כאן ביטוי המקביל למלכות. לעומתם, יש ראשונים שתירצו שאין כאן מקום כלל ועיקר לאזכור מלכות. כך ברוקח </w:t>
      </w:r>
      <w:r w:rsidRPr="000E4014">
        <w:rPr>
          <w:rFonts w:ascii="Narkisim" w:eastAsia="Calibri" w:hAnsi="Narkisim"/>
          <w:szCs w:val="20"/>
          <w:rtl/>
        </w:rPr>
        <w:t>(סי' שס"ג)</w:t>
      </w:r>
      <w:r w:rsidRPr="00424BC4">
        <w:rPr>
          <w:rFonts w:ascii="Narkisim" w:eastAsia="Calibri" w:hAnsi="Narkisim"/>
          <w:sz w:val="24"/>
          <w:szCs w:val="24"/>
          <w:rtl/>
        </w:rPr>
        <w:t>, שהעלה שני נימוקים:</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א. פתיחת התפילה מקבילה לבקשתו של אליעזר עבד אברהם, והוא הרי "מלכות לא הזכיר, שהרי הקב"ה עדיין לא הודיע מלכותו לבריותיו, ושמי ה' לא נודעתי בימיהם".</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ב. עניינית, "בכל הברכות שהן הודאות להקב"ה יש בהן הזכרת שם ומלכות, אבל </w:t>
      </w:r>
      <w:proofErr w:type="spellStart"/>
      <w:r w:rsidRPr="00424BC4">
        <w:rPr>
          <w:rFonts w:ascii="Narkisim" w:eastAsia="Calibri" w:hAnsi="Narkisim"/>
          <w:sz w:val="24"/>
          <w:szCs w:val="24"/>
          <w:rtl/>
        </w:rPr>
        <w:t>בתחלת</w:t>
      </w:r>
      <w:proofErr w:type="spellEnd"/>
      <w:r w:rsidRPr="00424BC4">
        <w:rPr>
          <w:rFonts w:ascii="Narkisim" w:eastAsia="Calibri" w:hAnsi="Narkisim"/>
          <w:sz w:val="24"/>
          <w:szCs w:val="24"/>
          <w:rtl/>
        </w:rPr>
        <w:t xml:space="preserve"> י"ח דאינו הודאה על שום הנאה ומצוה אלא על תביעת צרכיו של אדם - לעולם יסדיר אדם שבחו של מקום ואחר כך יתפלל - </w:t>
      </w:r>
      <w:proofErr w:type="spellStart"/>
      <w:r w:rsidRPr="00424BC4">
        <w:rPr>
          <w:rFonts w:ascii="Narkisim" w:eastAsia="Calibri" w:hAnsi="Narkisim"/>
          <w:sz w:val="24"/>
          <w:szCs w:val="24"/>
          <w:rtl/>
        </w:rPr>
        <w:t>הילכך</w:t>
      </w:r>
      <w:proofErr w:type="spellEnd"/>
      <w:r w:rsidRPr="00424BC4">
        <w:rPr>
          <w:rFonts w:ascii="Narkisim" w:eastAsia="Calibri" w:hAnsi="Narkisim"/>
          <w:sz w:val="24"/>
          <w:szCs w:val="24"/>
          <w:rtl/>
        </w:rPr>
        <w:t xml:space="preserve"> לא תקנו בה מלכות".</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מעין זה הביא </w:t>
      </w:r>
      <w:proofErr w:type="spellStart"/>
      <w:r w:rsidRPr="00424BC4">
        <w:rPr>
          <w:rFonts w:ascii="Narkisim" w:eastAsia="Calibri" w:hAnsi="Narkisim"/>
          <w:sz w:val="24"/>
          <w:szCs w:val="24"/>
          <w:rtl/>
        </w:rPr>
        <w:t>הראבי"ה</w:t>
      </w:r>
      <w:proofErr w:type="spellEnd"/>
      <w:r w:rsidRPr="00424BC4">
        <w:rPr>
          <w:rFonts w:ascii="Narkisim" w:eastAsia="Calibri" w:hAnsi="Narkisim"/>
          <w:sz w:val="24"/>
          <w:szCs w:val="24"/>
          <w:rtl/>
        </w:rPr>
        <w:t>:</w:t>
      </w:r>
    </w:p>
    <w:p w:rsidR="00424BC4" w:rsidRPr="000E4014" w:rsidRDefault="00424BC4" w:rsidP="000E4014">
      <w:pPr>
        <w:pStyle w:val="aa"/>
        <w:rPr>
          <w:sz w:val="22"/>
          <w:szCs w:val="24"/>
          <w:rtl/>
        </w:rPr>
      </w:pPr>
      <w:r w:rsidRPr="000E4014">
        <w:rPr>
          <w:sz w:val="22"/>
          <w:szCs w:val="24"/>
          <w:rtl/>
        </w:rPr>
        <w:lastRenderedPageBreak/>
        <w:t xml:space="preserve">וראינו בשם רבינו שמעיה, </w:t>
      </w:r>
      <w:proofErr w:type="spellStart"/>
      <w:r w:rsidRPr="000E4014">
        <w:rPr>
          <w:sz w:val="22"/>
          <w:szCs w:val="24"/>
          <w:rtl/>
        </w:rPr>
        <w:t>דבתפִלה</w:t>
      </w:r>
      <w:proofErr w:type="spellEnd"/>
      <w:r w:rsidRPr="000E4014">
        <w:rPr>
          <w:sz w:val="22"/>
          <w:szCs w:val="24"/>
          <w:rtl/>
        </w:rPr>
        <w:t xml:space="preserve"> בי"ח ברכות ובשנים של קריאת שמע לפניה ולאחריה לא </w:t>
      </w:r>
      <w:proofErr w:type="spellStart"/>
      <w:r w:rsidRPr="000E4014">
        <w:rPr>
          <w:sz w:val="22"/>
          <w:szCs w:val="24"/>
          <w:rtl/>
        </w:rPr>
        <w:t>אמרינן</w:t>
      </w:r>
      <w:proofErr w:type="spellEnd"/>
      <w:r w:rsidRPr="000E4014">
        <w:rPr>
          <w:sz w:val="22"/>
          <w:szCs w:val="24"/>
          <w:rtl/>
        </w:rPr>
        <w:t xml:space="preserve"> מלכות, משום </w:t>
      </w:r>
      <w:proofErr w:type="spellStart"/>
      <w:r w:rsidRPr="000E4014">
        <w:rPr>
          <w:sz w:val="22"/>
          <w:szCs w:val="24"/>
          <w:rtl/>
        </w:rPr>
        <w:t>דרחמי</w:t>
      </w:r>
      <w:proofErr w:type="spellEnd"/>
      <w:r w:rsidRPr="000E4014">
        <w:rPr>
          <w:sz w:val="22"/>
          <w:szCs w:val="24"/>
          <w:rtl/>
        </w:rPr>
        <w:t xml:space="preserve"> </w:t>
      </w:r>
      <w:proofErr w:type="spellStart"/>
      <w:r w:rsidRPr="000E4014">
        <w:rPr>
          <w:sz w:val="22"/>
          <w:szCs w:val="24"/>
          <w:rtl/>
        </w:rPr>
        <w:t>נינהו</w:t>
      </w:r>
      <w:proofErr w:type="spellEnd"/>
      <w:r w:rsidRPr="000E4014">
        <w:rPr>
          <w:sz w:val="22"/>
          <w:szCs w:val="24"/>
          <w:rtl/>
        </w:rPr>
        <w:t>, וכל מלך הוא משמע</w:t>
      </w:r>
      <w:r w:rsidR="000E4014">
        <w:rPr>
          <w:sz w:val="22"/>
          <w:szCs w:val="24"/>
          <w:rtl/>
        </w:rPr>
        <w:t xml:space="preserve"> מדת הדין, </w:t>
      </w:r>
      <w:proofErr w:type="spellStart"/>
      <w:r w:rsidR="000E4014">
        <w:rPr>
          <w:sz w:val="22"/>
          <w:szCs w:val="24"/>
          <w:rtl/>
        </w:rPr>
        <w:t>דכתיב</w:t>
      </w:r>
      <w:proofErr w:type="spellEnd"/>
      <w:r w:rsidR="000E4014">
        <w:rPr>
          <w:sz w:val="22"/>
          <w:szCs w:val="24"/>
          <w:rtl/>
        </w:rPr>
        <w:t xml:space="preserve"> מלך במשפט </w:t>
      </w:r>
      <w:proofErr w:type="spellStart"/>
      <w:r w:rsidR="000E4014">
        <w:rPr>
          <w:sz w:val="22"/>
          <w:szCs w:val="24"/>
          <w:rtl/>
        </w:rPr>
        <w:t>וכו</w:t>
      </w:r>
      <w:proofErr w:type="spellEnd"/>
      <w:r w:rsidR="000E4014">
        <w:rPr>
          <w:sz w:val="22"/>
          <w:szCs w:val="24"/>
          <w:rtl/>
        </w:rPr>
        <w:t>'</w:t>
      </w:r>
      <w:r w:rsidR="000E4014">
        <w:rPr>
          <w:rFonts w:hint="cs"/>
          <w:sz w:val="22"/>
          <w:szCs w:val="24"/>
          <w:rtl/>
        </w:rPr>
        <w:t>.</w:t>
      </w:r>
      <w:r w:rsidR="000E4014">
        <w:rPr>
          <w:rFonts w:hint="cs"/>
          <w:sz w:val="22"/>
          <w:szCs w:val="24"/>
          <w:rtl/>
        </w:rPr>
        <w:tab/>
      </w:r>
      <w:r w:rsidRPr="000E4014">
        <w:rPr>
          <w:sz w:val="16"/>
          <w:szCs w:val="18"/>
          <w:rtl/>
        </w:rPr>
        <w:t>(ח"א סי' קי"ד)</w:t>
      </w:r>
      <w:r w:rsidRPr="000E4014">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ועוד הוסיף שם נימוק, שתפילת שמונה עשרה בשחרית ובערבית סמוכה לברכות קריאת שמע, ולהכי לא תיקנו מלכות אף במנחה. ברם, נראה שעדיין נותר כאן מקום להתגדר, ושמתוך עיון ביסוד דין שם ומלכות מכאן, והתייחסות לקיום תפילה מכאן, ניתן להציע תירוץ נוסף.</w:t>
      </w:r>
    </w:p>
    <w:p w:rsidR="00424BC4" w:rsidRPr="00424BC4" w:rsidRDefault="00424BC4" w:rsidP="000E4014">
      <w:pPr>
        <w:autoSpaceDE/>
        <w:autoSpaceDN/>
        <w:spacing w:after="160" w:line="360" w:lineRule="auto"/>
        <w:rPr>
          <w:rFonts w:ascii="Narkisim" w:eastAsia="Calibri" w:hAnsi="Narkisim"/>
          <w:sz w:val="24"/>
          <w:szCs w:val="24"/>
          <w:rtl/>
        </w:rPr>
      </w:pPr>
      <w:proofErr w:type="spellStart"/>
      <w:r w:rsidRPr="00424BC4">
        <w:rPr>
          <w:rFonts w:ascii="Narkisim" w:eastAsia="Calibri" w:hAnsi="Narkisim"/>
          <w:sz w:val="24"/>
          <w:szCs w:val="24"/>
          <w:rtl/>
        </w:rPr>
        <w:t>הרי"ף</w:t>
      </w:r>
      <w:proofErr w:type="spellEnd"/>
      <w:r w:rsidRPr="00424BC4">
        <w:rPr>
          <w:rFonts w:ascii="Narkisim" w:eastAsia="Calibri" w:hAnsi="Narkisim"/>
          <w:sz w:val="24"/>
          <w:szCs w:val="24"/>
          <w:rtl/>
        </w:rPr>
        <w:t xml:space="preserve"> כנראה גרס בדברי רבי יוחנן: "כל ברכה שאין בה מלכות והזכרת השם אינה ברכה". כך הבינו בדעת רבי יוחנן גם הרמב"ם ולהקת פוסקים אחרים. מפשטות לשונם ניתן היה להבין, שלרבי יוחנן אין הבדל בין מעמד שם לזה של מלכות במסגרת הברכה, שכן שניהם מעכבים בשווה. אך בהרהור שני נראה ברור שלא כך הם פני הדברים. שהרי שנינו: "כל הברכות כולן פותח בברוך וחותם בהן בברוך, חוץ מברכת מצות וברכת הפירות, וברכה הסמוכה לחבירתה וברכה אחרונה שבקרית שמע" </w:t>
      </w:r>
      <w:r w:rsidRPr="000E4014">
        <w:rPr>
          <w:rFonts w:ascii="Narkisim" w:eastAsia="Calibri" w:hAnsi="Narkisim"/>
          <w:szCs w:val="20"/>
          <w:rtl/>
        </w:rPr>
        <w:t>(פסחים קד:)</w:t>
      </w:r>
      <w:r w:rsidRPr="00424BC4">
        <w:rPr>
          <w:rFonts w:ascii="Narkisim" w:eastAsia="Calibri" w:hAnsi="Narkisim"/>
          <w:sz w:val="24"/>
          <w:szCs w:val="24"/>
          <w:rtl/>
        </w:rPr>
        <w:t xml:space="preserve">. והנה בברייתא שנויות ארבע הברכות החריגות בחדא </w:t>
      </w:r>
      <w:proofErr w:type="spellStart"/>
      <w:r w:rsidRPr="00424BC4">
        <w:rPr>
          <w:rFonts w:ascii="Narkisim" w:eastAsia="Calibri" w:hAnsi="Narkisim"/>
          <w:sz w:val="24"/>
          <w:szCs w:val="24"/>
          <w:rtl/>
        </w:rPr>
        <w:t>מחתא</w:t>
      </w:r>
      <w:proofErr w:type="spellEnd"/>
      <w:r w:rsidRPr="00424BC4">
        <w:rPr>
          <w:rFonts w:ascii="Narkisim" w:eastAsia="Calibri" w:hAnsi="Narkisim"/>
          <w:sz w:val="24"/>
          <w:szCs w:val="24"/>
          <w:rtl/>
        </w:rPr>
        <w:t xml:space="preserve">, אך בעצם קיים חילוק גדול בין הראשונות לאחרונות, שכן במטבע קצר של ברכות </w:t>
      </w:r>
      <w:proofErr w:type="spellStart"/>
      <w:r w:rsidRPr="00424BC4">
        <w:rPr>
          <w:rFonts w:ascii="Narkisim" w:eastAsia="Calibri" w:hAnsi="Narkisim"/>
          <w:sz w:val="24"/>
          <w:szCs w:val="24"/>
          <w:rtl/>
        </w:rPr>
        <w:t>הנהנין</w:t>
      </w:r>
      <w:proofErr w:type="spellEnd"/>
      <w:r w:rsidRPr="00424BC4">
        <w:rPr>
          <w:rFonts w:ascii="Narkisim" w:eastAsia="Calibri" w:hAnsi="Narkisim"/>
          <w:sz w:val="24"/>
          <w:szCs w:val="24"/>
          <w:rtl/>
        </w:rPr>
        <w:t xml:space="preserve"> או המצוות נכללו שם ומלכות, אלא שהושמטה החתימה הקיימת במטבע הארוך, הכופלת הזכרת השם בלשון ברכה. לעומת זאת, בברכה הסמוכה לחברתה או באחרונה שבקריאת שמע הושמטה המלכות כליל. מתוך כך אמנם ציין הרמב"ם, כמצוטט לעיל, שברכה הסמוכה לחברתה חורגת מדעתו של רבי יוחנן שקבעה הרמב"ם להלכה. והנה בביאור השוני שבברכה הסמוכה לחברתה נחלקו כנראה ראשונים. </w:t>
      </w:r>
      <w:proofErr w:type="spellStart"/>
      <w:r w:rsidRPr="00424BC4">
        <w:rPr>
          <w:rFonts w:ascii="Narkisim" w:eastAsia="Calibri" w:hAnsi="Narkisim"/>
          <w:sz w:val="24"/>
          <w:szCs w:val="24"/>
          <w:rtl/>
        </w:rPr>
        <w:t>דיעויין</w:t>
      </w:r>
      <w:proofErr w:type="spellEnd"/>
      <w:r w:rsidRPr="00424BC4">
        <w:rPr>
          <w:rFonts w:ascii="Narkisim" w:eastAsia="Calibri" w:hAnsi="Narkisim"/>
          <w:sz w:val="24"/>
          <w:szCs w:val="24"/>
          <w:rtl/>
        </w:rPr>
        <w:t xml:space="preserve"> במרדכי בפסחים </w:t>
      </w:r>
      <w:r w:rsidR="000E4014" w:rsidRPr="000E4014">
        <w:rPr>
          <w:rFonts w:ascii="Narkisim" w:eastAsia="Calibri" w:hAnsi="Narkisim" w:hint="cs"/>
          <w:szCs w:val="20"/>
          <w:rtl/>
        </w:rPr>
        <w:t>(</w:t>
      </w:r>
      <w:r w:rsidRPr="000E4014">
        <w:rPr>
          <w:rFonts w:ascii="Narkisim" w:eastAsia="Calibri" w:hAnsi="Narkisim"/>
          <w:szCs w:val="20"/>
          <w:rtl/>
        </w:rPr>
        <w:t>קד:</w:t>
      </w:r>
      <w:r w:rsidR="000E4014" w:rsidRPr="000E4014">
        <w:rPr>
          <w:rFonts w:ascii="Narkisim" w:eastAsia="Calibri" w:hAnsi="Narkisim" w:hint="cs"/>
          <w:szCs w:val="20"/>
          <w:rtl/>
        </w:rPr>
        <w:t>)</w:t>
      </w:r>
      <w:r w:rsidRPr="00424BC4">
        <w:rPr>
          <w:rFonts w:ascii="Narkisim" w:eastAsia="Calibri" w:hAnsi="Narkisim"/>
          <w:sz w:val="24"/>
          <w:szCs w:val="24"/>
          <w:rtl/>
        </w:rPr>
        <w:t xml:space="preserve"> שהביא בשם רבנו תם, שאין ברכה הסמוכה לח</w:t>
      </w:r>
      <w:r w:rsidR="000E4014">
        <w:rPr>
          <w:rFonts w:ascii="Narkisim" w:eastAsia="Calibri" w:hAnsi="Narkisim"/>
          <w:sz w:val="24"/>
          <w:szCs w:val="24"/>
          <w:rtl/>
        </w:rPr>
        <w:t>ברתה פטורה מפתיחה וחתימה</w:t>
      </w:r>
      <w:r w:rsidR="000E4014">
        <w:rPr>
          <w:rFonts w:ascii="Narkisim" w:eastAsia="Calibri" w:hAnsi="Narkisim" w:hint="cs"/>
          <w:sz w:val="24"/>
          <w:szCs w:val="24"/>
          <w:rtl/>
        </w:rPr>
        <w:t>,</w:t>
      </w:r>
      <w:r w:rsidR="000E4014">
        <w:rPr>
          <w:rFonts w:ascii="Narkisim" w:eastAsia="Calibri" w:hAnsi="Narkisim"/>
          <w:sz w:val="24"/>
          <w:szCs w:val="24"/>
          <w:rtl/>
        </w:rPr>
        <w:t xml:space="preserve"> ובעצם מִמַלכות</w:t>
      </w:r>
      <w:r w:rsidR="000E4014">
        <w:rPr>
          <w:rFonts w:ascii="Narkisim" w:eastAsia="Calibri" w:hAnsi="Narkisim" w:hint="cs"/>
          <w:sz w:val="24"/>
          <w:szCs w:val="24"/>
          <w:rtl/>
        </w:rPr>
        <w:t>,</w:t>
      </w:r>
      <w:r w:rsidRPr="00424BC4">
        <w:rPr>
          <w:rFonts w:ascii="Narkisim" w:eastAsia="Calibri" w:hAnsi="Narkisim"/>
          <w:sz w:val="24"/>
          <w:szCs w:val="24"/>
          <w:rtl/>
        </w:rPr>
        <w:t xml:space="preserve"> אלא אם כן </w:t>
      </w:r>
      <w:proofErr w:type="spellStart"/>
      <w:r w:rsidRPr="00424BC4">
        <w:rPr>
          <w:rFonts w:ascii="Narkisim" w:eastAsia="Calibri" w:hAnsi="Narkisim"/>
          <w:sz w:val="24"/>
          <w:szCs w:val="24"/>
          <w:rtl/>
        </w:rPr>
        <w:t>היתה</w:t>
      </w:r>
      <w:proofErr w:type="spellEnd"/>
      <w:r w:rsidRPr="00424BC4">
        <w:rPr>
          <w:rFonts w:ascii="Narkisim" w:eastAsia="Calibri" w:hAnsi="Narkisim"/>
          <w:sz w:val="24"/>
          <w:szCs w:val="24"/>
          <w:rtl/>
        </w:rPr>
        <w:t xml:space="preserve"> הברכה הראשונה </w:t>
      </w:r>
      <w:r w:rsidRPr="00424BC4">
        <w:rPr>
          <w:rFonts w:ascii="Narkisim" w:eastAsia="Calibri" w:hAnsi="Narkisim"/>
          <w:sz w:val="24"/>
          <w:szCs w:val="24"/>
          <w:rtl/>
        </w:rPr>
        <w:lastRenderedPageBreak/>
        <w:t xml:space="preserve">מטבע ארוך שיש בו פתיחה וחתימה. </w:t>
      </w:r>
      <w:proofErr w:type="spellStart"/>
      <w:r w:rsidRPr="00424BC4">
        <w:rPr>
          <w:rFonts w:ascii="Narkisim" w:eastAsia="Calibri" w:hAnsi="Narkisim"/>
          <w:sz w:val="24"/>
          <w:szCs w:val="24"/>
          <w:rtl/>
        </w:rPr>
        <w:t>המרדכי</w:t>
      </w:r>
      <w:proofErr w:type="spellEnd"/>
      <w:r w:rsidRPr="00424BC4">
        <w:rPr>
          <w:rFonts w:ascii="Narkisim" w:eastAsia="Calibri" w:hAnsi="Narkisim"/>
          <w:sz w:val="24"/>
          <w:szCs w:val="24"/>
          <w:rtl/>
        </w:rPr>
        <w:t xml:space="preserve"> דחה שיטה זו בראיות מוצקות מהירושלמי, והסיק:</w:t>
      </w:r>
    </w:p>
    <w:p w:rsidR="00424BC4" w:rsidRPr="000E4014" w:rsidRDefault="00424BC4" w:rsidP="000E4014">
      <w:pPr>
        <w:pStyle w:val="aa"/>
        <w:rPr>
          <w:sz w:val="22"/>
          <w:szCs w:val="24"/>
          <w:rtl/>
        </w:rPr>
      </w:pPr>
      <w:r w:rsidRPr="000E4014">
        <w:rPr>
          <w:sz w:val="22"/>
          <w:szCs w:val="24"/>
          <w:rtl/>
        </w:rPr>
        <w:t xml:space="preserve">לכן נראה </w:t>
      </w:r>
      <w:proofErr w:type="spellStart"/>
      <w:r w:rsidRPr="000E4014">
        <w:rPr>
          <w:sz w:val="22"/>
          <w:szCs w:val="24"/>
          <w:rtl/>
        </w:rPr>
        <w:t>דפטור</w:t>
      </w:r>
      <w:proofErr w:type="spellEnd"/>
      <w:r w:rsidRPr="000E4014">
        <w:rPr>
          <w:sz w:val="22"/>
          <w:szCs w:val="24"/>
          <w:rtl/>
        </w:rPr>
        <w:t xml:space="preserve"> ברכה הסמוכה היינו משום </w:t>
      </w:r>
      <w:proofErr w:type="spellStart"/>
      <w:r w:rsidRPr="000E4014">
        <w:rPr>
          <w:sz w:val="22"/>
          <w:szCs w:val="24"/>
          <w:rtl/>
        </w:rPr>
        <w:t>דפתיחה</w:t>
      </w:r>
      <w:proofErr w:type="spellEnd"/>
      <w:r w:rsidRPr="000E4014">
        <w:rPr>
          <w:sz w:val="22"/>
          <w:szCs w:val="24"/>
          <w:rtl/>
        </w:rPr>
        <w:t xml:space="preserve"> </w:t>
      </w:r>
      <w:proofErr w:type="spellStart"/>
      <w:r w:rsidRPr="000E4014">
        <w:rPr>
          <w:sz w:val="22"/>
          <w:szCs w:val="24"/>
          <w:rtl/>
        </w:rPr>
        <w:t>דברכה</w:t>
      </w:r>
      <w:proofErr w:type="spellEnd"/>
      <w:r w:rsidRPr="000E4014">
        <w:rPr>
          <w:sz w:val="22"/>
          <w:szCs w:val="24"/>
          <w:rtl/>
        </w:rPr>
        <w:t xml:space="preserve"> ראשונה </w:t>
      </w:r>
      <w:proofErr w:type="spellStart"/>
      <w:r w:rsidRPr="000E4014">
        <w:rPr>
          <w:sz w:val="22"/>
          <w:szCs w:val="24"/>
          <w:rtl/>
        </w:rPr>
        <w:t>פוטר</w:t>
      </w:r>
      <w:r w:rsidR="00F76DBA">
        <w:rPr>
          <w:sz w:val="22"/>
          <w:szCs w:val="24"/>
          <w:rtl/>
        </w:rPr>
        <w:t>תה</w:t>
      </w:r>
      <w:proofErr w:type="spellEnd"/>
      <w:r w:rsidR="00F76DBA">
        <w:rPr>
          <w:sz w:val="22"/>
          <w:szCs w:val="24"/>
          <w:rtl/>
        </w:rPr>
        <w:t xml:space="preserve">, ואף על פי שהראשונה </w:t>
      </w:r>
      <w:proofErr w:type="spellStart"/>
      <w:r w:rsidR="00F76DBA">
        <w:rPr>
          <w:sz w:val="22"/>
          <w:szCs w:val="24"/>
          <w:rtl/>
        </w:rPr>
        <w:t>נמי</w:t>
      </w:r>
      <w:proofErr w:type="spellEnd"/>
      <w:r w:rsidR="00F76DBA">
        <w:rPr>
          <w:sz w:val="22"/>
          <w:szCs w:val="24"/>
          <w:rtl/>
        </w:rPr>
        <w:t xml:space="preserve"> קצרה</w:t>
      </w:r>
      <w:r w:rsidRPr="000E4014">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ביאור הדברים, </w:t>
      </w:r>
      <w:proofErr w:type="spellStart"/>
      <w:r w:rsidRPr="00424BC4">
        <w:rPr>
          <w:rFonts w:ascii="Narkisim" w:eastAsia="Calibri" w:hAnsi="Narkisim"/>
          <w:sz w:val="24"/>
          <w:szCs w:val="24"/>
          <w:rtl/>
        </w:rPr>
        <w:t>שהמרדכי</w:t>
      </w:r>
      <w:proofErr w:type="spellEnd"/>
      <w:r w:rsidRPr="00424BC4">
        <w:rPr>
          <w:rFonts w:ascii="Narkisim" w:eastAsia="Calibri" w:hAnsi="Narkisim"/>
          <w:sz w:val="24"/>
          <w:szCs w:val="24"/>
          <w:rtl/>
        </w:rPr>
        <w:t xml:space="preserve"> כנראה הבין </w:t>
      </w:r>
      <w:proofErr w:type="spellStart"/>
      <w:r w:rsidRPr="00424BC4">
        <w:rPr>
          <w:rFonts w:ascii="Narkisim" w:eastAsia="Calibri" w:hAnsi="Narkisim"/>
          <w:sz w:val="24"/>
          <w:szCs w:val="24"/>
          <w:rtl/>
        </w:rPr>
        <w:t>שלר"ת</w:t>
      </w:r>
      <w:proofErr w:type="spellEnd"/>
      <w:r w:rsidRPr="00424BC4">
        <w:rPr>
          <w:rFonts w:ascii="Narkisim" w:eastAsia="Calibri" w:hAnsi="Narkisim"/>
          <w:sz w:val="24"/>
          <w:szCs w:val="24"/>
          <w:rtl/>
        </w:rPr>
        <w:t xml:space="preserve"> ברכה הסמוכה לחברתה טעונה פתיחה, אלא שכאילו יש לה פתיחה בהיותה נשענת על הראשונה, אשר פתיחתה חלה גם על השנייה; ולכן </w:t>
      </w:r>
      <w:proofErr w:type="spellStart"/>
      <w:r w:rsidRPr="00424BC4">
        <w:rPr>
          <w:rFonts w:ascii="Narkisim" w:eastAsia="Calibri" w:hAnsi="Narkisim"/>
          <w:sz w:val="24"/>
          <w:szCs w:val="24"/>
          <w:rtl/>
        </w:rPr>
        <w:t>לר"ת</w:t>
      </w:r>
      <w:proofErr w:type="spellEnd"/>
      <w:r w:rsidRPr="00424BC4">
        <w:rPr>
          <w:rFonts w:ascii="Narkisim" w:eastAsia="Calibri" w:hAnsi="Narkisim"/>
          <w:sz w:val="24"/>
          <w:szCs w:val="24"/>
          <w:rtl/>
        </w:rPr>
        <w:t xml:space="preserve"> אין השנייה נפטרת על ידי משענת קנה רצוץ של ברכה קצרה, ואם היא רק ס</w:t>
      </w:r>
      <w:r w:rsidR="00F76DBA">
        <w:rPr>
          <w:rFonts w:ascii="Narkisim" w:eastAsia="Calibri" w:hAnsi="Narkisim"/>
          <w:sz w:val="24"/>
          <w:szCs w:val="24"/>
          <w:rtl/>
        </w:rPr>
        <w:t>מוכה לקצרה היא טעונה פתיחה משלה</w:t>
      </w:r>
      <w:r w:rsidR="00F76DBA">
        <w:rPr>
          <w:rFonts w:ascii="Narkisim" w:eastAsia="Calibri" w:hAnsi="Narkisim" w:hint="cs"/>
          <w:sz w:val="24"/>
          <w:szCs w:val="24"/>
          <w:rtl/>
        </w:rPr>
        <w:t>;</w:t>
      </w:r>
      <w:r w:rsidRPr="00424BC4">
        <w:rPr>
          <w:rFonts w:ascii="Narkisim" w:eastAsia="Calibri" w:hAnsi="Narkisim"/>
          <w:sz w:val="24"/>
          <w:szCs w:val="24"/>
          <w:rtl/>
        </w:rPr>
        <w:t xml:space="preserve"> ואילו </w:t>
      </w:r>
      <w:proofErr w:type="spellStart"/>
      <w:r w:rsidRPr="00424BC4">
        <w:rPr>
          <w:rFonts w:ascii="Narkisim" w:eastAsia="Calibri" w:hAnsi="Narkisim"/>
          <w:sz w:val="24"/>
          <w:szCs w:val="24"/>
          <w:rtl/>
        </w:rPr>
        <w:t>המרדכי</w:t>
      </w:r>
      <w:proofErr w:type="spellEnd"/>
      <w:r w:rsidRPr="00424BC4">
        <w:rPr>
          <w:rFonts w:ascii="Narkisim" w:eastAsia="Calibri" w:hAnsi="Narkisim"/>
          <w:sz w:val="24"/>
          <w:szCs w:val="24"/>
          <w:rtl/>
        </w:rPr>
        <w:t xml:space="preserve"> עצמו סבור, שברכה הסמוכה לחברתה פטורה, עקרונית, מפתיחה, וממילא מה אכפת לן מעמד הברכה הראשונה, סוף סו</w:t>
      </w:r>
      <w:r w:rsidR="00F76DBA">
        <w:rPr>
          <w:rFonts w:ascii="Narkisim" w:eastAsia="Calibri" w:hAnsi="Narkisim"/>
          <w:sz w:val="24"/>
          <w:szCs w:val="24"/>
          <w:rtl/>
        </w:rPr>
        <w:t>ף השנייה מוגדרת כסמוכה לחברתה</w:t>
      </w:r>
      <w:r w:rsidRPr="00424BC4">
        <w:rPr>
          <w:rFonts w:ascii="Narkisim" w:eastAsia="Calibri" w:hAnsi="Narkisim"/>
          <w:sz w:val="24"/>
          <w:szCs w:val="24"/>
          <w:rtl/>
        </w:rPr>
        <w:t>.</w:t>
      </w:r>
      <w:r w:rsidR="00F76DBA">
        <w:rPr>
          <w:rStyle w:val="a6"/>
          <w:rFonts w:ascii="Narkisim" w:eastAsia="Calibri" w:hAnsi="Narkisim"/>
          <w:sz w:val="24"/>
          <w:rtl/>
        </w:rPr>
        <w:footnoteReference w:id="5"/>
      </w:r>
    </w:p>
    <w:p w:rsidR="00424BC4" w:rsidRPr="00424BC4" w:rsidRDefault="00F76DBA" w:rsidP="005C74E3">
      <w:pPr>
        <w:autoSpaceDE/>
        <w:autoSpaceDN/>
        <w:spacing w:after="160" w:line="360" w:lineRule="auto"/>
        <w:rPr>
          <w:rFonts w:ascii="Narkisim" w:eastAsia="Calibri" w:hAnsi="Narkisim"/>
          <w:sz w:val="24"/>
          <w:szCs w:val="24"/>
          <w:rtl/>
        </w:rPr>
      </w:pPr>
      <w:r>
        <w:rPr>
          <w:rFonts w:ascii="Narkisim" w:eastAsia="Calibri" w:hAnsi="Narkisim"/>
          <w:sz w:val="24"/>
          <w:szCs w:val="24"/>
          <w:rtl/>
        </w:rPr>
        <w:t>בין כך ובין כך</w:t>
      </w:r>
      <w:r>
        <w:rPr>
          <w:rFonts w:ascii="Narkisim" w:eastAsia="Calibri" w:hAnsi="Narkisim" w:hint="cs"/>
          <w:sz w:val="24"/>
          <w:szCs w:val="24"/>
          <w:rtl/>
        </w:rPr>
        <w:t>,</w:t>
      </w:r>
      <w:r w:rsidR="00424BC4" w:rsidRPr="00424BC4">
        <w:rPr>
          <w:rFonts w:ascii="Narkisim" w:eastAsia="Calibri" w:hAnsi="Narkisim"/>
          <w:sz w:val="24"/>
          <w:szCs w:val="24"/>
          <w:rtl/>
        </w:rPr>
        <w:t xml:space="preserve"> ובמיוחד ל</w:t>
      </w:r>
      <w:r>
        <w:rPr>
          <w:rFonts w:ascii="Narkisim" w:eastAsia="Calibri" w:hAnsi="Narkisim"/>
          <w:sz w:val="24"/>
          <w:szCs w:val="24"/>
          <w:rtl/>
        </w:rPr>
        <w:t xml:space="preserve">פי ההסבר שהוצע לעיל אליבא </w:t>
      </w:r>
      <w:proofErr w:type="spellStart"/>
      <w:r>
        <w:rPr>
          <w:rFonts w:ascii="Narkisim" w:eastAsia="Calibri" w:hAnsi="Narkisim"/>
          <w:sz w:val="24"/>
          <w:szCs w:val="24"/>
          <w:rtl/>
        </w:rPr>
        <w:t>דר"ת</w:t>
      </w:r>
      <w:proofErr w:type="spellEnd"/>
      <w:r>
        <w:rPr>
          <w:rFonts w:ascii="Narkisim" w:eastAsia="Calibri" w:hAnsi="Narkisim" w:hint="cs"/>
          <w:sz w:val="24"/>
          <w:szCs w:val="24"/>
          <w:rtl/>
        </w:rPr>
        <w:t>,</w:t>
      </w:r>
      <w:r w:rsidR="00424BC4" w:rsidRPr="00424BC4">
        <w:rPr>
          <w:rFonts w:ascii="Narkisim" w:eastAsia="Calibri" w:hAnsi="Narkisim"/>
          <w:sz w:val="24"/>
          <w:szCs w:val="24"/>
          <w:rtl/>
        </w:rPr>
        <w:t xml:space="preserve"> נשאלת שאלה פשוטה: מדוע הסמיכות לחברתה פוטרת ברכה רק ממלכות, ולא נתקלנו בברכה ללא שם, לא בברכה הסמוכה לחברתה ולא בשום הקשר אחר? והרי לרבי יוחנן שניהם מעכבים, ומאי שנא מלכות משם?</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והמוכרח מזה, שהצורך במלכות אינו דומה, אף לרבי יוחנן, לצורך בשם. </w:t>
      </w:r>
      <w:proofErr w:type="spellStart"/>
      <w:r w:rsidRPr="00424BC4">
        <w:rPr>
          <w:rFonts w:ascii="Narkisim" w:eastAsia="Calibri" w:hAnsi="Narkisim"/>
          <w:sz w:val="24"/>
          <w:szCs w:val="24"/>
          <w:rtl/>
        </w:rPr>
        <w:t>דהנה</w:t>
      </w:r>
      <w:proofErr w:type="spellEnd"/>
      <w:r w:rsidRPr="00424BC4">
        <w:rPr>
          <w:rFonts w:ascii="Narkisim" w:eastAsia="Calibri" w:hAnsi="Narkisim"/>
          <w:sz w:val="24"/>
          <w:szCs w:val="24"/>
          <w:rtl/>
        </w:rPr>
        <w:t xml:space="preserve"> לגבי שם לא מצאנו בגמרא מקור לכך שכל ברכה זקוקה לו, ואילו לגבי מלכות </w:t>
      </w:r>
      <w:proofErr w:type="spellStart"/>
      <w:r w:rsidRPr="00424BC4">
        <w:rPr>
          <w:rFonts w:ascii="Narkisim" w:eastAsia="Calibri" w:hAnsi="Narkisim"/>
          <w:sz w:val="24"/>
          <w:szCs w:val="24"/>
          <w:rtl/>
        </w:rPr>
        <w:t>גרסינן</w:t>
      </w:r>
      <w:proofErr w:type="spellEnd"/>
      <w:r w:rsidRPr="00424BC4">
        <w:rPr>
          <w:rFonts w:ascii="Narkisim" w:eastAsia="Calibri" w:hAnsi="Narkisim"/>
          <w:sz w:val="24"/>
          <w:szCs w:val="24"/>
          <w:rtl/>
        </w:rPr>
        <w:t xml:space="preserve"> בירושלמי:</w:t>
      </w:r>
    </w:p>
    <w:p w:rsidR="00424BC4" w:rsidRPr="00F76DBA" w:rsidRDefault="00424BC4" w:rsidP="00F76DBA">
      <w:pPr>
        <w:pStyle w:val="aa"/>
        <w:rPr>
          <w:sz w:val="22"/>
          <w:szCs w:val="24"/>
          <w:rtl/>
        </w:rPr>
      </w:pPr>
      <w:r w:rsidRPr="00F76DBA">
        <w:rPr>
          <w:sz w:val="22"/>
          <w:szCs w:val="24"/>
          <w:rtl/>
        </w:rPr>
        <w:t xml:space="preserve">רבי </w:t>
      </w:r>
      <w:proofErr w:type="spellStart"/>
      <w:r w:rsidRPr="00F76DBA">
        <w:rPr>
          <w:sz w:val="22"/>
          <w:szCs w:val="24"/>
          <w:rtl/>
        </w:rPr>
        <w:t>זעירא</w:t>
      </w:r>
      <w:proofErr w:type="spellEnd"/>
      <w:r w:rsidRPr="00F76DBA">
        <w:rPr>
          <w:sz w:val="22"/>
          <w:szCs w:val="24"/>
          <w:rtl/>
        </w:rPr>
        <w:t xml:space="preserve"> ורבי </w:t>
      </w:r>
      <w:proofErr w:type="spellStart"/>
      <w:r w:rsidRPr="00F76DBA">
        <w:rPr>
          <w:sz w:val="22"/>
          <w:szCs w:val="24"/>
          <w:rtl/>
        </w:rPr>
        <w:t>יהודא</w:t>
      </w:r>
      <w:proofErr w:type="spellEnd"/>
      <w:r w:rsidRPr="00F76DBA">
        <w:rPr>
          <w:sz w:val="22"/>
          <w:szCs w:val="24"/>
          <w:rtl/>
        </w:rPr>
        <w:t xml:space="preserve"> בשם רב - כל ברכה שאין עִמה מלכות אינה ברכה. אמר רבי </w:t>
      </w:r>
      <w:proofErr w:type="spellStart"/>
      <w:r w:rsidRPr="00F76DBA">
        <w:rPr>
          <w:sz w:val="22"/>
          <w:szCs w:val="24"/>
          <w:rtl/>
        </w:rPr>
        <w:t>תנחומא</w:t>
      </w:r>
      <w:proofErr w:type="spellEnd"/>
      <w:r w:rsidRPr="00F76DBA">
        <w:rPr>
          <w:sz w:val="22"/>
          <w:szCs w:val="24"/>
          <w:rtl/>
        </w:rPr>
        <w:t xml:space="preserve"> - אנא </w:t>
      </w:r>
      <w:r w:rsidR="00F76DBA">
        <w:rPr>
          <w:sz w:val="22"/>
          <w:szCs w:val="24"/>
          <w:rtl/>
        </w:rPr>
        <w:t>אמר טעמא: 'ארוממך א-להי המלך'</w:t>
      </w:r>
      <w:r w:rsidR="00F76DBA">
        <w:rPr>
          <w:rFonts w:hint="cs"/>
          <w:sz w:val="22"/>
          <w:szCs w:val="24"/>
          <w:rtl/>
        </w:rPr>
        <w:tab/>
      </w:r>
      <w:r w:rsidR="00F76DBA">
        <w:rPr>
          <w:rFonts w:hint="cs"/>
          <w:sz w:val="22"/>
          <w:szCs w:val="24"/>
          <w:rtl/>
        </w:rPr>
        <w:tab/>
      </w:r>
      <w:r w:rsidR="00F76DBA" w:rsidRPr="00F76DBA">
        <w:rPr>
          <w:sz w:val="18"/>
          <w:szCs w:val="20"/>
          <w:rtl/>
        </w:rPr>
        <w:t>(ברכות פ"ט ה"א)</w:t>
      </w:r>
      <w:r w:rsidRPr="00F76DBA">
        <w:rPr>
          <w:sz w:val="22"/>
          <w:szCs w:val="24"/>
          <w:rtl/>
        </w:rPr>
        <w:t>.</w:t>
      </w:r>
      <w:r w:rsidR="00F76DBA">
        <w:rPr>
          <w:rStyle w:val="a6"/>
          <w:sz w:val="22"/>
          <w:rtl/>
        </w:rPr>
        <w:footnoteReference w:id="6"/>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lastRenderedPageBreak/>
        <w:t>בביאור הדבר נראה פשוט, שמה שברכה טעונה שם לא נאמר כהלכה אודות ברכה, אלא שהשם הוא הוא המגדירהּ כברכה, ובהֵעדרו אין לנו ברכה כלל. כמ</w:t>
      </w:r>
      <w:r w:rsidR="00F76DBA">
        <w:rPr>
          <w:rFonts w:ascii="Narkisim" w:eastAsia="Calibri" w:hAnsi="Narkisim"/>
          <w:sz w:val="24"/>
          <w:szCs w:val="24"/>
          <w:rtl/>
        </w:rPr>
        <w:t xml:space="preserve">ו ששבועה </w:t>
      </w:r>
      <w:proofErr w:type="spellStart"/>
      <w:r w:rsidR="00F76DBA">
        <w:rPr>
          <w:rFonts w:ascii="Narkisim" w:eastAsia="Calibri" w:hAnsi="Narkisim"/>
          <w:sz w:val="24"/>
          <w:szCs w:val="24"/>
          <w:rtl/>
        </w:rPr>
        <w:t>בעיא</w:t>
      </w:r>
      <w:proofErr w:type="spellEnd"/>
      <w:r w:rsidR="00F76DBA">
        <w:rPr>
          <w:rFonts w:ascii="Narkisim" w:eastAsia="Calibri" w:hAnsi="Narkisim"/>
          <w:sz w:val="24"/>
          <w:szCs w:val="24"/>
          <w:rtl/>
        </w:rPr>
        <w:t xml:space="preserve"> שם, לדעת הרמב"ם</w:t>
      </w:r>
      <w:r w:rsidRPr="00424BC4">
        <w:rPr>
          <w:rFonts w:ascii="Narkisim" w:eastAsia="Calibri" w:hAnsi="Narkisim"/>
          <w:sz w:val="24"/>
          <w:szCs w:val="24"/>
          <w:rtl/>
        </w:rPr>
        <w:t>,</w:t>
      </w:r>
      <w:r w:rsidR="00F76DBA">
        <w:rPr>
          <w:rStyle w:val="a6"/>
          <w:rFonts w:ascii="Narkisim" w:eastAsia="Calibri" w:hAnsi="Narkisim"/>
          <w:sz w:val="24"/>
          <w:rtl/>
        </w:rPr>
        <w:footnoteReference w:id="7"/>
      </w:r>
      <w:r w:rsidRPr="00424BC4">
        <w:rPr>
          <w:rFonts w:ascii="Narkisim" w:eastAsia="Calibri" w:hAnsi="Narkisim"/>
          <w:sz w:val="24"/>
          <w:szCs w:val="24"/>
          <w:rtl/>
        </w:rPr>
        <w:t xml:space="preserve"> ובלעדיו אינה קרויה שבועה, הוא הדין בברכה, והדברים קל וחומר. וממילא, היות שאין כאן גזירת הכתוב שבאה להציב דרישה ביחס לברכה, אלא הגדרת יסוד, ייתכן שדין זה נלמד </w:t>
      </w:r>
      <w:proofErr w:type="spellStart"/>
      <w:r w:rsidRPr="00424BC4">
        <w:rPr>
          <w:rFonts w:ascii="Narkisim" w:eastAsia="Calibri" w:hAnsi="Narkisim"/>
          <w:sz w:val="24"/>
          <w:szCs w:val="24"/>
          <w:rtl/>
        </w:rPr>
        <w:t>מסברא</w:t>
      </w:r>
      <w:proofErr w:type="spellEnd"/>
      <w:r w:rsidRPr="00424BC4">
        <w:rPr>
          <w:rFonts w:ascii="Narkisim" w:eastAsia="Calibri" w:hAnsi="Narkisim"/>
          <w:sz w:val="24"/>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לעומת זאת, הזכרת מלכות היא בבחינת דרישה נוספת, מעבר לעצם עיצוב הברכה והגדרתה, והיא דרישה שאלמלא הפסוק לא היינו מעמידים אותה, ולפיכך ציין רבי </w:t>
      </w:r>
      <w:proofErr w:type="spellStart"/>
      <w:r w:rsidRPr="00424BC4">
        <w:rPr>
          <w:rFonts w:ascii="Narkisim" w:eastAsia="Calibri" w:hAnsi="Narkisim"/>
          <w:sz w:val="24"/>
          <w:szCs w:val="24"/>
          <w:rtl/>
        </w:rPr>
        <w:t>תנחומא</w:t>
      </w:r>
      <w:proofErr w:type="spellEnd"/>
      <w:r w:rsidRPr="00424BC4">
        <w:rPr>
          <w:rFonts w:ascii="Narkisim" w:eastAsia="Calibri" w:hAnsi="Narkisim"/>
          <w:sz w:val="24"/>
          <w:szCs w:val="24"/>
          <w:rtl/>
        </w:rPr>
        <w:t xml:space="preserve"> מקור מיוחד להלכה זו. ונראה שכך גם </w:t>
      </w:r>
      <w:proofErr w:type="spellStart"/>
      <w:r w:rsidRPr="00424BC4">
        <w:rPr>
          <w:rFonts w:ascii="Narkisim" w:eastAsia="Calibri" w:hAnsi="Narkisim"/>
          <w:sz w:val="24"/>
          <w:szCs w:val="24"/>
          <w:rtl/>
        </w:rPr>
        <w:t>מדוייק</w:t>
      </w:r>
      <w:proofErr w:type="spellEnd"/>
      <w:r w:rsidRPr="00424BC4">
        <w:rPr>
          <w:rFonts w:ascii="Narkisim" w:eastAsia="Calibri" w:hAnsi="Narkisim"/>
          <w:sz w:val="24"/>
          <w:szCs w:val="24"/>
          <w:rtl/>
        </w:rPr>
        <w:t xml:space="preserve"> מלשון רב בירושלמי: "כל ברכה שאין עִמה מלכות" </w:t>
      </w:r>
      <w:r w:rsidR="00F76DBA">
        <w:rPr>
          <w:rFonts w:ascii="Narkisim" w:eastAsia="Calibri" w:hAnsi="Narkisim"/>
          <w:sz w:val="24"/>
          <w:szCs w:val="24"/>
          <w:rtl/>
        </w:rPr>
        <w:t>–</w:t>
      </w:r>
      <w:r w:rsidRPr="00424BC4">
        <w:rPr>
          <w:rFonts w:ascii="Narkisim" w:eastAsia="Calibri" w:hAnsi="Narkisim"/>
          <w:sz w:val="24"/>
          <w:szCs w:val="24"/>
          <w:rtl/>
        </w:rPr>
        <w:t xml:space="preserve"> הווי אומר, שאין מלכות מתלווה אליה, אם כי אינה קובעת את עצם זהותה, </w:t>
      </w:r>
      <w:r w:rsidR="00F76DBA">
        <w:rPr>
          <w:rFonts w:ascii="Narkisim" w:eastAsia="Calibri" w:hAnsi="Narkisim"/>
          <w:sz w:val="24"/>
          <w:szCs w:val="24"/>
          <w:rtl/>
        </w:rPr>
        <w:t>שכן רק שם מגדיר את הברכה עצמה</w:t>
      </w:r>
      <w:r w:rsidRPr="00424BC4">
        <w:rPr>
          <w:rFonts w:ascii="Narkisim" w:eastAsia="Calibri" w:hAnsi="Narkisim"/>
          <w:sz w:val="24"/>
          <w:szCs w:val="24"/>
          <w:rtl/>
        </w:rPr>
        <w:t>.</w:t>
      </w:r>
      <w:r w:rsidR="00F76DBA">
        <w:rPr>
          <w:rStyle w:val="a6"/>
          <w:rFonts w:ascii="Narkisim" w:eastAsia="Calibri" w:hAnsi="Narkisim"/>
          <w:sz w:val="24"/>
          <w:rtl/>
        </w:rPr>
        <w:footnoteReference w:id="8"/>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והנה בבבלי לא מצאנו מקור לא לשם ולא למלכות; ואף אין לדייק מניסוח דברי רבי יוחנן לגבי מלכות לעומת דברי רב לגבי שם, שכן שניהם ניסחו "שאין בה", ולא "עִמה". ואף על פי כן נראה שהחילוק שהוצע תקף אף לגבי הבבלי, והוא הוא יסוד השוני שבין שם למלכות לגבי ברכה הסמוכה לחברתה. היות וללא שם אין כאן ברכה כלל, ברור שלא ניתן להישען על ברכה קודמת, ועל אחת כמה וכמה שאין לפט</w:t>
      </w:r>
      <w:r w:rsidR="00F76DBA">
        <w:rPr>
          <w:rFonts w:ascii="Narkisim" w:eastAsia="Calibri" w:hAnsi="Narkisim"/>
          <w:sz w:val="24"/>
          <w:szCs w:val="24"/>
          <w:rtl/>
        </w:rPr>
        <w:t xml:space="preserve">ור כליל </w:t>
      </w:r>
      <w:r w:rsidR="00F76DBA">
        <w:rPr>
          <w:rFonts w:ascii="Narkisim" w:eastAsia="Calibri" w:hAnsi="Narkisim"/>
          <w:sz w:val="24"/>
          <w:szCs w:val="24"/>
          <w:rtl/>
        </w:rPr>
        <w:lastRenderedPageBreak/>
        <w:t>מהצורך בשם. השם חייב לה</w:t>
      </w:r>
      <w:r w:rsidR="00F76DBA">
        <w:rPr>
          <w:rFonts w:ascii="Narkisim" w:eastAsia="Calibri" w:hAnsi="Narkisim" w:hint="cs"/>
          <w:sz w:val="24"/>
          <w:szCs w:val="24"/>
          <w:rtl/>
        </w:rPr>
        <w:t>י</w:t>
      </w:r>
      <w:r w:rsidRPr="00424BC4">
        <w:rPr>
          <w:rFonts w:ascii="Narkisim" w:eastAsia="Calibri" w:hAnsi="Narkisim"/>
          <w:sz w:val="24"/>
          <w:szCs w:val="24"/>
          <w:rtl/>
        </w:rPr>
        <w:t>אמר בגוף הברכה המושתתת עליו. מאידך, הדין של אמירת מלכות, שמעלה דרישה צדדית אך אינו מגדיר את הברכה, אינו מחייב שהיא תוזכר בטופס כל ברכה, ותיתכן הסתמכות על ברכה קודמת או על חריגה הפוטרת.</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ובתוספת ביאור נראה, שהזכרת מלכות איננה דרושה כמרכיב במטבע של ברכה, אלא כקובעת את מעמד המברך </w:t>
      </w:r>
      <w:proofErr w:type="spellStart"/>
      <w:r w:rsidRPr="00424BC4">
        <w:rPr>
          <w:rFonts w:ascii="Narkisim" w:eastAsia="Calibri" w:hAnsi="Narkisim"/>
          <w:sz w:val="24"/>
          <w:szCs w:val="24"/>
          <w:rtl/>
        </w:rPr>
        <w:t>בעומדו</w:t>
      </w:r>
      <w:proofErr w:type="spellEnd"/>
      <w:r w:rsidRPr="00424BC4">
        <w:rPr>
          <w:rFonts w:ascii="Narkisim" w:eastAsia="Calibri" w:hAnsi="Narkisim"/>
          <w:sz w:val="24"/>
          <w:szCs w:val="24"/>
          <w:rtl/>
        </w:rPr>
        <w:t xml:space="preserve"> לפני </w:t>
      </w:r>
      <w:proofErr w:type="spellStart"/>
      <w:r w:rsidRPr="00424BC4">
        <w:rPr>
          <w:rFonts w:ascii="Narkisim" w:eastAsia="Calibri" w:hAnsi="Narkisim"/>
          <w:sz w:val="24"/>
          <w:szCs w:val="24"/>
          <w:rtl/>
        </w:rPr>
        <w:t>קודשא</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בריך</w:t>
      </w:r>
      <w:proofErr w:type="spellEnd"/>
      <w:r w:rsidRPr="00424BC4">
        <w:rPr>
          <w:rFonts w:ascii="Narkisim" w:eastAsia="Calibri" w:hAnsi="Narkisim"/>
          <w:sz w:val="24"/>
          <w:szCs w:val="24"/>
          <w:rtl/>
        </w:rPr>
        <w:t xml:space="preserve"> הוא, מתוך הכרה במלכותו יתברך. וזה מה שנלמד מ"ארוממך א-</w:t>
      </w:r>
      <w:proofErr w:type="spellStart"/>
      <w:r w:rsidRPr="00424BC4">
        <w:rPr>
          <w:rFonts w:ascii="Narkisim" w:eastAsia="Calibri" w:hAnsi="Narkisim"/>
          <w:sz w:val="24"/>
          <w:szCs w:val="24"/>
          <w:rtl/>
        </w:rPr>
        <w:t>לוהי</w:t>
      </w:r>
      <w:proofErr w:type="spellEnd"/>
      <w:r w:rsidRPr="00424BC4">
        <w:rPr>
          <w:rFonts w:ascii="Narkisim" w:eastAsia="Calibri" w:hAnsi="Narkisim"/>
          <w:sz w:val="24"/>
          <w:szCs w:val="24"/>
          <w:rtl/>
        </w:rPr>
        <w:t xml:space="preserve"> המלך", שהרי בפסוק לא מדובר בתוכן הרוממות, אלא בכך שהיא מופנית על ידי המשבח המברך כלפי המלך לפניו הוא מתייצב.</w:t>
      </w:r>
    </w:p>
    <w:p w:rsidR="00424BC4" w:rsidRPr="00424BC4" w:rsidRDefault="00424BC4" w:rsidP="005C74E3">
      <w:pPr>
        <w:autoSpaceDE/>
        <w:autoSpaceDN/>
        <w:spacing w:after="160" w:line="360" w:lineRule="auto"/>
        <w:rPr>
          <w:rFonts w:ascii="Narkisim" w:eastAsia="Calibri" w:hAnsi="Narkisim"/>
          <w:sz w:val="24"/>
          <w:szCs w:val="24"/>
          <w:rtl/>
        </w:rPr>
      </w:pPr>
      <w:proofErr w:type="spellStart"/>
      <w:r w:rsidRPr="00424BC4">
        <w:rPr>
          <w:rFonts w:ascii="Narkisim" w:eastAsia="Calibri" w:hAnsi="Narkisim"/>
          <w:sz w:val="24"/>
          <w:szCs w:val="24"/>
          <w:rtl/>
        </w:rPr>
        <w:t>והשתא</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דאתינן</w:t>
      </w:r>
      <w:proofErr w:type="spellEnd"/>
      <w:r w:rsidRPr="00424BC4">
        <w:rPr>
          <w:rFonts w:ascii="Narkisim" w:eastAsia="Calibri" w:hAnsi="Narkisim"/>
          <w:sz w:val="24"/>
          <w:szCs w:val="24"/>
          <w:rtl/>
        </w:rPr>
        <w:t xml:space="preserve"> להכי הרי שנפתח פתח להציע, שאם תודעה זו </w:t>
      </w:r>
      <w:proofErr w:type="spellStart"/>
      <w:r w:rsidRPr="00424BC4">
        <w:rPr>
          <w:rFonts w:ascii="Narkisim" w:eastAsia="Calibri" w:hAnsi="Narkisim"/>
          <w:sz w:val="24"/>
          <w:szCs w:val="24"/>
          <w:rtl/>
        </w:rPr>
        <w:t>היתה</w:t>
      </w:r>
      <w:proofErr w:type="spellEnd"/>
      <w:r w:rsidRPr="00424BC4">
        <w:rPr>
          <w:rFonts w:ascii="Narkisim" w:eastAsia="Calibri" w:hAnsi="Narkisim"/>
          <w:sz w:val="24"/>
          <w:szCs w:val="24"/>
          <w:rtl/>
        </w:rPr>
        <w:t xml:space="preserve"> מושגת באמצעים אחרים, ומעמד המברך היה נקבע בדרכים חלופיות ללא הזכרת מלכות, ניתן היה לצאת בברכה אף ללא מלכות. ונראה שכך ניתן להבין ברכה הסמוכה לחברתה, לשני ההסברים </w:t>
      </w:r>
      <w:proofErr w:type="spellStart"/>
      <w:r w:rsidRPr="00424BC4">
        <w:rPr>
          <w:rFonts w:ascii="Narkisim" w:eastAsia="Calibri" w:hAnsi="Narkisim"/>
          <w:sz w:val="24"/>
          <w:szCs w:val="24"/>
          <w:rtl/>
        </w:rPr>
        <w:t>שצויינו</w:t>
      </w:r>
      <w:proofErr w:type="spellEnd"/>
      <w:r w:rsidRPr="00424BC4">
        <w:rPr>
          <w:rFonts w:ascii="Narkisim" w:eastAsia="Calibri" w:hAnsi="Narkisim"/>
          <w:sz w:val="24"/>
          <w:szCs w:val="24"/>
          <w:rtl/>
        </w:rPr>
        <w:t xml:space="preserve"> לעיל. במקרה זה מעמד המברך כבר נקבע על ידי הברכה הראשונה, בה פנה </w:t>
      </w:r>
      <w:proofErr w:type="spellStart"/>
      <w:r w:rsidRPr="00424BC4">
        <w:rPr>
          <w:rFonts w:ascii="Narkisim" w:eastAsia="Calibri" w:hAnsi="Narkisim"/>
          <w:sz w:val="24"/>
          <w:szCs w:val="24"/>
          <w:rtl/>
        </w:rPr>
        <w:t>לקודשא</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בריך</w:t>
      </w:r>
      <w:proofErr w:type="spellEnd"/>
      <w:r w:rsidRPr="00424BC4">
        <w:rPr>
          <w:rFonts w:ascii="Narkisim" w:eastAsia="Calibri" w:hAnsi="Narkisim"/>
          <w:sz w:val="24"/>
          <w:szCs w:val="24"/>
          <w:rtl/>
        </w:rPr>
        <w:t xml:space="preserve"> הוא כמלך, ואין צורך, אם כך, להזכיר מלכות אף בברכות הבאות אחריה.</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אם כנים דברינו, נראה ברור שהוא הדין אם ייקבע מעמד המברך בדרך אחרת, שלא על ידי אמרות פיו, שאף </w:t>
      </w:r>
      <w:proofErr w:type="spellStart"/>
      <w:r w:rsidRPr="00424BC4">
        <w:rPr>
          <w:rFonts w:ascii="Narkisim" w:eastAsia="Calibri" w:hAnsi="Narkisim"/>
          <w:sz w:val="24"/>
          <w:szCs w:val="24"/>
          <w:rtl/>
        </w:rPr>
        <w:t>בכגון</w:t>
      </w:r>
      <w:proofErr w:type="spellEnd"/>
      <w:r w:rsidRPr="00424BC4">
        <w:rPr>
          <w:rFonts w:ascii="Narkisim" w:eastAsia="Calibri" w:hAnsi="Narkisim"/>
          <w:sz w:val="24"/>
          <w:szCs w:val="24"/>
          <w:rtl/>
        </w:rPr>
        <w:t xml:space="preserve"> דא יוכל להסתפק בשם, ולא יהיה זקוק למלכות. ונראה שניתן לציין דוגמה לכך על פי הברייתא שצוטטה לעיל. </w:t>
      </w:r>
      <w:proofErr w:type="spellStart"/>
      <w:r w:rsidRPr="00424BC4">
        <w:rPr>
          <w:rFonts w:ascii="Narkisim" w:eastAsia="Calibri" w:hAnsi="Narkisim"/>
          <w:sz w:val="24"/>
          <w:szCs w:val="24"/>
          <w:rtl/>
        </w:rPr>
        <w:t>דהנה</w:t>
      </w:r>
      <w:proofErr w:type="spellEnd"/>
      <w:r w:rsidRPr="00424BC4">
        <w:rPr>
          <w:rFonts w:ascii="Narkisim" w:eastAsia="Calibri" w:hAnsi="Narkisim"/>
          <w:sz w:val="24"/>
          <w:szCs w:val="24"/>
          <w:rtl/>
        </w:rPr>
        <w:t xml:space="preserve"> לצד ברכה הסמוכה לחברתה </w:t>
      </w:r>
      <w:proofErr w:type="spellStart"/>
      <w:r w:rsidRPr="00424BC4">
        <w:rPr>
          <w:rFonts w:ascii="Narkisim" w:eastAsia="Calibri" w:hAnsi="Narkisim"/>
          <w:sz w:val="24"/>
          <w:szCs w:val="24"/>
          <w:rtl/>
        </w:rPr>
        <w:t>צויינה</w:t>
      </w:r>
      <w:proofErr w:type="spellEnd"/>
      <w:r w:rsidRPr="00424BC4">
        <w:rPr>
          <w:rFonts w:ascii="Narkisim" w:eastAsia="Calibri" w:hAnsi="Narkisim"/>
          <w:sz w:val="24"/>
          <w:szCs w:val="24"/>
          <w:rtl/>
        </w:rPr>
        <w:t xml:space="preserve"> שם גם ברכה אחרונה שבקריאת שמע כחריגה, שכן היא חותמת בברוך אך אינה פותחת בו. והנה רש"י </w:t>
      </w:r>
      <w:r w:rsidRPr="00F76DBA">
        <w:rPr>
          <w:rFonts w:ascii="Narkisim" w:eastAsia="Calibri" w:hAnsi="Narkisim"/>
          <w:szCs w:val="20"/>
          <w:rtl/>
        </w:rPr>
        <w:t>(ברכות מו:, ד"ה ויש)</w:t>
      </w:r>
      <w:r w:rsidRPr="00424BC4">
        <w:rPr>
          <w:rFonts w:ascii="Narkisim" w:eastAsia="Calibri" w:hAnsi="Narkisim"/>
          <w:sz w:val="24"/>
          <w:szCs w:val="24"/>
          <w:rtl/>
        </w:rPr>
        <w:t xml:space="preserve"> פירש שזה מדין ברכה הסמוכה לחברתה, "שאע"פ שק"ש מפסיק </w:t>
      </w:r>
      <w:proofErr w:type="spellStart"/>
      <w:r w:rsidRPr="00424BC4">
        <w:rPr>
          <w:rFonts w:ascii="Narkisim" w:eastAsia="Calibri" w:hAnsi="Narkisim"/>
          <w:sz w:val="24"/>
          <w:szCs w:val="24"/>
          <w:rtl/>
        </w:rPr>
        <w:t>בינתים</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אברכות</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דלפניה</w:t>
      </w:r>
      <w:proofErr w:type="spellEnd"/>
      <w:r w:rsidRPr="00424BC4">
        <w:rPr>
          <w:rFonts w:ascii="Narkisim" w:eastAsia="Calibri" w:hAnsi="Narkisim"/>
          <w:sz w:val="24"/>
          <w:szCs w:val="24"/>
          <w:rtl/>
        </w:rPr>
        <w:t xml:space="preserve"> סמוכה, </w:t>
      </w:r>
      <w:proofErr w:type="spellStart"/>
      <w:r w:rsidRPr="00424BC4">
        <w:rPr>
          <w:rFonts w:ascii="Narkisim" w:eastAsia="Calibri" w:hAnsi="Narkisim"/>
          <w:sz w:val="24"/>
          <w:szCs w:val="24"/>
          <w:rtl/>
        </w:rPr>
        <w:t>והויא</w:t>
      </w:r>
      <w:proofErr w:type="spellEnd"/>
      <w:r w:rsidRPr="00424BC4">
        <w:rPr>
          <w:rFonts w:ascii="Narkisim" w:eastAsia="Calibri" w:hAnsi="Narkisim"/>
          <w:sz w:val="24"/>
          <w:szCs w:val="24"/>
          <w:rtl/>
        </w:rPr>
        <w:t xml:space="preserve"> לה סמוכה לחברתה". אך מפשטות לשון הברייתא, שהזכירה ברכה זו בנפרד, לצד ברכה הסמוכה לחברתה, לא משמע כך; וכבר </w:t>
      </w:r>
      <w:r w:rsidRPr="00424BC4">
        <w:rPr>
          <w:rFonts w:ascii="Narkisim" w:eastAsia="Calibri" w:hAnsi="Narkisim"/>
          <w:sz w:val="24"/>
          <w:szCs w:val="24"/>
          <w:rtl/>
        </w:rPr>
        <w:lastRenderedPageBreak/>
        <w:t xml:space="preserve">הקשה עליו </w:t>
      </w:r>
      <w:proofErr w:type="spellStart"/>
      <w:r w:rsidRPr="00424BC4">
        <w:rPr>
          <w:rFonts w:ascii="Narkisim" w:eastAsia="Calibri" w:hAnsi="Narkisim"/>
          <w:sz w:val="24"/>
          <w:szCs w:val="24"/>
          <w:rtl/>
        </w:rPr>
        <w:t>הרשב"א</w:t>
      </w:r>
      <w:proofErr w:type="spellEnd"/>
      <w:r w:rsidRPr="00424BC4">
        <w:rPr>
          <w:rFonts w:ascii="Narkisim" w:eastAsia="Calibri" w:hAnsi="Narkisim"/>
          <w:sz w:val="24"/>
          <w:szCs w:val="24"/>
          <w:rtl/>
        </w:rPr>
        <w:t xml:space="preserve"> </w:t>
      </w:r>
      <w:r w:rsidRPr="00F76DBA">
        <w:rPr>
          <w:rFonts w:ascii="Narkisim" w:eastAsia="Calibri" w:hAnsi="Narkisim"/>
          <w:szCs w:val="20"/>
          <w:rtl/>
        </w:rPr>
        <w:t>(ברכות יא:, ד"ה אחת)</w:t>
      </w:r>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והרשב"א</w:t>
      </w:r>
      <w:proofErr w:type="spellEnd"/>
      <w:r w:rsidRPr="00424BC4">
        <w:rPr>
          <w:rFonts w:ascii="Narkisim" w:eastAsia="Calibri" w:hAnsi="Narkisim"/>
          <w:sz w:val="24"/>
          <w:szCs w:val="24"/>
          <w:rtl/>
        </w:rPr>
        <w:t xml:space="preserve"> עצמו חלק על רש"י, והעלה שישנן ברכות שביסודן תוקנו במטבע קצר, שחותם בברוך ואינו פותח בו. אלא שאף דבריו צריכים עיון, שכן סתם ולא פירש מה </w:t>
      </w:r>
      <w:proofErr w:type="spellStart"/>
      <w:r w:rsidRPr="00424BC4">
        <w:rPr>
          <w:rFonts w:ascii="Narkisim" w:eastAsia="Calibri" w:hAnsi="Narkisim"/>
          <w:sz w:val="24"/>
          <w:szCs w:val="24"/>
          <w:rtl/>
        </w:rPr>
        <w:t>נשתנתה</w:t>
      </w:r>
      <w:proofErr w:type="spellEnd"/>
      <w:r w:rsidRPr="00424BC4">
        <w:rPr>
          <w:rFonts w:ascii="Narkisim" w:eastAsia="Calibri" w:hAnsi="Narkisim"/>
          <w:sz w:val="24"/>
          <w:szCs w:val="24"/>
          <w:rtl/>
        </w:rPr>
        <w:t xml:space="preserve"> ברכה זו ומדוע היא חורגת מהכלל. ועוד קשה, שהרי במטבע קצר מזכירים שם ומלכות, אלא שאין מוסיפים הזכרת שם שנייה בצורת חתימה, ואילו בברכה אחרונה שבקריאת שמע חסרה מלכות לחלוטין.</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והנראה בזה, שמכיוון שקיום מצוות קריאת שמע הינו, בעיקרו, קבלת עול מלכות שמיים, הרי שעצם קריאת שמע מחייבת בהכרת מלכות הקב"ה; וממילא, היא קובעת את מעמד הקורא (שהופך בסיום קריאת שמע למברך), כפונה למלך, ושוב אין צורך בהצהרה מילולית בנידון, שכן הנסיבות מעצבות את טיב הזיקה.</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והנה, מכיוון שרש"י </w:t>
      </w:r>
      <w:proofErr w:type="spellStart"/>
      <w:r w:rsidRPr="00424BC4">
        <w:rPr>
          <w:rFonts w:ascii="Narkisim" w:eastAsia="Calibri" w:hAnsi="Narkisim"/>
          <w:sz w:val="24"/>
          <w:szCs w:val="24"/>
          <w:rtl/>
        </w:rPr>
        <w:t>והרשב"א</w:t>
      </w:r>
      <w:proofErr w:type="spellEnd"/>
      <w:r w:rsidRPr="00424BC4">
        <w:rPr>
          <w:rFonts w:ascii="Narkisim" w:eastAsia="Calibri" w:hAnsi="Narkisim"/>
          <w:sz w:val="24"/>
          <w:szCs w:val="24"/>
          <w:rtl/>
        </w:rPr>
        <w:t xml:space="preserve"> כאחד העלו הסברים אחרים לחריגותה של הברכה האחרונה שבקריאת שמע, מוכח בעליל שהם לא אימצו את ההסבר שהוצע לעיל. ברם, נראה שאין זה בהכרח מפני שדחו את יסודותיו, אלא מפני שלא קיבלו את יישומם ביחס לברכת קריאת שמע. ואם כך, ייתכן שניתן ליישמם בהקשר אחר, דהיינו לגבי תפילה. </w:t>
      </w:r>
      <w:proofErr w:type="spellStart"/>
      <w:r w:rsidRPr="00424BC4">
        <w:rPr>
          <w:rFonts w:ascii="Narkisim" w:eastAsia="Calibri" w:hAnsi="Narkisim"/>
          <w:sz w:val="24"/>
          <w:szCs w:val="24"/>
          <w:rtl/>
        </w:rPr>
        <w:t>דהנה</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מרגלא</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בפומיה</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דמו"ח</w:t>
      </w:r>
      <w:proofErr w:type="spellEnd"/>
      <w:r w:rsidRPr="00424BC4">
        <w:rPr>
          <w:rFonts w:ascii="Narkisim" w:eastAsia="Calibri" w:hAnsi="Narkisim"/>
          <w:sz w:val="24"/>
          <w:szCs w:val="24"/>
          <w:rtl/>
        </w:rPr>
        <w:t xml:space="preserve"> </w:t>
      </w:r>
      <w:proofErr w:type="spellStart"/>
      <w:r w:rsidRPr="00424BC4">
        <w:rPr>
          <w:rFonts w:ascii="Narkisim" w:eastAsia="Calibri" w:hAnsi="Narkisim"/>
          <w:sz w:val="24"/>
          <w:szCs w:val="24"/>
          <w:rtl/>
        </w:rPr>
        <w:t>הגרי"ד</w:t>
      </w:r>
      <w:proofErr w:type="spellEnd"/>
      <w:r w:rsidRPr="00424BC4">
        <w:rPr>
          <w:rFonts w:ascii="Narkisim" w:eastAsia="Calibri" w:hAnsi="Narkisim"/>
          <w:sz w:val="24"/>
          <w:szCs w:val="24"/>
          <w:rtl/>
        </w:rPr>
        <w:t xml:space="preserve"> הלוי </w:t>
      </w:r>
      <w:proofErr w:type="spellStart"/>
      <w:r w:rsidRPr="00424BC4">
        <w:rPr>
          <w:rFonts w:ascii="Narkisim" w:eastAsia="Calibri" w:hAnsi="Narkisim"/>
          <w:sz w:val="24"/>
          <w:szCs w:val="24"/>
          <w:rtl/>
        </w:rPr>
        <w:t>סולובייצ'יק</w:t>
      </w:r>
      <w:proofErr w:type="spellEnd"/>
      <w:r w:rsidRPr="00424BC4">
        <w:rPr>
          <w:rFonts w:ascii="Narkisim" w:eastAsia="Calibri" w:hAnsi="Narkisim"/>
          <w:sz w:val="24"/>
          <w:szCs w:val="24"/>
          <w:rtl/>
        </w:rPr>
        <w:t xml:space="preserve"> זצ"ל, ונימוקיו והוכחותיו </w:t>
      </w:r>
      <w:proofErr w:type="spellStart"/>
      <w:r w:rsidRPr="00424BC4">
        <w:rPr>
          <w:rFonts w:ascii="Narkisim" w:eastAsia="Calibri" w:hAnsi="Narkisim"/>
          <w:sz w:val="24"/>
          <w:szCs w:val="24"/>
          <w:rtl/>
        </w:rPr>
        <w:t>עימו</w:t>
      </w:r>
      <w:proofErr w:type="spellEnd"/>
      <w:r w:rsidRPr="00424BC4">
        <w:rPr>
          <w:rFonts w:ascii="Narkisim" w:eastAsia="Calibri" w:hAnsi="Narkisim"/>
          <w:sz w:val="24"/>
          <w:szCs w:val="24"/>
          <w:rtl/>
        </w:rPr>
        <w:t xml:space="preserve">, שקיים חילוק יסודי בין קריאת שמע ותפילה. דאף </w:t>
      </w:r>
      <w:proofErr w:type="spellStart"/>
      <w:r w:rsidRPr="00424BC4">
        <w:rPr>
          <w:rFonts w:ascii="Narkisim" w:eastAsia="Calibri" w:hAnsi="Narkisim"/>
          <w:sz w:val="24"/>
          <w:szCs w:val="24"/>
          <w:rtl/>
        </w:rPr>
        <w:t>דבקריאת</w:t>
      </w:r>
      <w:proofErr w:type="spellEnd"/>
      <w:r w:rsidRPr="00424BC4">
        <w:rPr>
          <w:rFonts w:ascii="Narkisim" w:eastAsia="Calibri" w:hAnsi="Narkisim"/>
          <w:sz w:val="24"/>
          <w:szCs w:val="24"/>
          <w:rtl/>
        </w:rPr>
        <w:t xml:space="preserve"> שמע יש קיום</w:t>
      </w:r>
      <w:proofErr w:type="spellStart"/>
      <w:r w:rsidRPr="00424BC4">
        <w:rPr>
          <w:rFonts w:ascii="Narkisim" w:eastAsia="Calibri" w:hAnsi="Narkisim"/>
          <w:sz w:val="24"/>
          <w:szCs w:val="24"/>
          <w:rtl/>
        </w:rPr>
        <w:t xml:space="preserve"> </w:t>
      </w:r>
      <w:proofErr w:type="spellEnd"/>
      <w:r w:rsidRPr="00424BC4">
        <w:rPr>
          <w:rFonts w:ascii="Narkisim" w:eastAsia="Calibri" w:hAnsi="Narkisim"/>
          <w:sz w:val="24"/>
          <w:szCs w:val="24"/>
          <w:rtl/>
        </w:rPr>
        <w:t xml:space="preserve">קבלת מלכות שמיים </w:t>
      </w:r>
      <w:r w:rsidR="00F76DBA">
        <w:rPr>
          <w:rFonts w:ascii="Narkisim" w:eastAsia="Calibri" w:hAnsi="Narkisim"/>
          <w:sz w:val="24"/>
          <w:szCs w:val="24"/>
          <w:rtl/>
        </w:rPr>
        <w:t>–</w:t>
      </w:r>
      <w:r w:rsidRPr="00424BC4">
        <w:rPr>
          <w:rFonts w:ascii="Narkisim" w:eastAsia="Calibri" w:hAnsi="Narkisim"/>
          <w:sz w:val="24"/>
          <w:szCs w:val="24"/>
          <w:rtl/>
        </w:rPr>
        <w:t xml:space="preserve"> ואדרבה, לגבי קיום זה ייתכן שקריאת שמע </w:t>
      </w:r>
      <w:proofErr w:type="spellStart"/>
      <w:r w:rsidRPr="00424BC4">
        <w:rPr>
          <w:rFonts w:ascii="Narkisim" w:eastAsia="Calibri" w:hAnsi="Narkisim"/>
          <w:sz w:val="24"/>
          <w:szCs w:val="24"/>
          <w:rtl/>
        </w:rPr>
        <w:t>עדיפא</w:t>
      </w:r>
      <w:proofErr w:type="spellEnd"/>
      <w:r w:rsidRPr="00424BC4">
        <w:rPr>
          <w:rFonts w:ascii="Narkisim" w:eastAsia="Calibri" w:hAnsi="Narkisim"/>
          <w:sz w:val="24"/>
          <w:szCs w:val="24"/>
          <w:rtl/>
        </w:rPr>
        <w:t xml:space="preserve"> מתפילה </w:t>
      </w:r>
      <w:r w:rsidR="00F76DBA">
        <w:rPr>
          <w:rFonts w:ascii="Narkisim" w:eastAsia="Calibri" w:hAnsi="Narkisim"/>
          <w:sz w:val="24"/>
          <w:szCs w:val="24"/>
          <w:rtl/>
        </w:rPr>
        <w:t>–</w:t>
      </w:r>
      <w:r w:rsidRPr="00424BC4">
        <w:rPr>
          <w:rFonts w:ascii="Narkisim" w:eastAsia="Calibri" w:hAnsi="Narkisim"/>
          <w:sz w:val="24"/>
          <w:szCs w:val="24"/>
          <w:rtl/>
        </w:rPr>
        <w:t xml:space="preserve"> מכל מקום לא נאמר לגביה דין עמידה לפני המלך. לעומת זאת, בתפילה מהווה התייצבות המתפלל לפני מלכו של עולם פן מרכזי של קיום המצווה. כמה הוכחות לדבר, ואסתפק כאן בציון שתיים:</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א. </w:t>
      </w:r>
      <w:proofErr w:type="spellStart"/>
      <w:r w:rsidRPr="00424BC4">
        <w:rPr>
          <w:rFonts w:ascii="Narkisim" w:eastAsia="Calibri" w:hAnsi="Narkisim"/>
          <w:sz w:val="24"/>
          <w:szCs w:val="24"/>
          <w:rtl/>
        </w:rPr>
        <w:t>יעויין</w:t>
      </w:r>
      <w:proofErr w:type="spellEnd"/>
      <w:r w:rsidRPr="00424BC4">
        <w:rPr>
          <w:rFonts w:ascii="Narkisim" w:eastAsia="Calibri" w:hAnsi="Narkisim"/>
          <w:sz w:val="24"/>
          <w:szCs w:val="24"/>
          <w:rtl/>
        </w:rPr>
        <w:t xml:space="preserve"> ברמב"ן, שאחרי שהשווה ברכות ותפילה לעניין אמירתן בפני צואה, הסיק:</w:t>
      </w:r>
    </w:p>
    <w:p w:rsidR="00424BC4" w:rsidRPr="00F76DBA" w:rsidRDefault="00424BC4" w:rsidP="00F76DBA">
      <w:pPr>
        <w:pStyle w:val="aa"/>
        <w:rPr>
          <w:sz w:val="22"/>
          <w:szCs w:val="24"/>
          <w:rtl/>
        </w:rPr>
      </w:pPr>
      <w:r w:rsidRPr="00F76DBA">
        <w:rPr>
          <w:sz w:val="22"/>
          <w:szCs w:val="24"/>
          <w:rtl/>
        </w:rPr>
        <w:lastRenderedPageBreak/>
        <w:t xml:space="preserve">אבל </w:t>
      </w:r>
      <w:proofErr w:type="spellStart"/>
      <w:r w:rsidRPr="00F76DBA">
        <w:rPr>
          <w:sz w:val="22"/>
          <w:szCs w:val="24"/>
          <w:rtl/>
        </w:rPr>
        <w:t>לענין</w:t>
      </w:r>
      <w:proofErr w:type="spellEnd"/>
      <w:r w:rsidRPr="00F76DBA">
        <w:rPr>
          <w:sz w:val="22"/>
          <w:szCs w:val="24"/>
          <w:rtl/>
        </w:rPr>
        <w:t xml:space="preserve"> שכור ושתוי נ"ל שאין ברכות בכלל חומר זה, לפי שלא הזכירו חכמים אלא תפלה, אבל ק"ש ואין צריך לומר ברכה קורין הן </w:t>
      </w:r>
      <w:proofErr w:type="spellStart"/>
      <w:r w:rsidRPr="00F76DBA">
        <w:rPr>
          <w:sz w:val="22"/>
          <w:szCs w:val="24"/>
          <w:rtl/>
        </w:rPr>
        <w:t>ויוצאין</w:t>
      </w:r>
      <w:proofErr w:type="spellEnd"/>
      <w:r w:rsidRPr="00F76DBA">
        <w:rPr>
          <w:sz w:val="22"/>
          <w:szCs w:val="24"/>
          <w:rtl/>
        </w:rPr>
        <w:t xml:space="preserve"> הם ידי חובתן, </w:t>
      </w:r>
      <w:proofErr w:type="spellStart"/>
      <w:r w:rsidRPr="00F76DBA">
        <w:rPr>
          <w:sz w:val="22"/>
          <w:szCs w:val="24"/>
          <w:rtl/>
        </w:rPr>
        <w:t>דטעמא</w:t>
      </w:r>
      <w:proofErr w:type="spellEnd"/>
      <w:r w:rsidRPr="00F76DBA">
        <w:rPr>
          <w:sz w:val="22"/>
          <w:szCs w:val="24"/>
          <w:rtl/>
        </w:rPr>
        <w:t xml:space="preserve"> </w:t>
      </w:r>
      <w:proofErr w:type="spellStart"/>
      <w:r w:rsidRPr="00F76DBA">
        <w:rPr>
          <w:sz w:val="22"/>
          <w:szCs w:val="24"/>
          <w:rtl/>
        </w:rPr>
        <w:t>דתפלה</w:t>
      </w:r>
      <w:proofErr w:type="spellEnd"/>
      <w:r w:rsidRPr="00F76DBA">
        <w:rPr>
          <w:sz w:val="22"/>
          <w:szCs w:val="24"/>
          <w:rtl/>
        </w:rPr>
        <w:t xml:space="preserve"> משום דבעי כוונה יתירה מפני שהוא כמדבר בפני המלך, </w:t>
      </w:r>
      <w:proofErr w:type="spellStart"/>
      <w:r w:rsidRPr="00F76DBA">
        <w:rPr>
          <w:sz w:val="22"/>
          <w:szCs w:val="24"/>
          <w:rtl/>
        </w:rPr>
        <w:t>ומצינו</w:t>
      </w:r>
      <w:proofErr w:type="spellEnd"/>
      <w:r w:rsidRPr="00F76DBA">
        <w:rPr>
          <w:sz w:val="22"/>
          <w:szCs w:val="24"/>
          <w:rtl/>
        </w:rPr>
        <w:t xml:space="preserve"> בכל מקום לכוונה </w:t>
      </w:r>
      <w:proofErr w:type="spellStart"/>
      <w:r w:rsidRPr="00F76DBA">
        <w:rPr>
          <w:sz w:val="22"/>
          <w:szCs w:val="24"/>
          <w:rtl/>
        </w:rPr>
        <w:t>חמיר</w:t>
      </w:r>
      <w:proofErr w:type="spellEnd"/>
      <w:r w:rsidRPr="00F76DBA">
        <w:rPr>
          <w:sz w:val="22"/>
          <w:szCs w:val="24"/>
          <w:rtl/>
        </w:rPr>
        <w:t xml:space="preserve"> דין תפלה מק"ש... </w:t>
      </w:r>
      <w:proofErr w:type="spellStart"/>
      <w:r w:rsidRPr="00F76DBA">
        <w:rPr>
          <w:sz w:val="22"/>
          <w:szCs w:val="24"/>
          <w:rtl/>
        </w:rPr>
        <w:t>וכדאמר</w:t>
      </w:r>
      <w:proofErr w:type="spellEnd"/>
      <w:r w:rsidRPr="00F76DBA">
        <w:rPr>
          <w:sz w:val="22"/>
          <w:szCs w:val="24"/>
          <w:rtl/>
        </w:rPr>
        <w:t xml:space="preserve"> </w:t>
      </w:r>
      <w:proofErr w:type="spellStart"/>
      <w:r w:rsidRPr="00F76DBA">
        <w:rPr>
          <w:sz w:val="22"/>
          <w:szCs w:val="24"/>
          <w:rtl/>
        </w:rPr>
        <w:t>לענין</w:t>
      </w:r>
      <w:proofErr w:type="spellEnd"/>
      <w:r w:rsidRPr="00F76DBA">
        <w:rPr>
          <w:sz w:val="22"/>
          <w:szCs w:val="24"/>
          <w:rtl/>
        </w:rPr>
        <w:t xml:space="preserve"> מצות מגלה - מתנמנם יצא, </w:t>
      </w:r>
      <w:proofErr w:type="spellStart"/>
      <w:r w:rsidRPr="00F76DBA">
        <w:rPr>
          <w:sz w:val="22"/>
          <w:szCs w:val="24"/>
          <w:rtl/>
        </w:rPr>
        <w:t>והיכי</w:t>
      </w:r>
      <w:proofErr w:type="spellEnd"/>
      <w:r w:rsidRPr="00F76DBA">
        <w:rPr>
          <w:sz w:val="22"/>
          <w:szCs w:val="24"/>
          <w:rtl/>
        </w:rPr>
        <w:t xml:space="preserve"> דמי מתנמנם - נים ולא נים </w:t>
      </w:r>
      <w:proofErr w:type="spellStart"/>
      <w:r w:rsidRPr="00F76DBA">
        <w:rPr>
          <w:sz w:val="22"/>
          <w:szCs w:val="24"/>
          <w:rtl/>
        </w:rPr>
        <w:t>תיר</w:t>
      </w:r>
      <w:proofErr w:type="spellEnd"/>
      <w:r w:rsidRPr="00F76DBA">
        <w:rPr>
          <w:sz w:val="22"/>
          <w:szCs w:val="24"/>
          <w:rtl/>
        </w:rPr>
        <w:t xml:space="preserve"> ולא </w:t>
      </w:r>
      <w:proofErr w:type="spellStart"/>
      <w:r w:rsidRPr="00F76DBA">
        <w:rPr>
          <w:sz w:val="22"/>
          <w:szCs w:val="24"/>
          <w:rtl/>
        </w:rPr>
        <w:t>תיר</w:t>
      </w:r>
      <w:proofErr w:type="spellEnd"/>
      <w:r w:rsidRPr="00F76DBA">
        <w:rPr>
          <w:sz w:val="22"/>
          <w:szCs w:val="24"/>
          <w:rtl/>
        </w:rPr>
        <w:t xml:space="preserve">, דקרי ליה ועני, ולא ידע </w:t>
      </w:r>
      <w:proofErr w:type="spellStart"/>
      <w:r w:rsidRPr="00F76DBA">
        <w:rPr>
          <w:sz w:val="22"/>
          <w:szCs w:val="24"/>
          <w:rtl/>
        </w:rPr>
        <w:t>לאהדורי</w:t>
      </w:r>
      <w:proofErr w:type="spellEnd"/>
      <w:r w:rsidRPr="00F76DBA">
        <w:rPr>
          <w:sz w:val="22"/>
          <w:szCs w:val="24"/>
          <w:rtl/>
        </w:rPr>
        <w:t xml:space="preserve"> </w:t>
      </w:r>
      <w:proofErr w:type="spellStart"/>
      <w:r w:rsidRPr="00F76DBA">
        <w:rPr>
          <w:sz w:val="22"/>
          <w:szCs w:val="24"/>
          <w:rtl/>
        </w:rPr>
        <w:t>סברא</w:t>
      </w:r>
      <w:proofErr w:type="spellEnd"/>
      <w:r w:rsidRPr="00F76DBA">
        <w:rPr>
          <w:sz w:val="22"/>
          <w:szCs w:val="24"/>
          <w:rtl/>
        </w:rPr>
        <w:t xml:space="preserve">, וכי </w:t>
      </w:r>
      <w:proofErr w:type="spellStart"/>
      <w:r w:rsidRPr="00F76DBA">
        <w:rPr>
          <w:sz w:val="22"/>
          <w:szCs w:val="24"/>
          <w:rtl/>
        </w:rPr>
        <w:t>מדכרו</w:t>
      </w:r>
      <w:proofErr w:type="spellEnd"/>
      <w:r w:rsidRPr="00F76DBA">
        <w:rPr>
          <w:sz w:val="22"/>
          <w:szCs w:val="24"/>
          <w:rtl/>
        </w:rPr>
        <w:t xml:space="preserve"> ליה </w:t>
      </w:r>
      <w:proofErr w:type="spellStart"/>
      <w:r w:rsidRPr="00F76DBA">
        <w:rPr>
          <w:sz w:val="22"/>
          <w:szCs w:val="24"/>
          <w:rtl/>
        </w:rPr>
        <w:t>מדכר</w:t>
      </w:r>
      <w:proofErr w:type="spellEnd"/>
      <w:r w:rsidRPr="00F76DBA">
        <w:rPr>
          <w:sz w:val="22"/>
          <w:szCs w:val="24"/>
          <w:rtl/>
        </w:rPr>
        <w:t xml:space="preserve"> </w:t>
      </w:r>
      <w:proofErr w:type="spellStart"/>
      <w:r w:rsidRPr="00F76DBA">
        <w:rPr>
          <w:sz w:val="22"/>
          <w:szCs w:val="24"/>
          <w:rtl/>
        </w:rPr>
        <w:t>ולכתחלה</w:t>
      </w:r>
      <w:proofErr w:type="spellEnd"/>
      <w:r w:rsidRPr="00F76DBA">
        <w:rPr>
          <w:sz w:val="22"/>
          <w:szCs w:val="24"/>
          <w:rtl/>
        </w:rPr>
        <w:t xml:space="preserve"> </w:t>
      </w:r>
      <w:proofErr w:type="spellStart"/>
      <w:r w:rsidRPr="00F76DBA">
        <w:rPr>
          <w:sz w:val="22"/>
          <w:szCs w:val="24"/>
          <w:rtl/>
        </w:rPr>
        <w:t>נמי</w:t>
      </w:r>
      <w:proofErr w:type="spellEnd"/>
      <w:r w:rsidRPr="00F76DBA">
        <w:rPr>
          <w:sz w:val="22"/>
          <w:szCs w:val="24"/>
          <w:rtl/>
        </w:rPr>
        <w:t xml:space="preserve"> קרי; ואלו </w:t>
      </w:r>
      <w:proofErr w:type="spellStart"/>
      <w:r w:rsidRPr="00F76DBA">
        <w:rPr>
          <w:sz w:val="22"/>
          <w:szCs w:val="24"/>
          <w:rtl/>
        </w:rPr>
        <w:t>לענין</w:t>
      </w:r>
      <w:proofErr w:type="spellEnd"/>
      <w:r w:rsidRPr="00F76DBA">
        <w:rPr>
          <w:sz w:val="22"/>
          <w:szCs w:val="24"/>
          <w:rtl/>
        </w:rPr>
        <w:t xml:space="preserve"> תפלה כיון שאינו מדבר לפני המלך אל יתפלל</w:t>
      </w:r>
      <w:r w:rsidR="00F76DBA">
        <w:rPr>
          <w:rFonts w:hint="cs"/>
          <w:sz w:val="18"/>
          <w:szCs w:val="20"/>
          <w:rtl/>
        </w:rPr>
        <w:tab/>
      </w:r>
      <w:r w:rsidR="00F76DBA">
        <w:rPr>
          <w:sz w:val="18"/>
          <w:szCs w:val="20"/>
          <w:rtl/>
        </w:rPr>
        <w:t xml:space="preserve">(רמב"ן, ברכות </w:t>
      </w:r>
      <w:proofErr w:type="spellStart"/>
      <w:r w:rsidR="00F76DBA">
        <w:rPr>
          <w:sz w:val="18"/>
          <w:szCs w:val="20"/>
          <w:rtl/>
        </w:rPr>
        <w:t>כב</w:t>
      </w:r>
      <w:proofErr w:type="spellEnd"/>
      <w:r w:rsidR="00F76DBA">
        <w:rPr>
          <w:rFonts w:hint="cs"/>
          <w:sz w:val="18"/>
          <w:szCs w:val="20"/>
          <w:rtl/>
        </w:rPr>
        <w:t xml:space="preserve"> ע"ב</w:t>
      </w:r>
      <w:r w:rsidR="00F76DBA" w:rsidRPr="00F76DBA">
        <w:rPr>
          <w:sz w:val="18"/>
          <w:szCs w:val="20"/>
          <w:rtl/>
        </w:rPr>
        <w:t>)</w:t>
      </w:r>
      <w:r w:rsidRPr="00F76DBA">
        <w:rPr>
          <w:sz w:val="22"/>
          <w:szCs w:val="24"/>
          <w:rtl/>
        </w:rPr>
        <w:t>.</w:t>
      </w:r>
      <w:r w:rsidR="00F76DBA">
        <w:rPr>
          <w:rStyle w:val="a6"/>
          <w:sz w:val="22"/>
          <w:rtl/>
        </w:rPr>
        <w:footnoteReference w:id="9"/>
      </w:r>
    </w:p>
    <w:p w:rsidR="00424BC4" w:rsidRPr="00424BC4" w:rsidRDefault="00424BC4" w:rsidP="00F21E1E">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ב. מפורשים יותר דברי רש"י, בביאור מאי </w:t>
      </w:r>
      <w:proofErr w:type="spellStart"/>
      <w:r w:rsidRPr="00424BC4">
        <w:rPr>
          <w:rFonts w:ascii="Narkisim" w:eastAsia="Calibri" w:hAnsi="Narkisim"/>
          <w:sz w:val="24"/>
          <w:szCs w:val="24"/>
          <w:rtl/>
        </w:rPr>
        <w:t>דתניא</w:t>
      </w:r>
      <w:proofErr w:type="spellEnd"/>
      <w:r w:rsidRPr="00424BC4">
        <w:rPr>
          <w:rFonts w:ascii="Narkisim" w:eastAsia="Calibri" w:hAnsi="Narkisim"/>
          <w:sz w:val="24"/>
          <w:szCs w:val="24"/>
          <w:rtl/>
        </w:rPr>
        <w:t xml:space="preserve"> </w:t>
      </w:r>
      <w:r w:rsidRPr="00F21E1E">
        <w:rPr>
          <w:rFonts w:ascii="Narkisim" w:eastAsia="Calibri" w:hAnsi="Narkisim"/>
          <w:szCs w:val="20"/>
          <w:rtl/>
        </w:rPr>
        <w:t>(ברכות כד</w:t>
      </w:r>
      <w:r w:rsidR="00F21E1E" w:rsidRPr="00F21E1E">
        <w:rPr>
          <w:rFonts w:ascii="Narkisim" w:eastAsia="Calibri" w:hAnsi="Narkisim" w:hint="cs"/>
          <w:szCs w:val="20"/>
          <w:rtl/>
        </w:rPr>
        <w:t xml:space="preserve"> ע"ב</w:t>
      </w:r>
      <w:r w:rsidRPr="00F21E1E">
        <w:rPr>
          <w:rFonts w:ascii="Narkisim" w:eastAsia="Calibri" w:hAnsi="Narkisim"/>
          <w:szCs w:val="20"/>
          <w:rtl/>
        </w:rPr>
        <w:t>)</w:t>
      </w:r>
      <w:r w:rsidRPr="00424BC4">
        <w:rPr>
          <w:rFonts w:ascii="Narkisim" w:eastAsia="Calibri" w:hAnsi="Narkisim"/>
          <w:sz w:val="24"/>
          <w:szCs w:val="24"/>
          <w:rtl/>
        </w:rPr>
        <w:t>: "</w:t>
      </w:r>
      <w:proofErr w:type="spellStart"/>
      <w:r w:rsidRPr="00424BC4">
        <w:rPr>
          <w:rFonts w:ascii="Narkisim" w:eastAsia="Calibri" w:hAnsi="Narkisim"/>
          <w:sz w:val="24"/>
          <w:szCs w:val="24"/>
          <w:rtl/>
        </w:rPr>
        <w:t>היתה</w:t>
      </w:r>
      <w:proofErr w:type="spellEnd"/>
      <w:r w:rsidRPr="00424BC4">
        <w:rPr>
          <w:rFonts w:ascii="Narkisim" w:eastAsia="Calibri" w:hAnsi="Narkisim"/>
          <w:sz w:val="24"/>
          <w:szCs w:val="24"/>
          <w:rtl/>
        </w:rPr>
        <w:t xml:space="preserve"> טליתו של בגד ושל עור ושל שק חגורה על מתניו </w:t>
      </w:r>
      <w:r w:rsidR="00F21E1E">
        <w:rPr>
          <w:rFonts w:ascii="Narkisim" w:eastAsia="Calibri" w:hAnsi="Narkisim"/>
          <w:sz w:val="24"/>
          <w:szCs w:val="24"/>
          <w:rtl/>
        </w:rPr>
        <w:t>–</w:t>
      </w:r>
      <w:r w:rsidRPr="00424BC4">
        <w:rPr>
          <w:rFonts w:ascii="Narkisim" w:eastAsia="Calibri" w:hAnsi="Narkisim"/>
          <w:sz w:val="24"/>
          <w:szCs w:val="24"/>
          <w:rtl/>
        </w:rPr>
        <w:t xml:space="preserve"> מ</w:t>
      </w:r>
      <w:r w:rsidR="00F21E1E">
        <w:rPr>
          <w:rFonts w:ascii="Narkisim" w:eastAsia="Calibri" w:hAnsi="Narkisim"/>
          <w:sz w:val="24"/>
          <w:szCs w:val="24"/>
          <w:rtl/>
        </w:rPr>
        <w:t>ותר לקרות ק"ש</w:t>
      </w:r>
      <w:r w:rsidR="00F21E1E">
        <w:rPr>
          <w:rFonts w:ascii="Narkisim" w:eastAsia="Calibri" w:hAnsi="Narkisim" w:hint="cs"/>
          <w:sz w:val="24"/>
          <w:szCs w:val="24"/>
          <w:rtl/>
        </w:rPr>
        <w:t>,</w:t>
      </w:r>
      <w:r w:rsidRPr="00424BC4">
        <w:rPr>
          <w:rFonts w:ascii="Narkisim" w:eastAsia="Calibri" w:hAnsi="Narkisim"/>
          <w:sz w:val="24"/>
          <w:szCs w:val="24"/>
          <w:rtl/>
        </w:rPr>
        <w:t xml:space="preserve"> אבל לתפִלה </w:t>
      </w:r>
      <w:r w:rsidR="00F21E1E">
        <w:rPr>
          <w:rFonts w:ascii="Narkisim" w:eastAsia="Calibri" w:hAnsi="Narkisim"/>
          <w:sz w:val="24"/>
          <w:szCs w:val="24"/>
          <w:rtl/>
        </w:rPr>
        <w:t>–</w:t>
      </w:r>
      <w:r w:rsidRPr="00424BC4">
        <w:rPr>
          <w:rFonts w:ascii="Narkisim" w:eastAsia="Calibri" w:hAnsi="Narkisim"/>
          <w:sz w:val="24"/>
          <w:szCs w:val="24"/>
          <w:rtl/>
        </w:rPr>
        <w:t xml:space="preserve"> עד שיכסה את לבו". שכתב על זה רש"י:</w:t>
      </w:r>
    </w:p>
    <w:p w:rsidR="00424BC4" w:rsidRPr="00F21E1E" w:rsidRDefault="00424BC4" w:rsidP="00F21E1E">
      <w:pPr>
        <w:pStyle w:val="aa"/>
        <w:rPr>
          <w:sz w:val="22"/>
          <w:szCs w:val="24"/>
          <w:rtl/>
        </w:rPr>
      </w:pPr>
      <w:r w:rsidRPr="00F21E1E">
        <w:rPr>
          <w:sz w:val="22"/>
          <w:szCs w:val="24"/>
          <w:rtl/>
        </w:rPr>
        <w:t>אבל לתפלה צריך הוא להראות את עצמו כעומד לפני המלך ולעמוד באימה; אבל ק"ש אינו מדבר לפני המלך</w:t>
      </w:r>
      <w:r w:rsidR="00F21E1E">
        <w:rPr>
          <w:rFonts w:hint="cs"/>
          <w:sz w:val="22"/>
          <w:szCs w:val="24"/>
          <w:rtl/>
        </w:rPr>
        <w:t>.</w:t>
      </w:r>
      <w:r w:rsidR="00F21E1E">
        <w:rPr>
          <w:rFonts w:hint="cs"/>
          <w:sz w:val="22"/>
          <w:szCs w:val="24"/>
          <w:rtl/>
        </w:rPr>
        <w:tab/>
      </w:r>
      <w:r w:rsidR="00F21E1E">
        <w:rPr>
          <w:sz w:val="18"/>
          <w:szCs w:val="20"/>
          <w:rtl/>
        </w:rPr>
        <w:t>(שם כה</w:t>
      </w:r>
      <w:r w:rsidR="00F21E1E">
        <w:rPr>
          <w:rFonts w:hint="cs"/>
          <w:sz w:val="18"/>
          <w:szCs w:val="20"/>
          <w:rtl/>
        </w:rPr>
        <w:t xml:space="preserve"> ע"א</w:t>
      </w:r>
      <w:r w:rsidRPr="00F21E1E">
        <w:rPr>
          <w:sz w:val="18"/>
          <w:szCs w:val="20"/>
          <w:rtl/>
        </w:rPr>
        <w:t>)</w:t>
      </w:r>
      <w:r w:rsidRPr="00F21E1E">
        <w:rPr>
          <w:sz w:val="22"/>
          <w:szCs w:val="24"/>
          <w:rtl/>
        </w:rPr>
        <w:t>.</w:t>
      </w:r>
    </w:p>
    <w:p w:rsidR="00424BC4" w:rsidRPr="00424BC4" w:rsidRDefault="00424BC4" w:rsidP="005C74E3">
      <w:pPr>
        <w:autoSpaceDE/>
        <w:autoSpaceDN/>
        <w:spacing w:after="160" w:line="360" w:lineRule="auto"/>
        <w:rPr>
          <w:rFonts w:ascii="Narkisim" w:eastAsia="Calibri" w:hAnsi="Narkisim"/>
          <w:sz w:val="24"/>
          <w:szCs w:val="24"/>
          <w:rtl/>
        </w:rPr>
      </w:pPr>
      <w:r w:rsidRPr="00424BC4">
        <w:rPr>
          <w:rFonts w:ascii="Narkisim" w:eastAsia="Calibri" w:hAnsi="Narkisim"/>
          <w:sz w:val="24"/>
          <w:szCs w:val="24"/>
          <w:rtl/>
        </w:rPr>
        <w:t xml:space="preserve">לאור חילוק זה, אפשר להסביר בפשטות מדוע אין מלכות בברכת אבות. </w:t>
      </w:r>
      <w:proofErr w:type="spellStart"/>
      <w:r w:rsidRPr="00424BC4">
        <w:rPr>
          <w:rFonts w:ascii="Narkisim" w:eastAsia="Calibri" w:hAnsi="Narkisim"/>
          <w:sz w:val="24"/>
          <w:szCs w:val="24"/>
          <w:rtl/>
        </w:rPr>
        <w:t>איברא</w:t>
      </w:r>
      <w:proofErr w:type="spellEnd"/>
      <w:r w:rsidRPr="00424BC4">
        <w:rPr>
          <w:rFonts w:ascii="Narkisim" w:eastAsia="Calibri" w:hAnsi="Narkisim"/>
          <w:sz w:val="24"/>
          <w:szCs w:val="24"/>
          <w:rtl/>
        </w:rPr>
        <w:t xml:space="preserve"> לגבי ברכה אחרונה שבקריאת שמע נאלצו רש"י </w:t>
      </w:r>
      <w:proofErr w:type="spellStart"/>
      <w:r w:rsidRPr="00424BC4">
        <w:rPr>
          <w:rFonts w:ascii="Narkisim" w:eastAsia="Calibri" w:hAnsi="Narkisim"/>
          <w:sz w:val="24"/>
          <w:szCs w:val="24"/>
          <w:rtl/>
        </w:rPr>
        <w:t>והרשב"א</w:t>
      </w:r>
      <w:proofErr w:type="spellEnd"/>
      <w:r w:rsidRPr="00424BC4">
        <w:rPr>
          <w:rFonts w:ascii="Narkisim" w:eastAsia="Calibri" w:hAnsi="Narkisim"/>
          <w:sz w:val="24"/>
          <w:szCs w:val="24"/>
          <w:rtl/>
        </w:rPr>
        <w:t xml:space="preserve"> להעלות נימוקים אחרים מדוע אינה פותחת בברוך (שמתוך כך אין בה מלכות): בגין היותה ברכה הסמוכה לחברתה או מפני שמראש תוקנה במטבע קצר. וזאת מפני שאין לסמוך על קביעת המעמד הנובע מעצם קיום מצוות קריאת שמע, מכיוון שאין הקורא שמע מדבר לפני המלך. ברם, בתפילה מוגדר המתפלל כעומד לפני המלך, והיות ואין טופס של ברכה מצד עצמו טעון אלא הזכרת שם, ואילו הצורך בהזכרת מלכות נעוץ בעיצוב ברכה כפנייה למלך, הרי שמלכות מיותרת בתפילה.</w:t>
      </w:r>
      <w:bookmarkStart w:id="0" w:name="_GoBack"/>
      <w:bookmarkEnd w:id="0"/>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38" w:rsidRDefault="00842B38" w:rsidP="0075394C">
      <w:r>
        <w:separator/>
      </w:r>
    </w:p>
    <w:p w:rsidR="00842B38" w:rsidRDefault="00842B38" w:rsidP="0075394C"/>
  </w:endnote>
  <w:endnote w:type="continuationSeparator" w:id="0">
    <w:p w:rsidR="00842B38" w:rsidRDefault="00842B38" w:rsidP="0075394C">
      <w:r>
        <w:continuationSeparator/>
      </w:r>
    </w:p>
    <w:p w:rsidR="00842B38" w:rsidRDefault="00842B38"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38" w:rsidRDefault="00842B38" w:rsidP="0075394C">
      <w:r>
        <w:separator/>
      </w:r>
    </w:p>
  </w:footnote>
  <w:footnote w:type="continuationSeparator" w:id="0">
    <w:p w:rsidR="00842B38" w:rsidRDefault="00842B38" w:rsidP="0075394C">
      <w:r>
        <w:continuationSeparator/>
      </w:r>
    </w:p>
    <w:p w:rsidR="00842B38" w:rsidRDefault="00842B38" w:rsidP="0075394C"/>
  </w:footnote>
  <w:footnote w:id="1">
    <w:p w:rsidR="000E4014" w:rsidRPr="000E4014" w:rsidRDefault="000E4014">
      <w:pPr>
        <w:pStyle w:val="a4"/>
        <w:rPr>
          <w:sz w:val="16"/>
        </w:rPr>
      </w:pPr>
      <w:r w:rsidRPr="000E4014">
        <w:rPr>
          <w:sz w:val="16"/>
        </w:rPr>
        <w:footnoteRef/>
      </w:r>
      <w:r w:rsidRPr="000E4014">
        <w:rPr>
          <w:sz w:val="16"/>
          <w:rtl/>
        </w:rPr>
        <w:t xml:space="preserve"> </w:t>
      </w:r>
      <w:r w:rsidRPr="000E4014">
        <w:rPr>
          <w:rFonts w:hint="cs"/>
          <w:sz w:val="16"/>
          <w:rtl/>
        </w:rPr>
        <w:tab/>
      </w:r>
      <w:r>
        <w:rPr>
          <w:sz w:val="16"/>
          <w:rtl/>
        </w:rPr>
        <w:t xml:space="preserve">אך </w:t>
      </w:r>
      <w:proofErr w:type="spellStart"/>
      <w:r>
        <w:rPr>
          <w:sz w:val="16"/>
          <w:rtl/>
        </w:rPr>
        <w:t>יעו</w:t>
      </w:r>
      <w:r>
        <w:rPr>
          <w:rFonts w:hint="cs"/>
          <w:sz w:val="16"/>
          <w:rtl/>
        </w:rPr>
        <w:t>י</w:t>
      </w:r>
      <w:r w:rsidRPr="000E4014">
        <w:rPr>
          <w:sz w:val="16"/>
          <w:rtl/>
        </w:rPr>
        <w:t>ין</w:t>
      </w:r>
      <w:proofErr w:type="spellEnd"/>
      <w:r w:rsidRPr="000E4014">
        <w:rPr>
          <w:sz w:val="16"/>
          <w:rtl/>
        </w:rPr>
        <w:t xml:space="preserve"> בתוספות רבנו יהודה החסיד על אתר, שקבע כי "צריך עיון גדול" כיצד לפסוק, וכך הביא גם הטור (אורח-חיים </w:t>
      </w:r>
      <w:r>
        <w:rPr>
          <w:sz w:val="16"/>
          <w:rtl/>
        </w:rPr>
        <w:t xml:space="preserve">רי"ד) שנסתפק </w:t>
      </w:r>
      <w:proofErr w:type="spellStart"/>
      <w:r>
        <w:rPr>
          <w:sz w:val="16"/>
          <w:rtl/>
        </w:rPr>
        <w:t>הר"י</w:t>
      </w:r>
      <w:proofErr w:type="spellEnd"/>
      <w:r>
        <w:rPr>
          <w:sz w:val="16"/>
          <w:rtl/>
        </w:rPr>
        <w:t xml:space="preserve"> בנידון. </w:t>
      </w:r>
      <w:proofErr w:type="spellStart"/>
      <w:r>
        <w:rPr>
          <w:sz w:val="16"/>
          <w:rtl/>
        </w:rPr>
        <w:t>ויעו</w:t>
      </w:r>
      <w:r>
        <w:rPr>
          <w:rFonts w:hint="cs"/>
          <w:sz w:val="16"/>
          <w:rtl/>
        </w:rPr>
        <w:t>יי</w:t>
      </w:r>
      <w:r w:rsidRPr="000E4014">
        <w:rPr>
          <w:sz w:val="16"/>
          <w:rtl/>
        </w:rPr>
        <w:t>ן</w:t>
      </w:r>
      <w:proofErr w:type="spellEnd"/>
      <w:r w:rsidRPr="000E4014">
        <w:rPr>
          <w:sz w:val="16"/>
          <w:rtl/>
        </w:rPr>
        <w:t xml:space="preserve"> ברוקח (סי' שס"ג) שפסק כרב, אך הוסיף שבפתיחת ברכה ארוכה נוהגים כרבי יוחנן ובסופה כרב.</w:t>
      </w:r>
    </w:p>
  </w:footnote>
  <w:footnote w:id="2">
    <w:p w:rsidR="000E4014" w:rsidRPr="000E4014" w:rsidRDefault="000E4014">
      <w:pPr>
        <w:pStyle w:val="a4"/>
        <w:rPr>
          <w:rFonts w:hint="cs"/>
          <w:sz w:val="16"/>
        </w:rPr>
      </w:pPr>
      <w:r w:rsidRPr="000E4014">
        <w:rPr>
          <w:sz w:val="16"/>
        </w:rPr>
        <w:footnoteRef/>
      </w:r>
      <w:r w:rsidRPr="000E4014">
        <w:rPr>
          <w:sz w:val="16"/>
          <w:rtl/>
        </w:rPr>
        <w:t xml:space="preserve"> </w:t>
      </w:r>
      <w:r>
        <w:rPr>
          <w:rFonts w:hint="cs"/>
          <w:sz w:val="16"/>
          <w:rtl/>
        </w:rPr>
        <w:tab/>
      </w:r>
      <w:r w:rsidRPr="000E4014">
        <w:rPr>
          <w:sz w:val="16"/>
          <w:rtl/>
        </w:rPr>
        <w:t xml:space="preserve">הובא באור-זרוע, ח"א סי' קי"ד. שם הובאו דברים אלו בשם "רבינו יצחק אלפסי", אך הם תואמים בפתיחתם את המובא בכמה ראשונים בשם </w:t>
      </w:r>
      <w:proofErr w:type="spellStart"/>
      <w:r w:rsidRPr="000E4014">
        <w:rPr>
          <w:sz w:val="16"/>
          <w:rtl/>
        </w:rPr>
        <w:t>הר"י</w:t>
      </w:r>
      <w:proofErr w:type="spellEnd"/>
      <w:r w:rsidRPr="000E4014">
        <w:rPr>
          <w:sz w:val="16"/>
          <w:rtl/>
        </w:rPr>
        <w:t xml:space="preserve">, ונראה שיש כאן טעות סופר. עוד עיין </w:t>
      </w:r>
      <w:proofErr w:type="spellStart"/>
      <w:r w:rsidRPr="000E4014">
        <w:rPr>
          <w:sz w:val="16"/>
          <w:rtl/>
        </w:rPr>
        <w:t>ברשב"א</w:t>
      </w:r>
      <w:proofErr w:type="spellEnd"/>
      <w:r w:rsidRPr="000E4014">
        <w:rPr>
          <w:sz w:val="16"/>
          <w:rtl/>
        </w:rPr>
        <w:t xml:space="preserve"> בברכות מ: ד"ה ורבי, שהביא ציטוט בעניין 'וכן עמא דבר' בנידון בשם רב האי גאון.</w:t>
      </w:r>
    </w:p>
  </w:footnote>
  <w:footnote w:id="3">
    <w:p w:rsidR="000E4014" w:rsidRPr="000E4014" w:rsidRDefault="000E4014" w:rsidP="000E4014">
      <w:pPr>
        <w:pStyle w:val="a4"/>
        <w:rPr>
          <w:rFonts w:hint="cs"/>
          <w:sz w:val="16"/>
        </w:rPr>
      </w:pPr>
      <w:r w:rsidRPr="000E4014">
        <w:rPr>
          <w:sz w:val="16"/>
        </w:rPr>
        <w:footnoteRef/>
      </w:r>
      <w:r w:rsidRPr="000E4014">
        <w:rPr>
          <w:sz w:val="16"/>
          <w:rtl/>
        </w:rPr>
        <w:t xml:space="preserve"> </w:t>
      </w:r>
      <w:r>
        <w:rPr>
          <w:rFonts w:hint="cs"/>
          <w:sz w:val="16"/>
          <w:rtl/>
        </w:rPr>
        <w:tab/>
      </w:r>
      <w:r w:rsidRPr="000E4014">
        <w:rPr>
          <w:sz w:val="16"/>
          <w:rtl/>
        </w:rPr>
        <w:t xml:space="preserve">ובתוספותיו כתב </w:t>
      </w:r>
      <w:proofErr w:type="spellStart"/>
      <w:r w:rsidRPr="000E4014">
        <w:rPr>
          <w:sz w:val="16"/>
          <w:rtl/>
        </w:rPr>
        <w:t>הרא"ש</w:t>
      </w:r>
      <w:proofErr w:type="spellEnd"/>
      <w:r w:rsidRPr="000E4014">
        <w:rPr>
          <w:sz w:val="16"/>
          <w:rtl/>
        </w:rPr>
        <w:t xml:space="preserve">: "כיון שיש בה הא-ל הגדול </w:t>
      </w:r>
      <w:proofErr w:type="spellStart"/>
      <w:r w:rsidRPr="000E4014">
        <w:rPr>
          <w:sz w:val="16"/>
          <w:rtl/>
        </w:rPr>
        <w:t>הגבור</w:t>
      </w:r>
      <w:proofErr w:type="spellEnd"/>
      <w:r w:rsidRPr="000E4014">
        <w:rPr>
          <w:sz w:val="16"/>
          <w:rtl/>
        </w:rPr>
        <w:t xml:space="preserve"> והנורא הוי כמו מלכות"</w:t>
      </w:r>
      <w:r>
        <w:rPr>
          <w:rFonts w:hint="cs"/>
          <w:sz w:val="16"/>
          <w:rtl/>
        </w:rPr>
        <w:t xml:space="preserve"> </w:t>
      </w:r>
      <w:r w:rsidRPr="000E4014">
        <w:rPr>
          <w:sz w:val="16"/>
          <w:rtl/>
        </w:rPr>
        <w:t xml:space="preserve">(ברכות </w:t>
      </w:r>
      <w:proofErr w:type="spellStart"/>
      <w:r w:rsidRPr="000E4014">
        <w:rPr>
          <w:sz w:val="16"/>
          <w:rtl/>
        </w:rPr>
        <w:t>יב</w:t>
      </w:r>
      <w:proofErr w:type="spellEnd"/>
      <w:r w:rsidRPr="000E4014">
        <w:rPr>
          <w:sz w:val="16"/>
          <w:rtl/>
        </w:rPr>
        <w:t>. ד"ה כל).</w:t>
      </w:r>
    </w:p>
  </w:footnote>
  <w:footnote w:id="4">
    <w:p w:rsidR="000E4014" w:rsidRPr="000E4014" w:rsidRDefault="000E4014">
      <w:pPr>
        <w:pStyle w:val="a4"/>
        <w:rPr>
          <w:rFonts w:hint="cs"/>
          <w:sz w:val="16"/>
        </w:rPr>
      </w:pPr>
      <w:r w:rsidRPr="000E4014">
        <w:rPr>
          <w:sz w:val="16"/>
        </w:rPr>
        <w:footnoteRef/>
      </w:r>
      <w:r w:rsidRPr="000E4014">
        <w:rPr>
          <w:sz w:val="16"/>
          <w:rtl/>
        </w:rPr>
        <w:t xml:space="preserve"> </w:t>
      </w:r>
      <w:r>
        <w:rPr>
          <w:rFonts w:hint="cs"/>
          <w:sz w:val="16"/>
          <w:rtl/>
        </w:rPr>
        <w:tab/>
      </w:r>
      <w:r w:rsidRPr="000E4014">
        <w:rPr>
          <w:sz w:val="16"/>
          <w:rtl/>
        </w:rPr>
        <w:t xml:space="preserve">מופיע ב"ספרן של ראשונים" בעריכת הרב שמחה אסף, עמ' 135. כמובן, לפי דעת התוספות (שם) כי אף המילה "העולם" מעכבת, אין לתירוץ זה יסוד. עוד עיין במאירי, ברכות מ:, ד"ה כל, </w:t>
      </w:r>
      <w:proofErr w:type="spellStart"/>
      <w:r w:rsidRPr="000E4014">
        <w:rPr>
          <w:sz w:val="16"/>
          <w:rtl/>
        </w:rPr>
        <w:t>וב"ספר</w:t>
      </w:r>
      <w:proofErr w:type="spellEnd"/>
      <w:r w:rsidRPr="000E4014">
        <w:rPr>
          <w:sz w:val="16"/>
          <w:rtl/>
        </w:rPr>
        <w:t xml:space="preserve"> המנהיג", הל' תפילה, סי' נ"א.</w:t>
      </w:r>
    </w:p>
  </w:footnote>
  <w:footnote w:id="5">
    <w:p w:rsidR="00F76DBA" w:rsidRPr="00F76DBA" w:rsidRDefault="00F76DBA">
      <w:pPr>
        <w:pStyle w:val="a4"/>
        <w:rPr>
          <w:rFonts w:hint="cs"/>
          <w:sz w:val="16"/>
        </w:rPr>
      </w:pPr>
      <w:r w:rsidRPr="00F76DBA">
        <w:rPr>
          <w:sz w:val="16"/>
        </w:rPr>
        <w:footnoteRef/>
      </w:r>
      <w:r w:rsidRPr="00F76DBA">
        <w:rPr>
          <w:sz w:val="16"/>
          <w:rtl/>
        </w:rPr>
        <w:t xml:space="preserve"> </w:t>
      </w:r>
      <w:r>
        <w:rPr>
          <w:rFonts w:hint="cs"/>
          <w:sz w:val="16"/>
          <w:rtl/>
        </w:rPr>
        <w:tab/>
      </w:r>
      <w:r w:rsidRPr="00F76DBA">
        <w:rPr>
          <w:sz w:val="16"/>
          <w:rtl/>
        </w:rPr>
        <w:t xml:space="preserve">לא אכחד כי </w:t>
      </w:r>
      <w:proofErr w:type="spellStart"/>
      <w:r w:rsidRPr="00F76DBA">
        <w:rPr>
          <w:sz w:val="16"/>
          <w:rtl/>
        </w:rPr>
        <w:t>מסברא</w:t>
      </w:r>
      <w:proofErr w:type="spellEnd"/>
      <w:r w:rsidRPr="00F76DBA">
        <w:rPr>
          <w:sz w:val="16"/>
          <w:rtl/>
        </w:rPr>
        <w:t xml:space="preserve"> צרופה ניתן גם להציע הבנה הפוכה, והדבר תלוי בליבון פרטי ברכה הסמוכה לחברתה מחד, ומשמעות המונח "פוטר" ביחס לברכה בהקשרים אחרים, מאידך. ברם, אכמ"ל, ועוד חזון למועד.</w:t>
      </w:r>
    </w:p>
  </w:footnote>
  <w:footnote w:id="6">
    <w:p w:rsidR="00F76DBA" w:rsidRPr="00F76DBA" w:rsidRDefault="00F76DBA" w:rsidP="00F76DBA">
      <w:pPr>
        <w:pStyle w:val="a4"/>
        <w:rPr>
          <w:rFonts w:hint="cs"/>
          <w:sz w:val="16"/>
        </w:rPr>
      </w:pPr>
      <w:r w:rsidRPr="00F76DBA">
        <w:rPr>
          <w:sz w:val="16"/>
        </w:rPr>
        <w:footnoteRef/>
      </w:r>
      <w:r w:rsidRPr="00F76DBA">
        <w:rPr>
          <w:sz w:val="16"/>
          <w:rtl/>
        </w:rPr>
        <w:t xml:space="preserve"> </w:t>
      </w:r>
      <w:r>
        <w:rPr>
          <w:rFonts w:hint="cs"/>
          <w:sz w:val="16"/>
          <w:rtl/>
        </w:rPr>
        <w:tab/>
      </w:r>
      <w:r w:rsidRPr="00F76DBA">
        <w:rPr>
          <w:sz w:val="16"/>
          <w:rtl/>
        </w:rPr>
        <w:t xml:space="preserve">בירושלמי, בניגוד לבבלי, רב מצריך מלכות בברכה, ולא מוזכרת דעה חולקת. יש להוסיף, כי הנאמר כאן לגבי העדר מקור </w:t>
      </w:r>
      <w:r>
        <w:rPr>
          <w:sz w:val="16"/>
          <w:rtl/>
        </w:rPr>
        <w:t>ביחס להזכרת שם מתייחס לתלמודים</w:t>
      </w:r>
      <w:r>
        <w:rPr>
          <w:rFonts w:hint="cs"/>
          <w:sz w:val="16"/>
          <w:rtl/>
        </w:rPr>
        <w:t>,</w:t>
      </w:r>
      <w:r w:rsidRPr="00F76DBA">
        <w:rPr>
          <w:sz w:val="16"/>
          <w:rtl/>
        </w:rPr>
        <w:t xml:space="preserve"> הבבלי והירושלמי. ברם,</w:t>
      </w:r>
      <w:r>
        <w:rPr>
          <w:sz w:val="16"/>
          <w:rtl/>
        </w:rPr>
        <w:t xml:space="preserve"> אשר למדרש אגדה, מובא </w:t>
      </w:r>
      <w:proofErr w:type="spellStart"/>
      <w:r>
        <w:rPr>
          <w:sz w:val="16"/>
          <w:rtl/>
        </w:rPr>
        <w:t>באבודרהם</w:t>
      </w:r>
      <w:proofErr w:type="spellEnd"/>
      <w:r w:rsidRPr="00F76DBA">
        <w:rPr>
          <w:sz w:val="16"/>
          <w:rtl/>
        </w:rPr>
        <w:t xml:space="preserve">: "ובמדרש אומר - מנין </w:t>
      </w:r>
      <w:proofErr w:type="spellStart"/>
      <w:r w:rsidRPr="00F76DBA">
        <w:rPr>
          <w:sz w:val="16"/>
          <w:rtl/>
        </w:rPr>
        <w:t>שזוכרין</w:t>
      </w:r>
      <w:proofErr w:type="spellEnd"/>
      <w:r w:rsidRPr="00F76DBA">
        <w:rPr>
          <w:sz w:val="16"/>
          <w:rtl/>
        </w:rPr>
        <w:t xml:space="preserve"> את השם, שנאמר - 'ברוך אתה ה' למדני חוקיך', וכתיב - 'כי שם ה' אקרא' " (שער ג', "ברכת המצות ומשפטיה"</w:t>
      </w:r>
      <w:r>
        <w:rPr>
          <w:rFonts w:hint="cs"/>
          <w:sz w:val="16"/>
          <w:rtl/>
        </w:rPr>
        <w:t xml:space="preserve">, </w:t>
      </w:r>
      <w:r w:rsidRPr="00F76DBA">
        <w:rPr>
          <w:sz w:val="16"/>
          <w:rtl/>
        </w:rPr>
        <w:t xml:space="preserve">במהדורת ש. </w:t>
      </w:r>
      <w:proofErr w:type="spellStart"/>
      <w:r w:rsidRPr="00F76DBA">
        <w:rPr>
          <w:sz w:val="16"/>
          <w:rtl/>
        </w:rPr>
        <w:t>קרויזר</w:t>
      </w:r>
      <w:proofErr w:type="spellEnd"/>
      <w:r w:rsidRPr="00F76DBA">
        <w:rPr>
          <w:sz w:val="16"/>
          <w:rtl/>
        </w:rPr>
        <w:t>, ירושלים תשכ"ג, עמוד כד).</w:t>
      </w:r>
    </w:p>
  </w:footnote>
  <w:footnote w:id="7">
    <w:p w:rsidR="00F76DBA" w:rsidRPr="00F76DBA" w:rsidRDefault="00F76DBA" w:rsidP="00F76DBA">
      <w:pPr>
        <w:pStyle w:val="a4"/>
        <w:rPr>
          <w:rFonts w:hint="cs"/>
          <w:sz w:val="16"/>
        </w:rPr>
      </w:pPr>
      <w:r w:rsidRPr="00F76DBA">
        <w:rPr>
          <w:sz w:val="16"/>
        </w:rPr>
        <w:footnoteRef/>
      </w:r>
      <w:r w:rsidRPr="00F76DBA">
        <w:rPr>
          <w:sz w:val="16"/>
          <w:rtl/>
        </w:rPr>
        <w:t xml:space="preserve"> </w:t>
      </w:r>
      <w:r>
        <w:rPr>
          <w:rFonts w:hint="cs"/>
          <w:sz w:val="16"/>
          <w:rtl/>
        </w:rPr>
        <w:tab/>
      </w:r>
      <w:r w:rsidRPr="00F76DBA">
        <w:rPr>
          <w:sz w:val="16"/>
          <w:rtl/>
        </w:rPr>
        <w:t xml:space="preserve">עיין בהלכות שבועות ב', ב-ד. אמנם יש לעיין האם אמות המידה להגדרת שם זהות בשני התחומים. </w:t>
      </w:r>
      <w:proofErr w:type="spellStart"/>
      <w:r w:rsidRPr="00F76DBA">
        <w:rPr>
          <w:sz w:val="16"/>
          <w:rtl/>
        </w:rPr>
        <w:t>דלגבי</w:t>
      </w:r>
      <w:proofErr w:type="spellEnd"/>
      <w:r w:rsidRPr="00F76DBA">
        <w:rPr>
          <w:sz w:val="16"/>
          <w:rtl/>
        </w:rPr>
        <w:t xml:space="preserve"> שבועה משמע בסוגיה בשבועות לה., לגבי שמיים וארץ, כי כל ביטוי הקובע כי הנשבע מתכוון לקב"ה מוגדר ככינוי לגבי שבועה. אך דומני שייתכן שלגבי ברכה, שאף לגביה סגי בכינוי, אולי יידרש שם תואר ממש; ויש לעיין בזה.</w:t>
      </w:r>
    </w:p>
  </w:footnote>
  <w:footnote w:id="8">
    <w:p w:rsidR="00F76DBA" w:rsidRPr="00F76DBA" w:rsidRDefault="00F76DBA">
      <w:pPr>
        <w:pStyle w:val="a4"/>
        <w:rPr>
          <w:rFonts w:hint="cs"/>
          <w:sz w:val="16"/>
        </w:rPr>
      </w:pPr>
      <w:r w:rsidRPr="00F76DBA">
        <w:rPr>
          <w:sz w:val="16"/>
        </w:rPr>
        <w:footnoteRef/>
      </w:r>
      <w:r w:rsidRPr="00F76DBA">
        <w:rPr>
          <w:sz w:val="16"/>
          <w:rtl/>
        </w:rPr>
        <w:t xml:space="preserve"> </w:t>
      </w:r>
      <w:r>
        <w:rPr>
          <w:rFonts w:hint="cs"/>
          <w:sz w:val="16"/>
          <w:rtl/>
        </w:rPr>
        <w:tab/>
      </w:r>
      <w:r w:rsidRPr="00F76DBA">
        <w:rPr>
          <w:sz w:val="16"/>
          <w:rtl/>
        </w:rPr>
        <w:t>לפי זה ייתכן, שעל איסור ברכה שאינה צריכה עובר גם המברך בשם בלא מלכות, ואפילו לדעת האחרונים הסבורים שאין לזהות איסור זה עם הוצאת שם שמיים לבטלה, אלא שיש בו איסור כשלעצמו</w:t>
      </w:r>
    </w:p>
  </w:footnote>
  <w:footnote w:id="9">
    <w:p w:rsidR="00F76DBA" w:rsidRPr="00F76DBA" w:rsidRDefault="00F76DBA" w:rsidP="00F76DBA">
      <w:pPr>
        <w:pStyle w:val="a4"/>
        <w:rPr>
          <w:sz w:val="16"/>
          <w:rtl/>
        </w:rPr>
      </w:pPr>
      <w:r w:rsidRPr="00F76DBA">
        <w:rPr>
          <w:sz w:val="16"/>
        </w:rPr>
        <w:footnoteRef/>
      </w:r>
      <w:r w:rsidRPr="00F76DBA">
        <w:rPr>
          <w:sz w:val="16"/>
          <w:rtl/>
        </w:rPr>
        <w:t xml:space="preserve"> </w:t>
      </w:r>
      <w:r>
        <w:rPr>
          <w:rFonts w:hint="cs"/>
          <w:sz w:val="16"/>
          <w:rtl/>
        </w:rPr>
        <w:tab/>
      </w:r>
      <w:r w:rsidRPr="00F76DBA">
        <w:rPr>
          <w:sz w:val="16"/>
          <w:rtl/>
        </w:rPr>
        <w:t>בדברי הרמב"ן שזורות שתי נימות: כוונה יתרה, ועמידה לפני המלך. אך ניתן להבין בדבריו שתוספת הכוונה עצמה מתחייבת מפאת צביון תפילה כדיבור בפני המלך.</w:t>
      </w:r>
    </w:p>
    <w:p w:rsidR="00F76DBA" w:rsidRDefault="00F76DBA">
      <w:pPr>
        <w:pStyle w:val="a4"/>
        <w:rPr>
          <w:rFonts w:hint="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D4E46"/>
    <w:rsid w:val="000D6CFF"/>
    <w:rsid w:val="000E363D"/>
    <w:rsid w:val="000E4014"/>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24BC4"/>
    <w:rsid w:val="00430616"/>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A7E95"/>
    <w:rsid w:val="005C74E3"/>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5394C"/>
    <w:rsid w:val="007916C5"/>
    <w:rsid w:val="007945E3"/>
    <w:rsid w:val="007A26A2"/>
    <w:rsid w:val="007A353B"/>
    <w:rsid w:val="007B74AD"/>
    <w:rsid w:val="007B7CFE"/>
    <w:rsid w:val="00800A35"/>
    <w:rsid w:val="0081523B"/>
    <w:rsid w:val="008369D0"/>
    <w:rsid w:val="00842B38"/>
    <w:rsid w:val="00892293"/>
    <w:rsid w:val="00893417"/>
    <w:rsid w:val="008C3F77"/>
    <w:rsid w:val="008C7900"/>
    <w:rsid w:val="008F3BD5"/>
    <w:rsid w:val="009052E2"/>
    <w:rsid w:val="00930C55"/>
    <w:rsid w:val="00946071"/>
    <w:rsid w:val="00950D52"/>
    <w:rsid w:val="00956AF7"/>
    <w:rsid w:val="00977CAF"/>
    <w:rsid w:val="00982354"/>
    <w:rsid w:val="00994CC7"/>
    <w:rsid w:val="0099503D"/>
    <w:rsid w:val="009B0145"/>
    <w:rsid w:val="009C48DB"/>
    <w:rsid w:val="009F029D"/>
    <w:rsid w:val="009F5862"/>
    <w:rsid w:val="00A12EDC"/>
    <w:rsid w:val="00A37BB8"/>
    <w:rsid w:val="00A4780D"/>
    <w:rsid w:val="00A939FA"/>
    <w:rsid w:val="00AA78F8"/>
    <w:rsid w:val="00AC4632"/>
    <w:rsid w:val="00B035A2"/>
    <w:rsid w:val="00B11364"/>
    <w:rsid w:val="00B210A2"/>
    <w:rsid w:val="00B27B72"/>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B0525"/>
    <w:rsid w:val="00CB1682"/>
    <w:rsid w:val="00CB774A"/>
    <w:rsid w:val="00CD4661"/>
    <w:rsid w:val="00CF2B9E"/>
    <w:rsid w:val="00CF5FE2"/>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21E1E"/>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02F7-4BEB-4AD6-BD38-2B091F2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57</TotalTime>
  <Pages>4</Pages>
  <Words>1567</Words>
  <Characters>7839</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9388</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3</cp:revision>
  <cp:lastPrinted>2003-05-22T09:51:00Z</cp:lastPrinted>
  <dcterms:created xsi:type="dcterms:W3CDTF">2016-01-26T17:52:00Z</dcterms:created>
  <dcterms:modified xsi:type="dcterms:W3CDTF">2016-01-26T18:49:00Z</dcterms:modified>
</cp:coreProperties>
</file>