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2C" w:rsidRDefault="006B332C" w:rsidP="006B332C">
      <w:pPr>
        <w:pStyle w:val="ad"/>
        <w:rPr>
          <w:rtl/>
        </w:rPr>
      </w:pPr>
      <w:r>
        <w:rPr>
          <w:rtl/>
        </w:rPr>
        <w:t xml:space="preserve">הרב </w:t>
      </w:r>
      <w:r>
        <w:rPr>
          <w:rFonts w:hint="cs"/>
          <w:rtl/>
        </w:rPr>
        <w:t xml:space="preserve">יעקב מדן </w:t>
      </w:r>
      <w:proofErr w:type="spellStart"/>
      <w:r>
        <w:rPr>
          <w:rFonts w:hint="cs"/>
          <w:rtl/>
        </w:rPr>
        <w:t>שליט"א</w:t>
      </w:r>
      <w:proofErr w:type="spellEnd"/>
    </w:p>
    <w:p w:rsidR="006B332C" w:rsidRDefault="006B332C" w:rsidP="006B332C">
      <w:pPr>
        <w:pStyle w:val="ad"/>
        <w:rPr>
          <w:rtl/>
        </w:rPr>
      </w:pPr>
      <w:r>
        <w:rPr>
          <w:rtl/>
        </w:rPr>
        <w:t xml:space="preserve">שיחה </w:t>
      </w:r>
      <w:r>
        <w:rPr>
          <w:rFonts w:hint="cs"/>
          <w:rtl/>
        </w:rPr>
        <w:t>לפרשת יתרו</w:t>
      </w:r>
    </w:p>
    <w:p w:rsidR="006B332C" w:rsidRPr="00835E24" w:rsidRDefault="006B332C" w:rsidP="006B332C">
      <w:pPr>
        <w:pStyle w:val="1"/>
        <w:rPr>
          <w:rtl/>
        </w:rPr>
      </w:pPr>
      <w:bookmarkStart w:id="0" w:name="OLE_LINK1"/>
      <w:r>
        <w:rPr>
          <w:rFonts w:hint="cs"/>
          <w:rtl/>
        </w:rPr>
        <w:t>עבדי ה'</w:t>
      </w:r>
      <w:r w:rsidRPr="00835E24">
        <w:rPr>
          <w:rStyle w:val="aa"/>
          <w:rFonts w:eastAsiaTheme="majorEastAsia"/>
          <w:rtl/>
        </w:rPr>
        <w:footnoteReference w:customMarkFollows="1" w:id="1"/>
        <w:t>*</w:t>
      </w:r>
    </w:p>
    <w:p w:rsidR="006B332C" w:rsidRDefault="006B332C" w:rsidP="006B332C">
      <w:pPr>
        <w:pStyle w:val="2"/>
      </w:pPr>
      <w:r>
        <w:rPr>
          <w:rFonts w:hint="cs"/>
          <w:rtl/>
        </w:rPr>
        <w:t>בחזרה למצרים</w:t>
      </w:r>
    </w:p>
    <w:p w:rsidR="006B332C" w:rsidRDefault="006B332C" w:rsidP="006B332C">
      <w:pPr>
        <w:rPr>
          <w:rtl/>
        </w:rPr>
      </w:pPr>
      <w:r>
        <w:rPr>
          <w:rFonts w:hint="cs"/>
          <w:rtl/>
        </w:rPr>
        <w:t>איך יעלה על הדעת שהבקשה מפרעה לאפשר לישראל לזבוח במדבר ולחזור לאחר שלושה ימים הייתה רצינית? מה היה קורה אילו פרעה היה מקבל את ההצעה הזו, ולא מקשה את לבו? האם היינו חוזרים למצרי</w:t>
      </w:r>
      <w:bookmarkStart w:id="2" w:name="_GoBack"/>
      <w:bookmarkEnd w:id="2"/>
      <w:r>
        <w:rPr>
          <w:rFonts w:hint="cs"/>
          <w:rtl/>
        </w:rPr>
        <w:t>ם?</w:t>
      </w:r>
    </w:p>
    <w:p w:rsidR="006B332C" w:rsidRDefault="006B332C" w:rsidP="006B332C">
      <w:pPr>
        <w:rPr>
          <w:rtl/>
        </w:rPr>
      </w:pPr>
      <w:r>
        <w:rPr>
          <w:rFonts w:hint="cs"/>
          <w:rtl/>
        </w:rPr>
        <w:t xml:space="preserve">כמובן, ניתן לענות שאין כלל על מה לדבר </w:t>
      </w:r>
      <w:r>
        <w:rPr>
          <w:rtl/>
        </w:rPr>
        <w:t>–</w:t>
      </w:r>
      <w:r>
        <w:rPr>
          <w:rFonts w:hint="cs"/>
          <w:rtl/>
        </w:rPr>
        <w:t xml:space="preserve"> שכן, תוך כדי דיבור ה' אומר למשה שאין סיכוי שהדבר יתרחש: </w:t>
      </w:r>
    </w:p>
    <w:p w:rsidR="009F301F" w:rsidRDefault="009F301F" w:rsidP="009F301F">
      <w:pPr>
        <w:pStyle w:val="a4"/>
        <w:rPr>
          <w:sz w:val="14"/>
          <w:szCs w:val="16"/>
          <w:rtl/>
        </w:rPr>
      </w:pPr>
      <w:r>
        <w:rPr>
          <w:rFonts w:hint="cs"/>
          <w:rtl/>
        </w:rPr>
        <w:t>"</w:t>
      </w:r>
      <w:r w:rsidR="006B332C">
        <w:rPr>
          <w:rFonts w:hint="cs"/>
          <w:rtl/>
        </w:rPr>
        <w:t>וַאֲנִי</w:t>
      </w:r>
      <w:r w:rsidR="006B332C">
        <w:rPr>
          <w:rtl/>
        </w:rPr>
        <w:t xml:space="preserve"> </w:t>
      </w:r>
      <w:r w:rsidR="006B332C">
        <w:rPr>
          <w:rFonts w:hint="cs"/>
          <w:rtl/>
        </w:rPr>
        <w:t>יָדַעְתִּי</w:t>
      </w:r>
      <w:r w:rsidR="006B332C">
        <w:rPr>
          <w:rtl/>
        </w:rPr>
        <w:t xml:space="preserve"> </w:t>
      </w:r>
      <w:r w:rsidR="006B332C">
        <w:rPr>
          <w:rFonts w:hint="cs"/>
          <w:rtl/>
        </w:rPr>
        <w:t>כִּי</w:t>
      </w:r>
      <w:r w:rsidR="006B332C">
        <w:rPr>
          <w:rtl/>
        </w:rPr>
        <w:t xml:space="preserve"> </w:t>
      </w:r>
      <w:r w:rsidR="006B332C">
        <w:rPr>
          <w:rFonts w:hint="cs"/>
          <w:rtl/>
        </w:rPr>
        <w:t>לֹא</w:t>
      </w:r>
      <w:r w:rsidR="006B332C">
        <w:rPr>
          <w:rtl/>
        </w:rPr>
        <w:t xml:space="preserve"> </w:t>
      </w:r>
      <w:proofErr w:type="spellStart"/>
      <w:r w:rsidR="006B332C">
        <w:rPr>
          <w:rFonts w:hint="cs"/>
          <w:rtl/>
        </w:rPr>
        <w:t>יִתֵּן</w:t>
      </w:r>
      <w:proofErr w:type="spellEnd"/>
      <w:r w:rsidR="006B332C">
        <w:rPr>
          <w:rtl/>
        </w:rPr>
        <w:t xml:space="preserve"> </w:t>
      </w:r>
      <w:r w:rsidR="006B332C">
        <w:rPr>
          <w:rFonts w:hint="cs"/>
          <w:rtl/>
        </w:rPr>
        <w:t>אֶתְכֶם</w:t>
      </w:r>
      <w:r w:rsidR="006B332C">
        <w:rPr>
          <w:rtl/>
        </w:rPr>
        <w:t xml:space="preserve"> </w:t>
      </w:r>
      <w:r w:rsidR="006B332C">
        <w:rPr>
          <w:rFonts w:hint="cs"/>
          <w:rtl/>
        </w:rPr>
        <w:t>מֶלֶךְ</w:t>
      </w:r>
      <w:r w:rsidR="006B332C">
        <w:rPr>
          <w:rtl/>
        </w:rPr>
        <w:t xml:space="preserve"> </w:t>
      </w:r>
      <w:r w:rsidR="006B332C">
        <w:rPr>
          <w:rFonts w:hint="cs"/>
          <w:rtl/>
        </w:rPr>
        <w:t>מִצְרַיִם</w:t>
      </w:r>
      <w:r w:rsidR="006B332C">
        <w:rPr>
          <w:rtl/>
        </w:rPr>
        <w:t xml:space="preserve"> </w:t>
      </w:r>
      <w:r w:rsidR="006B332C">
        <w:rPr>
          <w:rFonts w:hint="cs"/>
          <w:rtl/>
        </w:rPr>
        <w:t>לַהֲלֹךְ</w:t>
      </w:r>
      <w:r w:rsidR="006B332C">
        <w:rPr>
          <w:rtl/>
        </w:rPr>
        <w:t xml:space="preserve"> </w:t>
      </w:r>
      <w:r w:rsidR="006B332C">
        <w:rPr>
          <w:rFonts w:hint="cs"/>
          <w:rtl/>
        </w:rPr>
        <w:t>וְלֹא</w:t>
      </w:r>
      <w:r w:rsidR="006B332C">
        <w:rPr>
          <w:rtl/>
        </w:rPr>
        <w:t xml:space="preserve"> </w:t>
      </w:r>
      <w:r w:rsidR="006B332C">
        <w:rPr>
          <w:rFonts w:hint="cs"/>
          <w:rtl/>
        </w:rPr>
        <w:t>בְּיָד</w:t>
      </w:r>
      <w:r w:rsidR="006B332C">
        <w:rPr>
          <w:rtl/>
        </w:rPr>
        <w:t xml:space="preserve"> </w:t>
      </w:r>
      <w:r w:rsidR="006B332C">
        <w:rPr>
          <w:rFonts w:hint="cs"/>
          <w:rtl/>
        </w:rPr>
        <w:t>חֲזָקָה</w:t>
      </w:r>
      <w:r>
        <w:rPr>
          <w:rFonts w:hint="cs"/>
          <w:rtl/>
        </w:rPr>
        <w:t>."</w:t>
      </w:r>
      <w:r w:rsidR="006B332C">
        <w:rPr>
          <w:rFonts w:hint="cs"/>
          <w:rtl/>
        </w:rPr>
        <w:t xml:space="preserve"> </w:t>
      </w:r>
      <w:r w:rsidR="006B332C">
        <w:rPr>
          <w:rFonts w:hint="cs"/>
          <w:rtl/>
        </w:rPr>
        <w:tab/>
      </w:r>
    </w:p>
    <w:p w:rsidR="006B332C" w:rsidRDefault="006B332C" w:rsidP="009F301F">
      <w:pPr>
        <w:pStyle w:val="5"/>
        <w:rPr>
          <w:rtl/>
        </w:rPr>
      </w:pPr>
      <w:r w:rsidRPr="004D49BA">
        <w:rPr>
          <w:rFonts w:hint="cs"/>
          <w:rtl/>
        </w:rPr>
        <w:t>(שמות ג</w:t>
      </w:r>
      <w:r w:rsidR="009F301F">
        <w:rPr>
          <w:rFonts w:hint="cs"/>
          <w:rtl/>
        </w:rPr>
        <w:t>'</w:t>
      </w:r>
      <w:r w:rsidRPr="004D49BA">
        <w:rPr>
          <w:rFonts w:hint="cs"/>
          <w:rtl/>
        </w:rPr>
        <w:t xml:space="preserve">, </w:t>
      </w:r>
      <w:proofErr w:type="spellStart"/>
      <w:r w:rsidRPr="004D49BA">
        <w:rPr>
          <w:rFonts w:hint="cs"/>
          <w:rtl/>
        </w:rPr>
        <w:t>יט</w:t>
      </w:r>
      <w:proofErr w:type="spellEnd"/>
      <w:r w:rsidRPr="004D49BA">
        <w:rPr>
          <w:rFonts w:hint="cs"/>
          <w:rtl/>
        </w:rPr>
        <w:t>)</w:t>
      </w:r>
    </w:p>
    <w:p w:rsidR="006B332C" w:rsidRDefault="009F301F" w:rsidP="009F301F">
      <w:pPr>
        <w:rPr>
          <w:rtl/>
        </w:rPr>
      </w:pPr>
      <w:r>
        <w:rPr>
          <w:rFonts w:hint="cs"/>
          <w:rtl/>
        </w:rPr>
        <w:t xml:space="preserve">ברצוני להעלות </w:t>
      </w:r>
      <w:r w:rsidR="006B332C">
        <w:rPr>
          <w:rFonts w:hint="cs"/>
          <w:rtl/>
        </w:rPr>
        <w:t xml:space="preserve">הצעה אלטרנטיבית, שיש להבין את המסר העמוק הטמון בה. בואו נדמיין לעצמנו את התמונה: משה מגיע אל פרעה </w:t>
      </w:r>
      <w:r>
        <w:rPr>
          <w:rFonts w:hint="cs"/>
          <w:rtl/>
        </w:rPr>
        <w:t>ומציע לו את ההצעה, פרעה רואה בכך</w:t>
      </w:r>
      <w:r w:rsidR="006B332C">
        <w:rPr>
          <w:rFonts w:hint="cs"/>
          <w:rtl/>
        </w:rPr>
        <w:t xml:space="preserve"> בקשה לגיטימית ומשחרר את העם ללכת </w:t>
      </w:r>
      <w:r w:rsidR="006B332C">
        <w:rPr>
          <w:rFonts w:hint="cs"/>
          <w:b/>
          <w:bCs/>
          <w:rtl/>
        </w:rPr>
        <w:t>דרך</w:t>
      </w:r>
      <w:r w:rsidR="006B332C">
        <w:rPr>
          <w:rFonts w:hint="cs"/>
          <w:rtl/>
        </w:rPr>
        <w:t xml:space="preserve"> שלושת ימים לזבוח. כמובן </w:t>
      </w:r>
      <w:r w:rsidR="006B332C">
        <w:rPr>
          <w:rtl/>
        </w:rPr>
        <w:t>–</w:t>
      </w:r>
      <w:r w:rsidR="006B332C">
        <w:rPr>
          <w:rFonts w:hint="cs"/>
          <w:rtl/>
        </w:rPr>
        <w:t xml:space="preserve"> דרך שלושת ימים כשמדובר בעם של ששים ריבוא גברים לבד מטף, ההולכים עם נשותיהם, ילדיהם, זקניהם ובהמותיהם </w:t>
      </w:r>
      <w:r w:rsidR="006B332C">
        <w:rPr>
          <w:rtl/>
        </w:rPr>
        <w:t>–</w:t>
      </w:r>
      <w:r w:rsidR="006B332C">
        <w:rPr>
          <w:rFonts w:hint="cs"/>
          <w:rtl/>
        </w:rPr>
        <w:t xml:space="preserve"> לוקחת בערך חמישים יום, כמות הזמן שבאמת לקחה להם. לאחר אירועי זריקת הדם וכריתת הברית </w:t>
      </w:r>
      <w:r w:rsidR="006B332C">
        <w:rPr>
          <w:rtl/>
        </w:rPr>
        <w:t>–</w:t>
      </w:r>
      <w:r w:rsidR="006B332C">
        <w:rPr>
          <w:rFonts w:hint="cs"/>
          <w:rtl/>
        </w:rPr>
        <w:t xml:space="preserve"> היינו חוזרים כולנו למצרים, ולא עולים לארץ ישראל. </w:t>
      </w:r>
    </w:p>
    <w:p w:rsidR="006B332C" w:rsidRDefault="006B332C" w:rsidP="009F301F">
      <w:pPr>
        <w:rPr>
          <w:rtl/>
        </w:rPr>
      </w:pPr>
      <w:r>
        <w:rPr>
          <w:rFonts w:hint="cs"/>
          <w:rtl/>
        </w:rPr>
        <w:t xml:space="preserve">אז נכון </w:t>
      </w:r>
      <w:r>
        <w:rPr>
          <w:rtl/>
        </w:rPr>
        <w:t>–</w:t>
      </w:r>
      <w:r>
        <w:rPr>
          <w:rFonts w:hint="cs"/>
          <w:rtl/>
        </w:rPr>
        <w:t xml:space="preserve"> היינו מאבדים את ה'חירות' במובנה הפשוט והמקובל. אבל נראה לי ש</w:t>
      </w:r>
      <w:r w:rsidR="009F301F">
        <w:rPr>
          <w:rFonts w:hint="cs"/>
          <w:rtl/>
        </w:rPr>
        <w:t>כ</w:t>
      </w:r>
      <w:r>
        <w:rPr>
          <w:rFonts w:hint="cs"/>
          <w:rtl/>
        </w:rPr>
        <w:t xml:space="preserve">תשעים אחוזים עדיין היו בידינו. </w:t>
      </w:r>
      <w:r w:rsidR="009F301F">
        <w:rPr>
          <w:rFonts w:hint="cs"/>
          <w:rtl/>
        </w:rPr>
        <w:t xml:space="preserve">לאחר מסע שכזה, </w:t>
      </w:r>
      <w:r>
        <w:rPr>
          <w:rFonts w:hint="cs"/>
          <w:rtl/>
        </w:rPr>
        <w:t xml:space="preserve">גם אם היינו חוזרים לשעבוד מצרים </w:t>
      </w:r>
      <w:r>
        <w:rPr>
          <w:rtl/>
        </w:rPr>
        <w:t>–</w:t>
      </w:r>
      <w:r>
        <w:rPr>
          <w:rFonts w:hint="cs"/>
          <w:rtl/>
        </w:rPr>
        <w:t xml:space="preserve"> זה לא היה אותו דבר. </w:t>
      </w:r>
    </w:p>
    <w:p w:rsidR="006B332C" w:rsidRDefault="006B332C" w:rsidP="006B332C">
      <w:pPr>
        <w:pStyle w:val="2"/>
        <w:rPr>
          <w:rtl/>
        </w:rPr>
      </w:pPr>
      <w:r>
        <w:rPr>
          <w:rFonts w:hint="cs"/>
          <w:rtl/>
        </w:rPr>
        <w:t>מהי חירות?</w:t>
      </w:r>
    </w:p>
    <w:p w:rsidR="006B332C" w:rsidRDefault="006B332C" w:rsidP="00067E9B">
      <w:pPr>
        <w:rPr>
          <w:rtl/>
        </w:rPr>
      </w:pPr>
      <w:r>
        <w:rPr>
          <w:rFonts w:hint="cs"/>
          <w:rtl/>
        </w:rPr>
        <w:t xml:space="preserve">קיימת מחלוקת בין </w:t>
      </w:r>
      <w:proofErr w:type="spellStart"/>
      <w:r>
        <w:rPr>
          <w:rFonts w:hint="cs"/>
          <w:rtl/>
        </w:rPr>
        <w:t>הרא"ש</w:t>
      </w:r>
      <w:proofErr w:type="spellEnd"/>
      <w:r>
        <w:rPr>
          <w:rFonts w:hint="cs"/>
          <w:rtl/>
        </w:rPr>
        <w:t xml:space="preserve"> </w:t>
      </w:r>
      <w:proofErr w:type="spellStart"/>
      <w:r>
        <w:rPr>
          <w:rFonts w:hint="cs"/>
          <w:rtl/>
        </w:rPr>
        <w:t>לריצב"א</w:t>
      </w:r>
      <w:proofErr w:type="spellEnd"/>
      <w:r w:rsidR="00067E9B">
        <w:rPr>
          <w:rStyle w:val="aa"/>
          <w:rtl/>
        </w:rPr>
        <w:footnoteReference w:id="2"/>
      </w:r>
      <w:r>
        <w:rPr>
          <w:rFonts w:hint="cs"/>
          <w:rtl/>
        </w:rPr>
        <w:t xml:space="preserve"> במקרה שבעל נתן גט לעבדו והקנה לאישה את העבד</w:t>
      </w:r>
      <w:r w:rsidRPr="004D49BA">
        <w:rPr>
          <w:rFonts w:hint="cs"/>
          <w:rtl/>
        </w:rPr>
        <w:t xml:space="preserve"> </w:t>
      </w:r>
      <w:r>
        <w:rPr>
          <w:rtl/>
        </w:rPr>
        <w:t>–</w:t>
      </w:r>
      <w:r>
        <w:rPr>
          <w:rFonts w:hint="cs"/>
          <w:rtl/>
        </w:rPr>
        <w:t xml:space="preserve"> מתי נחשב העבד לחצר המשתמרת לדעתה של האישה. </w:t>
      </w:r>
      <w:proofErr w:type="spellStart"/>
      <w:r>
        <w:rPr>
          <w:rFonts w:hint="cs"/>
          <w:rtl/>
        </w:rPr>
        <w:t>הריצב"א</w:t>
      </w:r>
      <w:proofErr w:type="spellEnd"/>
      <w:r>
        <w:rPr>
          <w:rFonts w:hint="cs"/>
          <w:rtl/>
        </w:rPr>
        <w:t xml:space="preserve"> כותב שאם העבד כפות כולו </w:t>
      </w:r>
      <w:r>
        <w:rPr>
          <w:rtl/>
        </w:rPr>
        <w:t>–</w:t>
      </w:r>
      <w:r>
        <w:rPr>
          <w:rFonts w:hint="cs"/>
          <w:rtl/>
        </w:rPr>
        <w:t xml:space="preserve"> כולל רגליו, ואינו יכול לזוז כלל בלי הנחייתה של האישה </w:t>
      </w:r>
      <w:r>
        <w:rPr>
          <w:rtl/>
        </w:rPr>
        <w:t>–</w:t>
      </w:r>
      <w:r>
        <w:rPr>
          <w:rFonts w:hint="cs"/>
          <w:rtl/>
        </w:rPr>
        <w:t xml:space="preserve"> הוא נחשב לחצר המשתמרת לדעתה, וגט כזה יהיה כשר. </w:t>
      </w:r>
      <w:proofErr w:type="spellStart"/>
      <w:r>
        <w:rPr>
          <w:rFonts w:hint="cs"/>
          <w:rtl/>
        </w:rPr>
        <w:t>הרא"ש</w:t>
      </w:r>
      <w:proofErr w:type="spellEnd"/>
      <w:r>
        <w:rPr>
          <w:rFonts w:hint="cs"/>
          <w:rtl/>
        </w:rPr>
        <w:t xml:space="preserve"> סבור, </w:t>
      </w:r>
      <w:r>
        <w:rPr>
          <w:rFonts w:hint="cs"/>
          <w:rtl/>
        </w:rPr>
        <w:lastRenderedPageBreak/>
        <w:t xml:space="preserve">שכל עוד העבד ער </w:t>
      </w:r>
      <w:r>
        <w:rPr>
          <w:rtl/>
        </w:rPr>
        <w:t>–</w:t>
      </w:r>
      <w:r>
        <w:rPr>
          <w:rFonts w:hint="cs"/>
          <w:rtl/>
        </w:rPr>
        <w:t xml:space="preserve"> אין הוא נחשב משתמר לדעתה, כיוון שיש לו דעת עצמאית. </w:t>
      </w:r>
    </w:p>
    <w:p w:rsidR="006B332C" w:rsidRDefault="00067E9B" w:rsidP="00067E9B">
      <w:pPr>
        <w:rPr>
          <w:rtl/>
        </w:rPr>
      </w:pPr>
      <w:r>
        <w:rPr>
          <w:rFonts w:hint="cs"/>
          <w:rtl/>
        </w:rPr>
        <w:t>יש כאן</w:t>
      </w:r>
      <w:r w:rsidR="006B332C">
        <w:rPr>
          <w:rFonts w:hint="cs"/>
          <w:rtl/>
        </w:rPr>
        <w:t xml:space="preserve"> שתי תפיסות עולם הפוכות, שתי תפיסות מהותיות ועצומות שיש לתת עליהן את הדעת. </w:t>
      </w:r>
    </w:p>
    <w:p w:rsidR="006B332C" w:rsidRDefault="006B332C" w:rsidP="00067E9B">
      <w:pPr>
        <w:rPr>
          <w:rtl/>
        </w:rPr>
      </w:pPr>
      <w:r>
        <w:rPr>
          <w:rFonts w:hint="cs"/>
          <w:rtl/>
        </w:rPr>
        <w:t>כשהייתי בתיכון</w:t>
      </w:r>
      <w:r w:rsidR="00067E9B">
        <w:rPr>
          <w:rFonts w:hint="cs"/>
          <w:rtl/>
        </w:rPr>
        <w:t xml:space="preserve"> ראי</w:t>
      </w:r>
      <w:r>
        <w:rPr>
          <w:rFonts w:hint="cs"/>
          <w:rtl/>
        </w:rPr>
        <w:t>ת</w:t>
      </w:r>
      <w:r w:rsidR="00067E9B">
        <w:rPr>
          <w:rFonts w:hint="cs"/>
          <w:rtl/>
        </w:rPr>
        <w:t>י</w:t>
      </w:r>
      <w:r>
        <w:rPr>
          <w:rFonts w:hint="cs"/>
          <w:rtl/>
        </w:rPr>
        <w:t xml:space="preserve"> סרט שהתבסס על המהפכה הקומוניסטית. כולנו יודעים מה קרה שם </w:t>
      </w:r>
      <w:r>
        <w:rPr>
          <w:rtl/>
        </w:rPr>
        <w:t>–</w:t>
      </w:r>
      <w:r>
        <w:rPr>
          <w:rFonts w:hint="cs"/>
          <w:rtl/>
        </w:rPr>
        <w:t xml:space="preserve"> הייתה הזדמנות להיפטר מ</w:t>
      </w:r>
      <w:r w:rsidR="00067E9B">
        <w:rPr>
          <w:rFonts w:hint="cs"/>
          <w:rtl/>
        </w:rPr>
        <w:t xml:space="preserve">מוסד </w:t>
      </w:r>
      <w:r>
        <w:rPr>
          <w:rFonts w:hint="cs"/>
          <w:rtl/>
        </w:rPr>
        <w:t>ה</w:t>
      </w:r>
      <w:r w:rsidR="00067E9B">
        <w:rPr>
          <w:rFonts w:hint="cs"/>
          <w:rtl/>
        </w:rPr>
        <w:t>'</w:t>
      </w:r>
      <w:r>
        <w:rPr>
          <w:rFonts w:hint="cs"/>
          <w:rtl/>
        </w:rPr>
        <w:t>צאר</w:t>
      </w:r>
      <w:r w:rsidR="00067E9B">
        <w:rPr>
          <w:rFonts w:hint="cs"/>
          <w:rtl/>
        </w:rPr>
        <w:t>'</w:t>
      </w:r>
      <w:r>
        <w:rPr>
          <w:rFonts w:hint="cs"/>
          <w:rtl/>
        </w:rPr>
        <w:t xml:space="preserve"> ברוסיה, ואז השתלטו על המהפכה האזרחית גורמים בולשביקיים, שהשפיעו על העם בבחינת '</w:t>
      </w:r>
      <w:proofErr w:type="spellStart"/>
      <w:r>
        <w:rPr>
          <w:rFonts w:hint="cs"/>
          <w:rtl/>
        </w:rPr>
        <w:t>כופין</w:t>
      </w:r>
      <w:proofErr w:type="spellEnd"/>
      <w:r>
        <w:rPr>
          <w:rFonts w:hint="cs"/>
          <w:rtl/>
        </w:rPr>
        <w:t xml:space="preserve"> אותו עד שיאמר רוצה אני'. כולם היו חייבים ללכת אחריהם ולהסכים עימם, ואוי לו למי שיחשוב אחרת. </w:t>
      </w:r>
    </w:p>
    <w:p w:rsidR="006B332C" w:rsidRDefault="006B332C" w:rsidP="00AE1BD0">
      <w:pPr>
        <w:rPr>
          <w:rtl/>
        </w:rPr>
      </w:pPr>
      <w:r>
        <w:rPr>
          <w:rFonts w:hint="cs"/>
          <w:rtl/>
        </w:rPr>
        <w:t xml:space="preserve">בסרט הייתה סצנה שנחקקה לי בנפש. אנשים נסעו ברכבת, ובאחת התחנות עלה קומיסר סובייטי שתפקידו להפיץ את התעמולה של המפלגה. הוא עבר בין הקרונות, נאם את נאומיו חוצבי הלהבות, וכל יושבי הקרון, כמובן, היו צריכים לעמוד דום ולהנהן כמקבלים את דבריו. אסור </w:t>
      </w:r>
      <w:r w:rsidR="00AE1BD0">
        <w:rPr>
          <w:rFonts w:hint="cs"/>
          <w:rtl/>
        </w:rPr>
        <w:t xml:space="preserve">אף </w:t>
      </w:r>
      <w:r>
        <w:rPr>
          <w:rFonts w:hint="cs"/>
          <w:rtl/>
        </w:rPr>
        <w:t xml:space="preserve">לפזול הצידה, שמא יחשבו שאתה בוגד ומתנגד למפלגה. </w:t>
      </w:r>
    </w:p>
    <w:p w:rsidR="006B332C" w:rsidRDefault="006B332C" w:rsidP="00AE1BD0">
      <w:pPr>
        <w:rPr>
          <w:rtl/>
        </w:rPr>
      </w:pPr>
      <w:r>
        <w:rPr>
          <w:rFonts w:hint="cs"/>
          <w:rtl/>
        </w:rPr>
        <w:t xml:space="preserve">מלבד הנוסעים על הרכבת, היו גם "עבדים" </w:t>
      </w:r>
      <w:r>
        <w:rPr>
          <w:rtl/>
        </w:rPr>
        <w:t>–</w:t>
      </w:r>
      <w:r>
        <w:rPr>
          <w:rFonts w:hint="cs"/>
          <w:rtl/>
        </w:rPr>
        <w:t xml:space="preserve"> מתנגדי המשטר, ריאקציונרים </w:t>
      </w:r>
      <w:r>
        <w:rPr>
          <w:rtl/>
        </w:rPr>
        <w:t>–</w:t>
      </w:r>
      <w:r>
        <w:rPr>
          <w:rFonts w:hint="cs"/>
          <w:rtl/>
        </w:rPr>
        <w:t xml:space="preserve"> שתפקידם לנקות את הקרונות ואת השירותים</w:t>
      </w:r>
      <w:r w:rsidR="00AE1BD0">
        <w:rPr>
          <w:rFonts w:hint="cs"/>
          <w:rtl/>
        </w:rPr>
        <w:t>.</w:t>
      </w:r>
      <w:r>
        <w:rPr>
          <w:rFonts w:hint="cs"/>
          <w:rtl/>
        </w:rPr>
        <w:t xml:space="preserve"> לאחר שהם סיימו לעבוד היו קושרים אותם באזיקים מתחת לספסל </w:t>
      </w:r>
      <w:r>
        <w:rPr>
          <w:rtl/>
        </w:rPr>
        <w:t>–</w:t>
      </w:r>
      <w:r w:rsidR="00AE1BD0">
        <w:rPr>
          <w:rFonts w:hint="cs"/>
          <w:rtl/>
        </w:rPr>
        <w:t xml:space="preserve"> כל אחד בקרון משלו,</w:t>
      </w:r>
      <w:r>
        <w:rPr>
          <w:rFonts w:hint="cs"/>
          <w:rtl/>
        </w:rPr>
        <w:t xml:space="preserve"> ושם הם היו ממתינים עד לפעם הבאה בה היו צריכים לעבוד. </w:t>
      </w:r>
    </w:p>
    <w:p w:rsidR="006B332C" w:rsidRDefault="006B332C" w:rsidP="00AE1BD0">
      <w:pPr>
        <w:rPr>
          <w:rtl/>
        </w:rPr>
      </w:pPr>
      <w:r>
        <w:rPr>
          <w:rFonts w:hint="cs"/>
          <w:rtl/>
        </w:rPr>
        <w:t xml:space="preserve">באחד הקרונות, הקומיסר נכנס והתחיל לנאום את נאומיו, והעבד הריאקציונר קטע אותו באמצע, </w:t>
      </w:r>
      <w:r w:rsidR="00AE1BD0">
        <w:rPr>
          <w:rFonts w:hint="cs"/>
          <w:rtl/>
        </w:rPr>
        <w:t>והתחיל ללגלג על הדברים. מה כבר היה</w:t>
      </w:r>
      <w:r>
        <w:rPr>
          <w:rFonts w:hint="cs"/>
          <w:rtl/>
        </w:rPr>
        <w:t xml:space="preserve"> לו להפסיד?</w:t>
      </w:r>
      <w:r w:rsidR="00AE1BD0">
        <w:rPr>
          <w:rFonts w:hint="cs"/>
          <w:rtl/>
        </w:rPr>
        <w:t xml:space="preserve"> וכי</w:t>
      </w:r>
      <w:r>
        <w:rPr>
          <w:rFonts w:hint="cs"/>
          <w:rtl/>
        </w:rPr>
        <w:t xml:space="preserve"> מה אפשר </w:t>
      </w:r>
      <w:r w:rsidR="00AE1BD0">
        <w:rPr>
          <w:rFonts w:hint="cs"/>
          <w:rtl/>
        </w:rPr>
        <w:t>לעשות לו, שיהפוך את המצב שלו לגרוע ממה שהוא? הקומיסר ה</w:t>
      </w:r>
      <w:r>
        <w:rPr>
          <w:rFonts w:hint="cs"/>
          <w:rtl/>
        </w:rPr>
        <w:t xml:space="preserve">משיך, כמובן </w:t>
      </w:r>
      <w:r>
        <w:rPr>
          <w:rtl/>
        </w:rPr>
        <w:t>–</w:t>
      </w:r>
      <w:r w:rsidR="00AE1BD0">
        <w:rPr>
          <w:rFonts w:hint="cs"/>
          <w:rtl/>
        </w:rPr>
        <w:t xml:space="preserve"> הוא אינו</w:t>
      </w:r>
      <w:r>
        <w:rPr>
          <w:rFonts w:hint="cs"/>
          <w:rtl/>
        </w:rPr>
        <w:t xml:space="preserve"> יכול להיכנע </w:t>
      </w:r>
      <w:r>
        <w:rPr>
          <w:rtl/>
        </w:rPr>
        <w:t>–</w:t>
      </w:r>
      <w:r w:rsidR="00AE1BD0">
        <w:rPr>
          <w:rFonts w:hint="cs"/>
          <w:rtl/>
        </w:rPr>
        <w:t xml:space="preserve"> אך</w:t>
      </w:r>
      <w:r>
        <w:rPr>
          <w:rFonts w:hint="cs"/>
          <w:rtl/>
        </w:rPr>
        <w:t xml:space="preserve"> גם העבד בשלו, מסרב להיכנע, ולועג לכל מילה שיוצאת מפיו של הקומיסר. </w:t>
      </w:r>
    </w:p>
    <w:p w:rsidR="006B332C" w:rsidRDefault="006B332C" w:rsidP="006B332C">
      <w:pPr>
        <w:rPr>
          <w:rtl/>
        </w:rPr>
      </w:pPr>
      <w:r>
        <w:rPr>
          <w:rFonts w:hint="cs"/>
          <w:rtl/>
        </w:rPr>
        <w:t xml:space="preserve">לאחר שהלה מסיים את דבריו בעלבון צורב ועוזב את הקרון, אומר העבד לכל הנוכחים: אתם חושבים שאתם בני </w:t>
      </w:r>
      <w:proofErr w:type="spellStart"/>
      <w:r>
        <w:rPr>
          <w:rFonts w:hint="cs"/>
          <w:rtl/>
        </w:rPr>
        <w:t>החורין</w:t>
      </w:r>
      <w:proofErr w:type="spellEnd"/>
      <w:r>
        <w:rPr>
          <w:rFonts w:hint="cs"/>
          <w:rtl/>
        </w:rPr>
        <w:t xml:space="preserve"> ואני העבד, כי אני אזוק ואתם יכולים לזוז כאוות נפשכם. אבל באמת </w:t>
      </w:r>
      <w:r>
        <w:rPr>
          <w:rtl/>
        </w:rPr>
        <w:t>–</w:t>
      </w:r>
      <w:r>
        <w:rPr>
          <w:rFonts w:hint="cs"/>
          <w:rtl/>
        </w:rPr>
        <w:t xml:space="preserve"> אני בן </w:t>
      </w:r>
      <w:proofErr w:type="spellStart"/>
      <w:r>
        <w:rPr>
          <w:rFonts w:hint="cs"/>
          <w:rtl/>
        </w:rPr>
        <w:t>החורין</w:t>
      </w:r>
      <w:proofErr w:type="spellEnd"/>
      <w:r>
        <w:rPr>
          <w:rFonts w:hint="cs"/>
          <w:rtl/>
        </w:rPr>
        <w:t xml:space="preserve"> ואתם העבדים, כי את הרוח שלי אף אחד לא יוכל לקחת ממני </w:t>
      </w:r>
      <w:r>
        <w:rPr>
          <w:rtl/>
        </w:rPr>
        <w:t>–</w:t>
      </w:r>
      <w:r>
        <w:rPr>
          <w:rFonts w:hint="cs"/>
          <w:rtl/>
        </w:rPr>
        <w:t xml:space="preserve"> אבל את שלכם כבר דיכאו. </w:t>
      </w:r>
    </w:p>
    <w:p w:rsidR="006B332C" w:rsidRPr="002806C1" w:rsidRDefault="006B332C" w:rsidP="006B332C">
      <w:pPr>
        <w:pStyle w:val="2"/>
        <w:rPr>
          <w:szCs w:val="24"/>
          <w:rtl/>
        </w:rPr>
      </w:pPr>
      <w:r>
        <w:rPr>
          <w:rFonts w:hint="cs"/>
          <w:rtl/>
        </w:rPr>
        <w:t>הוא לבדו חפשי</w:t>
      </w:r>
    </w:p>
    <w:p w:rsidR="006B332C" w:rsidRDefault="00AE1BD0" w:rsidP="00AE1BD0">
      <w:pPr>
        <w:rPr>
          <w:rtl/>
        </w:rPr>
      </w:pPr>
      <w:r>
        <w:rPr>
          <w:rFonts w:hint="cs"/>
          <w:rtl/>
        </w:rPr>
        <w:t>כמעט ו</w:t>
      </w:r>
      <w:r w:rsidR="006B332C">
        <w:rPr>
          <w:rFonts w:hint="cs"/>
          <w:rtl/>
        </w:rPr>
        <w:t xml:space="preserve">אני יכול לדמיין את </w:t>
      </w:r>
      <w:proofErr w:type="spellStart"/>
      <w:r w:rsidR="006B332C">
        <w:rPr>
          <w:rFonts w:hint="cs"/>
          <w:rtl/>
        </w:rPr>
        <w:t>הרא"ש</w:t>
      </w:r>
      <w:proofErr w:type="spellEnd"/>
      <w:r w:rsidR="006B332C">
        <w:rPr>
          <w:rFonts w:hint="cs"/>
          <w:rtl/>
        </w:rPr>
        <w:t xml:space="preserve"> בתור אותו העבד, ואת </w:t>
      </w:r>
      <w:proofErr w:type="spellStart"/>
      <w:r w:rsidR="006B332C">
        <w:rPr>
          <w:rFonts w:hint="cs"/>
          <w:rtl/>
        </w:rPr>
        <w:t>הריצב"א</w:t>
      </w:r>
      <w:proofErr w:type="spellEnd"/>
      <w:r w:rsidR="006B332C">
        <w:rPr>
          <w:rFonts w:hint="cs"/>
          <w:rtl/>
        </w:rPr>
        <w:t xml:space="preserve"> בתור אחד הנוכחים בקרון. לפי </w:t>
      </w:r>
      <w:proofErr w:type="spellStart"/>
      <w:r w:rsidR="006B332C">
        <w:rPr>
          <w:rFonts w:hint="cs"/>
          <w:rtl/>
        </w:rPr>
        <w:t>הרא"ש</w:t>
      </w:r>
      <w:proofErr w:type="spellEnd"/>
      <w:r w:rsidR="006B332C">
        <w:rPr>
          <w:rFonts w:hint="cs"/>
          <w:rtl/>
        </w:rPr>
        <w:t xml:space="preserve">, </w:t>
      </w:r>
      <w:r w:rsidR="006B332C">
        <w:rPr>
          <w:rFonts w:hint="cs"/>
          <w:rtl/>
        </w:rPr>
        <w:lastRenderedPageBreak/>
        <w:t xml:space="preserve">העובדה שהעבד </w:t>
      </w:r>
      <w:r w:rsidR="006B332C">
        <w:rPr>
          <w:rFonts w:hint="cs"/>
          <w:b/>
          <w:bCs/>
          <w:rtl/>
        </w:rPr>
        <w:t>ער</w:t>
      </w:r>
      <w:r w:rsidR="006B332C">
        <w:rPr>
          <w:rFonts w:hint="cs"/>
          <w:rtl/>
        </w:rPr>
        <w:t xml:space="preserve">, שיש לו תודעה, שיש לו מחשבה עצמאית </w:t>
      </w:r>
      <w:r w:rsidR="006B332C">
        <w:rPr>
          <w:rtl/>
        </w:rPr>
        <w:t>–</w:t>
      </w:r>
      <w:r w:rsidR="006B332C">
        <w:rPr>
          <w:rFonts w:hint="cs"/>
          <w:rtl/>
        </w:rPr>
        <w:t xml:space="preserve"> היא המגדירה אותו כבן חורין. לא משנה כמה </w:t>
      </w:r>
      <w:r>
        <w:rPr>
          <w:rFonts w:hint="cs"/>
          <w:rtl/>
        </w:rPr>
        <w:t xml:space="preserve">הוא כפות, הוא </w:t>
      </w:r>
      <w:r w:rsidR="006B332C">
        <w:rPr>
          <w:rFonts w:hint="cs"/>
          <w:rtl/>
        </w:rPr>
        <w:t>א</w:t>
      </w:r>
      <w:r>
        <w:rPr>
          <w:rFonts w:hint="cs"/>
          <w:rtl/>
        </w:rPr>
        <w:t>ינו</w:t>
      </w:r>
      <w:r w:rsidR="006B332C">
        <w:rPr>
          <w:rFonts w:hint="cs"/>
          <w:rtl/>
        </w:rPr>
        <w:t xml:space="preserve"> חצר המשתמרת לדעתה</w:t>
      </w:r>
      <w:r>
        <w:rPr>
          <w:rFonts w:hint="cs"/>
          <w:rtl/>
        </w:rPr>
        <w:t xml:space="preserve"> של האישה</w:t>
      </w:r>
      <w:r w:rsidR="006B332C">
        <w:rPr>
          <w:rFonts w:hint="cs"/>
          <w:rtl/>
        </w:rPr>
        <w:t xml:space="preserve">. לפי </w:t>
      </w:r>
      <w:proofErr w:type="spellStart"/>
      <w:r w:rsidR="006B332C">
        <w:rPr>
          <w:rFonts w:hint="cs"/>
          <w:rtl/>
        </w:rPr>
        <w:t>הריצב"א</w:t>
      </w:r>
      <w:proofErr w:type="spellEnd"/>
      <w:r w:rsidR="006B332C">
        <w:rPr>
          <w:rFonts w:hint="cs"/>
          <w:rtl/>
        </w:rPr>
        <w:t xml:space="preserve">, לעומת זאת, השאלה היא כמה חזקות </w:t>
      </w:r>
      <w:proofErr w:type="spellStart"/>
      <w:r w:rsidR="006B332C">
        <w:rPr>
          <w:rFonts w:hint="cs"/>
          <w:rtl/>
        </w:rPr>
        <w:t>השלשלאות</w:t>
      </w:r>
      <w:proofErr w:type="spellEnd"/>
      <w:r w:rsidR="006B332C">
        <w:rPr>
          <w:rFonts w:hint="cs"/>
          <w:rtl/>
        </w:rPr>
        <w:t xml:space="preserve"> המחזיקות אותו </w:t>
      </w:r>
      <w:r w:rsidR="006B332C">
        <w:rPr>
          <w:rtl/>
        </w:rPr>
        <w:t>–</w:t>
      </w:r>
      <w:r w:rsidR="006B332C">
        <w:rPr>
          <w:rFonts w:hint="cs"/>
          <w:rtl/>
        </w:rPr>
        <w:t xml:space="preserve"> </w:t>
      </w:r>
      <w:r>
        <w:rPr>
          <w:rFonts w:hint="cs"/>
          <w:rtl/>
        </w:rPr>
        <w:t>מ</w:t>
      </w:r>
      <w:r w:rsidR="006B332C">
        <w:rPr>
          <w:rFonts w:hint="cs"/>
          <w:rtl/>
        </w:rPr>
        <w:t>בלי להתייחס לרוח</w:t>
      </w:r>
      <w:r>
        <w:rPr>
          <w:rFonts w:hint="cs"/>
          <w:rtl/>
        </w:rPr>
        <w:t xml:space="preserve"> כלל</w:t>
      </w:r>
      <w:r w:rsidR="006B332C">
        <w:rPr>
          <w:rFonts w:hint="cs"/>
          <w:rtl/>
        </w:rPr>
        <w:t xml:space="preserve">. </w:t>
      </w:r>
    </w:p>
    <w:p w:rsidR="006B332C" w:rsidRDefault="006B332C" w:rsidP="006B332C">
      <w:pPr>
        <w:jc w:val="center"/>
        <w:rPr>
          <w:rtl/>
        </w:rPr>
      </w:pPr>
      <w:r>
        <w:rPr>
          <w:rFonts w:hint="cs"/>
          <w:rtl/>
        </w:rPr>
        <w:t>~*~</w:t>
      </w:r>
    </w:p>
    <w:p w:rsidR="006B332C" w:rsidRDefault="00AE1BD0" w:rsidP="006B332C">
      <w:pPr>
        <w:rPr>
          <w:rtl/>
        </w:rPr>
      </w:pPr>
      <w:r>
        <w:rPr>
          <w:rFonts w:hint="cs"/>
          <w:rtl/>
        </w:rPr>
        <w:t>כך</w:t>
      </w:r>
      <w:r w:rsidR="006B332C">
        <w:rPr>
          <w:rFonts w:hint="cs"/>
          <w:rtl/>
        </w:rPr>
        <w:t xml:space="preserve"> היה </w:t>
      </w:r>
      <w:r>
        <w:rPr>
          <w:rFonts w:hint="cs"/>
          <w:rtl/>
        </w:rPr>
        <w:t xml:space="preserve">זה </w:t>
      </w:r>
      <w:r w:rsidR="006B332C">
        <w:rPr>
          <w:rFonts w:hint="cs"/>
          <w:rtl/>
        </w:rPr>
        <w:t xml:space="preserve">נראה אם היינו חוזרים למצרים לאחר כריתת הברית עם ה': היינו חוזרים למצרים לא כעבדי פרעה, אלא כעבדי ה' </w:t>
      </w:r>
      <w:r w:rsidR="006B332C">
        <w:rPr>
          <w:rtl/>
        </w:rPr>
        <w:t>–</w:t>
      </w:r>
      <w:r w:rsidR="006B332C">
        <w:rPr>
          <w:rFonts w:hint="cs"/>
          <w:rtl/>
        </w:rPr>
        <w:t xml:space="preserve"> המכבד את ההסכמים ש</w:t>
      </w:r>
      <w:r w:rsidR="0028771E">
        <w:rPr>
          <w:rFonts w:hint="cs"/>
          <w:rtl/>
        </w:rPr>
        <w:t>נעשו</w:t>
      </w:r>
      <w:r w:rsidR="006B332C">
        <w:rPr>
          <w:rFonts w:hint="cs"/>
          <w:rtl/>
        </w:rPr>
        <w:t xml:space="preserve"> עם שליט של אומה זרה, ולכן במקרה אנחנו עובדים את מצרים </w:t>
      </w:r>
      <w:r w:rsidR="006B332C">
        <w:rPr>
          <w:rtl/>
        </w:rPr>
        <w:t>–</w:t>
      </w:r>
      <w:r w:rsidR="006B332C">
        <w:rPr>
          <w:rFonts w:hint="cs"/>
          <w:rtl/>
        </w:rPr>
        <w:t xml:space="preserve"> אבל באמת היינו עבדיו של ה'. פרעה יכול היה לשעבד את הגוף שלנו, אבל לא לשלוט ברוח שלנו. </w:t>
      </w:r>
    </w:p>
    <w:p w:rsidR="006B332C" w:rsidRPr="001C4E63" w:rsidRDefault="006B332C" w:rsidP="006B332C">
      <w:pPr>
        <w:autoSpaceDE/>
        <w:autoSpaceDN/>
        <w:spacing w:after="50" w:line="240" w:lineRule="atLeast"/>
        <w:rPr>
          <w:rFonts w:cs="Times New Roman"/>
          <w:sz w:val="22"/>
          <w:rtl/>
        </w:rPr>
      </w:pPr>
    </w:p>
    <w:tbl>
      <w:tblPr>
        <w:bidiVisual/>
        <w:tblW w:w="4678" w:type="dxa"/>
        <w:tblInd w:w="192" w:type="dxa"/>
        <w:tblLayout w:type="fixed"/>
        <w:tblLook w:val="0000" w:firstRow="0" w:lastRow="0" w:firstColumn="0" w:lastColumn="0" w:noHBand="0" w:noVBand="0"/>
      </w:tblPr>
      <w:tblGrid>
        <w:gridCol w:w="283"/>
        <w:gridCol w:w="4111"/>
        <w:gridCol w:w="284"/>
      </w:tblGrid>
      <w:tr w:rsidR="006B332C" w:rsidTr="00C24D50">
        <w:tc>
          <w:tcPr>
            <w:tcW w:w="283" w:type="dxa"/>
            <w:tcBorders>
              <w:top w:val="nil"/>
              <w:left w:val="nil"/>
              <w:bottom w:val="nil"/>
              <w:right w:val="nil"/>
            </w:tcBorders>
          </w:tcPr>
          <w:bookmarkEnd w:id="0"/>
          <w:p w:rsidR="006B332C" w:rsidRDefault="006B332C" w:rsidP="00C24D50">
            <w:pPr>
              <w:pStyle w:val="ae"/>
              <w:rPr>
                <w:noProof w:val="0"/>
              </w:rPr>
            </w:pPr>
            <w:r>
              <w:rPr>
                <w:noProof w:val="0"/>
                <w:rtl/>
              </w:rPr>
              <w:t>*</w:t>
            </w:r>
          </w:p>
        </w:tc>
        <w:tc>
          <w:tcPr>
            <w:tcW w:w="4111" w:type="dxa"/>
            <w:tcBorders>
              <w:top w:val="nil"/>
              <w:left w:val="nil"/>
              <w:bottom w:val="nil"/>
              <w:right w:val="nil"/>
            </w:tcBorders>
          </w:tcPr>
          <w:p w:rsidR="006B332C" w:rsidRDefault="006B332C" w:rsidP="00C24D50">
            <w:pPr>
              <w:pStyle w:val="ae"/>
              <w:ind w:left="-170" w:right="-170"/>
              <w:rPr>
                <w:noProof w:val="0"/>
              </w:rPr>
            </w:pPr>
            <w:r>
              <w:rPr>
                <w:noProof w:val="0"/>
                <w:rtl/>
              </w:rPr>
              <w:t>***************************************************************</w:t>
            </w:r>
          </w:p>
        </w:tc>
        <w:tc>
          <w:tcPr>
            <w:tcW w:w="284" w:type="dxa"/>
            <w:tcBorders>
              <w:top w:val="nil"/>
              <w:left w:val="nil"/>
              <w:bottom w:val="nil"/>
              <w:right w:val="nil"/>
            </w:tcBorders>
          </w:tcPr>
          <w:p w:rsidR="006B332C" w:rsidRDefault="006B332C" w:rsidP="00C24D50">
            <w:pPr>
              <w:pStyle w:val="ae"/>
              <w:rPr>
                <w:noProof w:val="0"/>
              </w:rPr>
            </w:pPr>
            <w:r>
              <w:rPr>
                <w:noProof w:val="0"/>
                <w:rtl/>
              </w:rPr>
              <w:t>*</w:t>
            </w:r>
          </w:p>
        </w:tc>
      </w:tr>
      <w:tr w:rsidR="006B332C" w:rsidTr="00C24D50">
        <w:tc>
          <w:tcPr>
            <w:tcW w:w="283" w:type="dxa"/>
            <w:tcBorders>
              <w:top w:val="nil"/>
              <w:left w:val="nil"/>
              <w:bottom w:val="nil"/>
              <w:right w:val="nil"/>
            </w:tcBorders>
          </w:tcPr>
          <w:p w:rsidR="006B332C" w:rsidRDefault="006B332C" w:rsidP="00C24D50">
            <w:pPr>
              <w:pStyle w:val="ae"/>
              <w:rPr>
                <w:noProof w:val="0"/>
              </w:rPr>
            </w:pPr>
            <w:r>
              <w:rPr>
                <w:noProof w:val="0"/>
                <w:rtl/>
              </w:rPr>
              <w:t>* * * * * * * * * *</w:t>
            </w:r>
          </w:p>
        </w:tc>
        <w:tc>
          <w:tcPr>
            <w:tcW w:w="4111" w:type="dxa"/>
            <w:tcBorders>
              <w:top w:val="nil"/>
              <w:left w:val="nil"/>
              <w:bottom w:val="nil"/>
              <w:right w:val="nil"/>
            </w:tcBorders>
          </w:tcPr>
          <w:p w:rsidR="0028771E" w:rsidRDefault="006B332C" w:rsidP="00C24D50">
            <w:pPr>
              <w:pStyle w:val="ae"/>
              <w:rPr>
                <w:noProof w:val="0"/>
                <w:rtl/>
              </w:rPr>
            </w:pPr>
            <w:r>
              <w:rPr>
                <w:noProof w:val="0"/>
                <w:rtl/>
              </w:rPr>
              <w:t>כל הזכויות שמורות לישיבת הר עציון</w:t>
            </w:r>
            <w:r w:rsidR="0028771E">
              <w:rPr>
                <w:rFonts w:hint="cs"/>
                <w:noProof w:val="0"/>
                <w:rtl/>
              </w:rPr>
              <w:t xml:space="preserve"> ולרב יעקב מדן </w:t>
            </w:r>
            <w:proofErr w:type="spellStart"/>
            <w:r w:rsidR="0028771E">
              <w:rPr>
                <w:rFonts w:hint="cs"/>
                <w:noProof w:val="0"/>
                <w:rtl/>
              </w:rPr>
              <w:t>שליט"א</w:t>
            </w:r>
            <w:proofErr w:type="spellEnd"/>
          </w:p>
          <w:p w:rsidR="006B332C" w:rsidRPr="00C5614D" w:rsidRDefault="0028771E" w:rsidP="00C24D50">
            <w:pPr>
              <w:pStyle w:val="ae"/>
              <w:rPr>
                <w:rFonts w:ascii="Times New Roman" w:hAnsi="Times New Roman" w:cs="Times New Roman"/>
                <w:noProof w:val="0"/>
                <w:rtl/>
              </w:rPr>
            </w:pPr>
            <w:r>
              <w:rPr>
                <w:rFonts w:hint="cs"/>
                <w:noProof w:val="0"/>
                <w:rtl/>
              </w:rPr>
              <w:t>עורך: אלישע אורון</w:t>
            </w:r>
            <w:r>
              <w:rPr>
                <w:rFonts w:ascii="Times New Roman" w:hAnsi="Times New Roman" w:cs="Times New Roman" w:hint="cs"/>
                <w:noProof w:val="0"/>
                <w:rtl/>
              </w:rPr>
              <w:t xml:space="preserve"> </w:t>
            </w:r>
          </w:p>
          <w:p w:rsidR="006B332C" w:rsidRDefault="006B332C" w:rsidP="00C24D50">
            <w:pPr>
              <w:pStyle w:val="ae"/>
              <w:rPr>
                <w:noProof w:val="0"/>
                <w:rtl/>
              </w:rPr>
            </w:pPr>
            <w:r>
              <w:rPr>
                <w:noProof w:val="0"/>
                <w:rtl/>
              </w:rPr>
              <w:t>*******************************************************</w:t>
            </w:r>
          </w:p>
          <w:p w:rsidR="006B332C" w:rsidRDefault="006B332C" w:rsidP="00C24D50">
            <w:pPr>
              <w:pStyle w:val="ae"/>
              <w:rPr>
                <w:noProof w:val="0"/>
                <w:rtl/>
              </w:rPr>
            </w:pPr>
          </w:p>
          <w:p w:rsidR="006B332C" w:rsidRDefault="006B332C" w:rsidP="00C24D50">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6B332C" w:rsidRDefault="006B332C" w:rsidP="00C24D50">
            <w:pPr>
              <w:pStyle w:val="ae"/>
              <w:rPr>
                <w:noProof w:val="0"/>
                <w:rtl/>
              </w:rPr>
            </w:pPr>
            <w:r>
              <w:rPr>
                <w:noProof w:val="0"/>
                <w:rtl/>
              </w:rPr>
              <w:t>האתר בעברית:</w:t>
            </w:r>
            <w:r>
              <w:rPr>
                <w:noProof w:val="0"/>
                <w:rtl/>
              </w:rPr>
              <w:tab/>
            </w:r>
            <w:hyperlink r:id="rId6" w:history="1">
              <w:r>
                <w:rPr>
                  <w:rStyle w:val="Hyperlink"/>
                  <w:rFonts w:eastAsiaTheme="majorEastAsia"/>
                </w:rPr>
                <w:t>http://www.etzion.org.il/vbm</w:t>
              </w:r>
            </w:hyperlink>
          </w:p>
          <w:p w:rsidR="006B332C" w:rsidRDefault="006B332C" w:rsidP="00C24D50">
            <w:pPr>
              <w:pStyle w:val="ae"/>
              <w:rPr>
                <w:noProof w:val="0"/>
                <w:rtl/>
              </w:rPr>
            </w:pPr>
            <w:r>
              <w:rPr>
                <w:noProof w:val="0"/>
                <w:rtl/>
              </w:rPr>
              <w:t>האתר באנגלית:</w:t>
            </w:r>
            <w:r>
              <w:rPr>
                <w:noProof w:val="0"/>
                <w:rtl/>
              </w:rPr>
              <w:tab/>
            </w:r>
            <w:hyperlink r:id="rId7" w:history="1">
              <w:r>
                <w:rPr>
                  <w:rStyle w:val="Hyperlink"/>
                  <w:rFonts w:eastAsiaTheme="majorEastAsia"/>
                </w:rPr>
                <w:t>http://www.vbm-torah.org</w:t>
              </w:r>
            </w:hyperlink>
          </w:p>
          <w:p w:rsidR="006B332C" w:rsidRDefault="006B332C" w:rsidP="00C24D50">
            <w:pPr>
              <w:pStyle w:val="ae"/>
              <w:rPr>
                <w:noProof w:val="0"/>
                <w:rtl/>
              </w:rPr>
            </w:pPr>
          </w:p>
          <w:p w:rsidR="006B332C" w:rsidRDefault="006B332C" w:rsidP="00C24D50">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6B332C" w:rsidRDefault="006B332C" w:rsidP="00C24D50">
            <w:pPr>
              <w:pStyle w:val="ae"/>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6B332C" w:rsidRDefault="006B332C" w:rsidP="00C24D50">
            <w:pPr>
              <w:pStyle w:val="ae"/>
              <w:rPr>
                <w:noProof w:val="0"/>
              </w:rPr>
            </w:pPr>
            <w:r>
              <w:rPr>
                <w:noProof w:val="0"/>
                <w:rtl/>
              </w:rPr>
              <w:t xml:space="preserve">* * * * * * * * * * </w:t>
            </w:r>
          </w:p>
        </w:tc>
      </w:tr>
      <w:tr w:rsidR="006B332C" w:rsidTr="00C24D50">
        <w:tc>
          <w:tcPr>
            <w:tcW w:w="283" w:type="dxa"/>
            <w:tcBorders>
              <w:top w:val="nil"/>
              <w:left w:val="nil"/>
              <w:bottom w:val="nil"/>
              <w:right w:val="nil"/>
            </w:tcBorders>
          </w:tcPr>
          <w:p w:rsidR="006B332C" w:rsidRDefault="006B332C" w:rsidP="00C24D50">
            <w:pPr>
              <w:pStyle w:val="ae"/>
              <w:rPr>
                <w:noProof w:val="0"/>
              </w:rPr>
            </w:pPr>
            <w:r>
              <w:rPr>
                <w:noProof w:val="0"/>
                <w:rtl/>
              </w:rPr>
              <w:t>*</w:t>
            </w:r>
          </w:p>
        </w:tc>
        <w:tc>
          <w:tcPr>
            <w:tcW w:w="4111" w:type="dxa"/>
            <w:tcBorders>
              <w:top w:val="nil"/>
              <w:left w:val="nil"/>
              <w:bottom w:val="nil"/>
              <w:right w:val="nil"/>
            </w:tcBorders>
          </w:tcPr>
          <w:p w:rsidR="006B332C" w:rsidRDefault="006B332C" w:rsidP="00C24D50">
            <w:pPr>
              <w:pStyle w:val="ae"/>
              <w:ind w:left="-227" w:right="-227"/>
              <w:rPr>
                <w:noProof w:val="0"/>
              </w:rPr>
            </w:pPr>
            <w:r>
              <w:rPr>
                <w:noProof w:val="0"/>
                <w:rtl/>
              </w:rPr>
              <w:t>***************************************************************</w:t>
            </w:r>
          </w:p>
        </w:tc>
        <w:tc>
          <w:tcPr>
            <w:tcW w:w="284" w:type="dxa"/>
            <w:tcBorders>
              <w:top w:val="nil"/>
              <w:left w:val="nil"/>
              <w:bottom w:val="nil"/>
              <w:right w:val="nil"/>
            </w:tcBorders>
          </w:tcPr>
          <w:p w:rsidR="006B332C" w:rsidRDefault="006B332C" w:rsidP="00C24D50">
            <w:pPr>
              <w:pStyle w:val="ae"/>
              <w:rPr>
                <w:noProof w:val="0"/>
              </w:rPr>
            </w:pPr>
            <w:r>
              <w:rPr>
                <w:noProof w:val="0"/>
                <w:rtl/>
              </w:rPr>
              <w:t>*</w:t>
            </w:r>
          </w:p>
        </w:tc>
      </w:tr>
    </w:tbl>
    <w:p w:rsidR="006B332C" w:rsidRDefault="006B332C" w:rsidP="006B332C">
      <w:pPr>
        <w:rPr>
          <w:sz w:val="21"/>
          <w:rtl/>
        </w:rPr>
      </w:pPr>
    </w:p>
    <w:p w:rsidR="006B332C" w:rsidRDefault="006B332C" w:rsidP="006B332C"/>
    <w:p w:rsidR="003F7890" w:rsidRPr="006B332C" w:rsidRDefault="003F7890" w:rsidP="006B332C"/>
    <w:sectPr w:rsidR="003F7890" w:rsidRPr="006B332C"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8AD" w:rsidRDefault="00BD38AD" w:rsidP="005F7985">
      <w:pPr>
        <w:spacing w:after="0" w:line="240" w:lineRule="auto"/>
      </w:pPr>
      <w:r>
        <w:separator/>
      </w:r>
    </w:p>
  </w:endnote>
  <w:endnote w:type="continuationSeparator" w:id="0">
    <w:p w:rsidR="00BD38AD" w:rsidRDefault="00BD38AD"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8AD" w:rsidRDefault="00BD38AD" w:rsidP="005F7985">
      <w:pPr>
        <w:spacing w:after="0" w:line="240" w:lineRule="auto"/>
      </w:pPr>
      <w:r>
        <w:separator/>
      </w:r>
    </w:p>
  </w:footnote>
  <w:footnote w:type="continuationSeparator" w:id="0">
    <w:p w:rsidR="00BD38AD" w:rsidRDefault="00BD38AD" w:rsidP="005F7985">
      <w:pPr>
        <w:spacing w:after="0" w:line="240" w:lineRule="auto"/>
      </w:pPr>
      <w:r>
        <w:continuationSeparator/>
      </w:r>
    </w:p>
  </w:footnote>
  <w:footnote w:id="1">
    <w:p w:rsidR="006B332C" w:rsidRPr="009A0FB2" w:rsidRDefault="006B332C" w:rsidP="006B332C">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t>השיחה נאמרה בסעודה שלישית בשבת פרשת יתרו תשע"ג. סיכום השיחה לא עבר את ביקורת הרב.</w:t>
      </w:r>
    </w:p>
  </w:footnote>
  <w:footnote w:id="2">
    <w:p w:rsidR="00067E9B" w:rsidRDefault="00067E9B">
      <w:pPr>
        <w:pStyle w:val="a8"/>
      </w:pPr>
      <w:r>
        <w:rPr>
          <w:rStyle w:val="aa"/>
        </w:rPr>
        <w:footnoteRef/>
      </w:r>
      <w:r>
        <w:rPr>
          <w:rtl/>
        </w:rPr>
        <w:t xml:space="preserve"> </w:t>
      </w:r>
      <w:r>
        <w:rPr>
          <w:rFonts w:hint="cs"/>
          <w:rtl/>
        </w:rPr>
        <w:t xml:space="preserve">ראה </w:t>
      </w:r>
      <w:proofErr w:type="spellStart"/>
      <w:r>
        <w:rPr>
          <w:rFonts w:hint="cs"/>
          <w:rtl/>
        </w:rPr>
        <w:t>רא"ש</w:t>
      </w:r>
      <w:proofErr w:type="spellEnd"/>
      <w:r>
        <w:rPr>
          <w:rFonts w:hint="cs"/>
          <w:rtl/>
        </w:rPr>
        <w:t xml:space="preserve"> גיטין, פרק ח' סימן 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5356B">
      <w:rPr>
        <w:b/>
        <w:bCs/>
        <w:noProof/>
        <w:sz w:val="21"/>
        <w:rtl/>
      </w:rPr>
      <w:t>2</w:t>
    </w:r>
    <w:r>
      <w:rPr>
        <w:b/>
        <w:bCs/>
        <w:sz w:val="21"/>
        <w:rtl/>
      </w:rPr>
      <w:fldChar w:fldCharType="end"/>
    </w:r>
    <w:r>
      <w:rPr>
        <w:b/>
        <w:bCs/>
        <w:sz w:val="21"/>
        <w:rtl/>
      </w:rPr>
      <w:t xml:space="preserve"> -</w:t>
    </w:r>
  </w:p>
  <w:p w:rsidR="00C05872" w:rsidRDefault="001535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15356B">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67E9B"/>
    <w:rsid w:val="000D00CA"/>
    <w:rsid w:val="000E5AFD"/>
    <w:rsid w:val="001502DB"/>
    <w:rsid w:val="0015356B"/>
    <w:rsid w:val="001C08DD"/>
    <w:rsid w:val="001F137C"/>
    <w:rsid w:val="00272817"/>
    <w:rsid w:val="0028771E"/>
    <w:rsid w:val="002A394A"/>
    <w:rsid w:val="002D3217"/>
    <w:rsid w:val="00315192"/>
    <w:rsid w:val="0033127E"/>
    <w:rsid w:val="003E768B"/>
    <w:rsid w:val="003F7890"/>
    <w:rsid w:val="00402C36"/>
    <w:rsid w:val="004360C9"/>
    <w:rsid w:val="00455395"/>
    <w:rsid w:val="004829C8"/>
    <w:rsid w:val="005149C3"/>
    <w:rsid w:val="00543BFF"/>
    <w:rsid w:val="00544704"/>
    <w:rsid w:val="005B76C2"/>
    <w:rsid w:val="005E44BA"/>
    <w:rsid w:val="005F7985"/>
    <w:rsid w:val="006064E4"/>
    <w:rsid w:val="0061649C"/>
    <w:rsid w:val="00683AD6"/>
    <w:rsid w:val="006B1EF3"/>
    <w:rsid w:val="006B332C"/>
    <w:rsid w:val="0070000E"/>
    <w:rsid w:val="00707A86"/>
    <w:rsid w:val="0077090A"/>
    <w:rsid w:val="007873C0"/>
    <w:rsid w:val="007C5FA6"/>
    <w:rsid w:val="007E7500"/>
    <w:rsid w:val="00835345"/>
    <w:rsid w:val="00865437"/>
    <w:rsid w:val="008C5B82"/>
    <w:rsid w:val="008D309C"/>
    <w:rsid w:val="009002A5"/>
    <w:rsid w:val="009120C5"/>
    <w:rsid w:val="009215D9"/>
    <w:rsid w:val="0098126F"/>
    <w:rsid w:val="009B70F2"/>
    <w:rsid w:val="009C6C3A"/>
    <w:rsid w:val="009F1F91"/>
    <w:rsid w:val="009F301F"/>
    <w:rsid w:val="00A67BCC"/>
    <w:rsid w:val="00AC4207"/>
    <w:rsid w:val="00AE1BD0"/>
    <w:rsid w:val="00B2236F"/>
    <w:rsid w:val="00B243F4"/>
    <w:rsid w:val="00B65D5E"/>
    <w:rsid w:val="00B7243D"/>
    <w:rsid w:val="00B86A06"/>
    <w:rsid w:val="00BC7C5F"/>
    <w:rsid w:val="00BD38AD"/>
    <w:rsid w:val="00BE1240"/>
    <w:rsid w:val="00C25383"/>
    <w:rsid w:val="00CA3B41"/>
    <w:rsid w:val="00CF363C"/>
    <w:rsid w:val="00D70DEE"/>
    <w:rsid w:val="00E82DA9"/>
    <w:rsid w:val="00EA261D"/>
    <w:rsid w:val="00EA3490"/>
    <w:rsid w:val="00ED4AE0"/>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styleId="af">
    <w:name w:val="footer"/>
    <w:basedOn w:val="a"/>
    <w:link w:val="af0"/>
    <w:uiPriority w:val="99"/>
    <w:unhideWhenUsed/>
    <w:rsid w:val="0015356B"/>
    <w:pPr>
      <w:tabs>
        <w:tab w:val="center" w:pos="4153"/>
        <w:tab w:val="right" w:pos="8306"/>
      </w:tabs>
      <w:spacing w:after="0" w:line="240" w:lineRule="auto"/>
    </w:pPr>
  </w:style>
  <w:style w:type="character" w:customStyle="1" w:styleId="af0">
    <w:name w:val="כותרת תחתונה תו"/>
    <w:basedOn w:val="a0"/>
    <w:link w:val="af"/>
    <w:uiPriority w:val="99"/>
    <w:rsid w:val="0015356B"/>
    <w:rPr>
      <w:rFonts w:ascii="Times New Roman" w:hAnsi="Times New Roman" w:cs="Narkisim"/>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690</Words>
  <Characters>3455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4</cp:revision>
  <dcterms:created xsi:type="dcterms:W3CDTF">2017-02-15T21:53:00Z</dcterms:created>
  <dcterms:modified xsi:type="dcterms:W3CDTF">2017-02-16T10:16:00Z</dcterms:modified>
</cp:coreProperties>
</file>