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D7D4" w14:textId="3A58F936" w:rsidR="004D422D" w:rsidRDefault="004D422D" w:rsidP="008131C8">
      <w:pPr>
        <w:pStyle w:val="a"/>
        <w:rPr>
          <w:sz w:val="26"/>
          <w:szCs w:val="26"/>
        </w:rPr>
      </w:pPr>
      <w:bookmarkStart w:id="0" w:name="_GoBack"/>
      <w:r>
        <w:rPr>
          <w:sz w:val="26"/>
          <w:szCs w:val="26"/>
          <w:rtl/>
        </w:rPr>
        <w:t>הרב</w:t>
      </w:r>
      <w:r>
        <w:rPr>
          <w:rFonts w:hint="cs"/>
          <w:sz w:val="26"/>
          <w:szCs w:val="26"/>
          <w:rtl/>
        </w:rPr>
        <w:t xml:space="preserve"> </w:t>
      </w:r>
      <w:r w:rsidR="008131C8">
        <w:rPr>
          <w:rFonts w:hint="cs"/>
          <w:sz w:val="26"/>
          <w:szCs w:val="26"/>
          <w:rtl/>
        </w:rPr>
        <w:t>יעקב מדן</w:t>
      </w:r>
      <w:r w:rsidR="00564B9B">
        <w:rPr>
          <w:rFonts w:hint="cs"/>
          <w:sz w:val="26"/>
          <w:szCs w:val="26"/>
          <w:rtl/>
        </w:rPr>
        <w:t xml:space="preserve"> שליט"א</w:t>
      </w:r>
    </w:p>
    <w:p w14:paraId="154FC35B" w14:textId="22E6D918" w:rsidR="00891BB3" w:rsidRDefault="00891BB3" w:rsidP="008131C8">
      <w:pPr>
        <w:pStyle w:val="a"/>
        <w:rPr>
          <w:sz w:val="26"/>
          <w:szCs w:val="26"/>
          <w:rtl/>
        </w:rPr>
      </w:pPr>
      <w:r>
        <w:rPr>
          <w:sz w:val="26"/>
          <w:szCs w:val="26"/>
          <w:rtl/>
        </w:rPr>
        <w:t xml:space="preserve">שיחה לפרשת </w:t>
      </w:r>
      <w:r w:rsidR="008131C8">
        <w:rPr>
          <w:rFonts w:hint="cs"/>
          <w:sz w:val="26"/>
          <w:szCs w:val="26"/>
          <w:rtl/>
        </w:rPr>
        <w:t>יתרו</w:t>
      </w:r>
    </w:p>
    <w:p w14:paraId="79F0B865" w14:textId="4501A348" w:rsidR="008131C8" w:rsidRPr="00761263" w:rsidRDefault="008131C8" w:rsidP="008131C8">
      <w:pPr>
        <w:pStyle w:val="Heading1"/>
        <w:rPr>
          <w:sz w:val="22"/>
          <w:szCs w:val="46"/>
        </w:rPr>
      </w:pPr>
      <w:bookmarkStart w:id="1" w:name="OLE_LINK1"/>
      <w:r>
        <w:rPr>
          <w:rFonts w:hint="cs"/>
          <w:sz w:val="38"/>
          <w:szCs w:val="38"/>
          <w:rtl/>
        </w:rPr>
        <w:t>עתה ידעתי כי גדול ה'</w:t>
      </w:r>
      <w:r>
        <w:rPr>
          <w:rStyle w:val="FootnoteReference"/>
          <w:rFonts w:eastAsiaTheme="majorEastAsia" w:hint="cs"/>
          <w:szCs w:val="20"/>
          <w:rtl/>
        </w:rPr>
        <w:footnoteReference w:customMarkFollows="1" w:id="1"/>
        <w:t>*</w:t>
      </w:r>
    </w:p>
    <w:p w14:paraId="7B5E1B62" w14:textId="77777777" w:rsidR="00915D70" w:rsidRDefault="00915D70" w:rsidP="006829FB">
      <w:pPr>
        <w:rPr>
          <w:sz w:val="18"/>
          <w:szCs w:val="20"/>
          <w:rtl/>
        </w:rPr>
      </w:pPr>
    </w:p>
    <w:p w14:paraId="05D3F4C9" w14:textId="59AD85DE" w:rsidR="008131C8" w:rsidRDefault="008131C8" w:rsidP="008131C8">
      <w:pPr>
        <w:pStyle w:val="Quote"/>
        <w:rPr>
          <w:rtl/>
        </w:rPr>
      </w:pPr>
      <w:r>
        <w:rPr>
          <w:rFonts w:hint="cs"/>
          <w:rtl/>
        </w:rPr>
        <w:t>"</w:t>
      </w:r>
      <w:r w:rsidR="00915D70" w:rsidRPr="006C09F8">
        <w:rPr>
          <w:rtl/>
        </w:rPr>
        <w:t>תנא: באותו היום השיב רבי אליעזר כל תשובות שבעולם ולא קיבלו הימנו. אמר להם: אם הלכה כמותי - חרוב זה יוכיח.</w:t>
      </w:r>
      <w:r w:rsidR="00915D70" w:rsidRPr="006C09F8">
        <w:rPr>
          <w:rFonts w:hint="cs"/>
          <w:rtl/>
        </w:rPr>
        <w:t xml:space="preserve"> ... </w:t>
      </w:r>
      <w:r w:rsidR="00915D70" w:rsidRPr="006C09F8">
        <w:rPr>
          <w:rtl/>
        </w:rPr>
        <w:t xml:space="preserve">חזר ואמר להם: אם הלכה כמותי - מן השמים יוכיחו. </w:t>
      </w:r>
      <w:proofErr w:type="spellStart"/>
      <w:r w:rsidR="00915D70" w:rsidRPr="006C09F8">
        <w:rPr>
          <w:rtl/>
        </w:rPr>
        <w:t>יצאתה</w:t>
      </w:r>
      <w:proofErr w:type="spellEnd"/>
      <w:r w:rsidR="00915D70" w:rsidRPr="006C09F8">
        <w:rPr>
          <w:rtl/>
        </w:rPr>
        <w:t xml:space="preserve"> בת קול ואמרה: מה לכם אצל רבי אליעזר שהלכה כמותו בכל מקום! עמד רבי יהושע על רגליו ואמר: לא בשמים היא. - מאי לא בשמים היא? - אמר רבי ירמיה: שכבר נתנה תורה מהר סיני, אין אנו </w:t>
      </w:r>
      <w:proofErr w:type="spellStart"/>
      <w:r w:rsidR="00915D70" w:rsidRPr="006C09F8">
        <w:rPr>
          <w:rtl/>
        </w:rPr>
        <w:t>משגיחין</w:t>
      </w:r>
      <w:proofErr w:type="spellEnd"/>
      <w:r w:rsidR="00915D70" w:rsidRPr="006C09F8">
        <w:rPr>
          <w:rtl/>
        </w:rPr>
        <w:t xml:space="preserve"> בבת קול, שכבר כתב</w:t>
      </w:r>
      <w:r>
        <w:rPr>
          <w:rtl/>
        </w:rPr>
        <w:t>ת בהר סיני בתורה אחרי רבים להטת</w:t>
      </w:r>
      <w:r>
        <w:rPr>
          <w:rFonts w:hint="cs"/>
          <w:rtl/>
        </w:rPr>
        <w:t>."</w:t>
      </w:r>
      <w:r w:rsidR="00915D70">
        <w:rPr>
          <w:rFonts w:hint="cs"/>
          <w:rtl/>
        </w:rPr>
        <w:t xml:space="preserve"> </w:t>
      </w:r>
    </w:p>
    <w:p w14:paraId="644D6746" w14:textId="16355862" w:rsidR="00915D70" w:rsidRPr="006C09F8" w:rsidRDefault="008131C8" w:rsidP="008131C8">
      <w:pPr>
        <w:pStyle w:val="Quote"/>
        <w:jc w:val="right"/>
        <w:rPr>
          <w:rtl/>
        </w:rPr>
      </w:pPr>
      <w:r>
        <w:rPr>
          <w:rFonts w:hint="cs"/>
          <w:rtl/>
        </w:rPr>
        <w:t>(בבלי בבא מציעא נט ע"ב</w:t>
      </w:r>
      <w:r w:rsidR="00915D70">
        <w:rPr>
          <w:rFonts w:hint="cs"/>
          <w:rtl/>
        </w:rPr>
        <w:t>)</w:t>
      </w:r>
    </w:p>
    <w:bookmarkEnd w:id="0"/>
    <w:p w14:paraId="2CA230D2" w14:textId="77777777" w:rsidR="00915D70" w:rsidRPr="006C09F8" w:rsidRDefault="00915D70" w:rsidP="008131C8">
      <w:pPr>
        <w:rPr>
          <w:rtl/>
        </w:rPr>
      </w:pPr>
      <w:r w:rsidRPr="006C09F8">
        <w:rPr>
          <w:rFonts w:hint="cs"/>
          <w:rtl/>
        </w:rPr>
        <w:t xml:space="preserve">קטע מפורסם זה הוא חלק מסיפור על תנורו של עכנאי. בקטע מתוארת מחלוקת יסודית בין ר' אליעזר </w:t>
      </w:r>
      <w:proofErr w:type="spellStart"/>
      <w:r w:rsidRPr="006C09F8">
        <w:rPr>
          <w:rFonts w:hint="cs"/>
          <w:rtl/>
        </w:rPr>
        <w:t>לר</w:t>
      </w:r>
      <w:proofErr w:type="spellEnd"/>
      <w:r w:rsidRPr="006C09F8">
        <w:rPr>
          <w:rFonts w:hint="cs"/>
          <w:rtl/>
        </w:rPr>
        <w:t>' יהושע. לפי ר' אליעזר הלכה נקבעת מהשמיים, ואילו לפי ר' יהושע ההלכה היא מערכת ארצית עליה ממונים בני אדם.</w:t>
      </w:r>
    </w:p>
    <w:p w14:paraId="2461DD38" w14:textId="77777777" w:rsidR="00915D70" w:rsidRPr="006C09F8" w:rsidRDefault="00915D70" w:rsidP="008131C8">
      <w:pPr>
        <w:rPr>
          <w:rtl/>
        </w:rPr>
      </w:pPr>
      <w:r w:rsidRPr="006C09F8">
        <w:rPr>
          <w:rFonts w:hint="cs"/>
          <w:rtl/>
        </w:rPr>
        <w:t>נדמה שניתן בקלות לקשר מחלוקת זו למחלוקת אחרת של אותם תנאים בהקשר לפסוק הפתיחה של פרשתנו:</w:t>
      </w:r>
    </w:p>
    <w:p w14:paraId="6074409F" w14:textId="77777777" w:rsidR="008131C8" w:rsidRDefault="008131C8" w:rsidP="008131C8">
      <w:pPr>
        <w:pStyle w:val="Quote"/>
        <w:rPr>
          <w:rtl/>
        </w:rPr>
      </w:pPr>
      <w:r>
        <w:rPr>
          <w:rFonts w:hint="cs"/>
          <w:rtl/>
        </w:rPr>
        <w:t>"</w:t>
      </w:r>
      <w:r w:rsidR="00915D70" w:rsidRPr="006C09F8">
        <w:rPr>
          <w:rtl/>
        </w:rPr>
        <w:t xml:space="preserve">וַיִּשְׁמַע יִתְרוֹ כֹהֵן מִדְיָן חֹתֵן מֹשֶׁה אֵת כָּל אֲשֶׁר עָשָׂה </w:t>
      </w:r>
      <w:proofErr w:type="spellStart"/>
      <w:r w:rsidR="00915D70" w:rsidRPr="006C09F8">
        <w:rPr>
          <w:rtl/>
        </w:rPr>
        <w:t>אֱלֹהִים</w:t>
      </w:r>
      <w:proofErr w:type="spellEnd"/>
      <w:r w:rsidR="00915D70" w:rsidRPr="006C09F8">
        <w:rPr>
          <w:rtl/>
        </w:rPr>
        <w:t xml:space="preserve"> לְמֹשֶׁה וּלְיִש</w:t>
      </w:r>
      <w:r>
        <w:rPr>
          <w:rtl/>
        </w:rPr>
        <w:t xml:space="preserve">ְׂרָאֵל עַמּוֹ כִּי הוֹצִיא </w:t>
      </w:r>
      <w:r>
        <w:rPr>
          <w:rFonts w:hint="cs"/>
          <w:rtl/>
        </w:rPr>
        <w:t>ה'</w:t>
      </w:r>
      <w:r>
        <w:rPr>
          <w:rtl/>
        </w:rPr>
        <w:t xml:space="preserve"> אֶת יִשְׂרָאֵל מִמִּצְרָיִם</w:t>
      </w:r>
      <w:r>
        <w:rPr>
          <w:rFonts w:hint="cs"/>
          <w:rtl/>
        </w:rPr>
        <w:t>."</w:t>
      </w:r>
      <w:r w:rsidR="00915D70" w:rsidRPr="006C09F8">
        <w:rPr>
          <w:rFonts w:hint="cs"/>
          <w:rtl/>
        </w:rPr>
        <w:t xml:space="preserve"> </w:t>
      </w:r>
    </w:p>
    <w:p w14:paraId="48645CC5" w14:textId="14618B0F" w:rsidR="00915D70" w:rsidRPr="006C09F8" w:rsidRDefault="008131C8" w:rsidP="008131C8">
      <w:pPr>
        <w:pStyle w:val="Quote"/>
        <w:jc w:val="right"/>
        <w:rPr>
          <w:rtl/>
        </w:rPr>
      </w:pPr>
      <w:r>
        <w:rPr>
          <w:rFonts w:hint="cs"/>
          <w:rtl/>
        </w:rPr>
        <w:t>(שמות י</w:t>
      </w:r>
      <w:r w:rsidR="00915D70" w:rsidRPr="006C09F8">
        <w:rPr>
          <w:rFonts w:hint="cs"/>
          <w:rtl/>
        </w:rPr>
        <w:t>"ח</w:t>
      </w:r>
      <w:r>
        <w:rPr>
          <w:rFonts w:hint="cs"/>
          <w:rtl/>
        </w:rPr>
        <w:t>, א</w:t>
      </w:r>
      <w:r w:rsidR="00915D70" w:rsidRPr="006C09F8">
        <w:rPr>
          <w:rFonts w:hint="cs"/>
          <w:rtl/>
        </w:rPr>
        <w:t>)</w:t>
      </w:r>
    </w:p>
    <w:p w14:paraId="1E397529" w14:textId="2DEBE9E9" w:rsidR="008131C8" w:rsidRDefault="008131C8" w:rsidP="008131C8">
      <w:pPr>
        <w:pStyle w:val="Quote"/>
        <w:rPr>
          <w:rtl/>
        </w:rPr>
      </w:pPr>
      <w:r>
        <w:rPr>
          <w:rFonts w:hint="cs"/>
          <w:rtl/>
        </w:rPr>
        <w:t>"</w:t>
      </w:r>
      <w:r w:rsidR="00915D70" w:rsidRPr="006C09F8">
        <w:rPr>
          <w:rtl/>
        </w:rPr>
        <w:t xml:space="preserve">וישמע יתרו כהן מדין - מה שמועה שמע ובא ונתגייר? ר' יהושע אומר: מלחמת עמלק שמע, שהרי כתיב בצדו: </w:t>
      </w:r>
      <w:proofErr w:type="spellStart"/>
      <w:r w:rsidR="00915D70" w:rsidRPr="006C09F8">
        <w:rPr>
          <w:rtl/>
        </w:rPr>
        <w:t>ויחלש</w:t>
      </w:r>
      <w:proofErr w:type="spellEnd"/>
      <w:r w:rsidR="00915D70" w:rsidRPr="006C09F8">
        <w:rPr>
          <w:rtl/>
        </w:rPr>
        <w:t xml:space="preserve"> יהושע את עמלק ואת עמו לפי חרב;</w:t>
      </w:r>
      <w:r w:rsidR="00915D70" w:rsidRPr="006C09F8">
        <w:rPr>
          <w:rFonts w:hint="cs"/>
          <w:rtl/>
        </w:rPr>
        <w:t xml:space="preserve"> .. </w:t>
      </w:r>
      <w:r w:rsidR="00915D70" w:rsidRPr="006C09F8">
        <w:rPr>
          <w:rtl/>
        </w:rPr>
        <w:t xml:space="preserve">ר"א אומר: קריעת ים סוף שמע ובא, </w:t>
      </w:r>
      <w:r>
        <w:rPr>
          <w:rtl/>
        </w:rPr>
        <w:t>שנא': ויהי כשמוע כל מלכי האמורי</w:t>
      </w:r>
      <w:r>
        <w:rPr>
          <w:rFonts w:hint="cs"/>
          <w:rtl/>
        </w:rPr>
        <w:t>."</w:t>
      </w:r>
    </w:p>
    <w:p w14:paraId="56812462" w14:textId="346CB333" w:rsidR="00915D70" w:rsidRPr="006C09F8" w:rsidRDefault="008131C8" w:rsidP="008131C8">
      <w:pPr>
        <w:pStyle w:val="Quote"/>
        <w:jc w:val="right"/>
        <w:rPr>
          <w:rtl/>
        </w:rPr>
      </w:pPr>
      <w:r>
        <w:rPr>
          <w:rFonts w:hint="cs"/>
          <w:rtl/>
        </w:rPr>
        <w:t xml:space="preserve">(בבלי זבחים </w:t>
      </w:r>
      <w:proofErr w:type="spellStart"/>
      <w:r>
        <w:rPr>
          <w:rFonts w:hint="cs"/>
          <w:rtl/>
        </w:rPr>
        <w:t>קטז</w:t>
      </w:r>
      <w:proofErr w:type="spellEnd"/>
      <w:r>
        <w:rPr>
          <w:rFonts w:hint="cs"/>
          <w:rtl/>
        </w:rPr>
        <w:t xml:space="preserve"> ע"א</w:t>
      </w:r>
      <w:r w:rsidR="00915D70">
        <w:rPr>
          <w:rFonts w:hint="cs"/>
          <w:rtl/>
        </w:rPr>
        <w:t>)</w:t>
      </w:r>
    </w:p>
    <w:p w14:paraId="2AFA77E1" w14:textId="08AA9130" w:rsidR="00915D70" w:rsidRPr="006C09F8" w:rsidRDefault="00915D70" w:rsidP="002D18DD">
      <w:pPr>
        <w:rPr>
          <w:rtl/>
        </w:rPr>
      </w:pPr>
      <w:r w:rsidRPr="006C09F8">
        <w:rPr>
          <w:rFonts w:hint="cs"/>
          <w:rtl/>
        </w:rPr>
        <w:lastRenderedPageBreak/>
        <w:t xml:space="preserve">לפי ר' יהושע השמועה שהביאה את יתרו היא על מלחמת עמלק. לעומתו, ר' אליעזר סובר שהשמועה היא על קריעת ים סוף. כאמור, מסתבר לומר ששורש המחלוקת דומה. גם כאן ר' יהושע סובר שהנס הגדול יותר, מה שיותר סביר שיגרום לגויים לדבוק בה' הוא דווקא </w:t>
      </w:r>
      <w:r w:rsidR="002D18DD">
        <w:rPr>
          <w:rFonts w:hint="cs"/>
          <w:rtl/>
        </w:rPr>
        <w:t>אירועים</w:t>
      </w:r>
      <w:r w:rsidRPr="006C09F8">
        <w:rPr>
          <w:rFonts w:hint="cs"/>
          <w:rtl/>
        </w:rPr>
        <w:t xml:space="preserve"> יותר ארציים כמו מלחמת עמלק, ולא</w:t>
      </w:r>
      <w:r w:rsidR="002D18DD">
        <w:rPr>
          <w:rFonts w:hint="cs"/>
          <w:rtl/>
        </w:rPr>
        <w:t xml:space="preserve"> ניסים</w:t>
      </w:r>
      <w:r w:rsidRPr="006C09F8">
        <w:rPr>
          <w:rFonts w:hint="cs"/>
          <w:rtl/>
        </w:rPr>
        <w:t>, כקריעת ים סוף. בהקשר זה נזכיר שוודאי שגם במלחמת עמלק היה נס, "ידי משה" שיחקו תפקיד משמעותי, אבל הם היו במרחק מהק</w:t>
      </w:r>
      <w:r>
        <w:rPr>
          <w:rFonts w:hint="cs"/>
          <w:rtl/>
        </w:rPr>
        <w:t>רב עצמו, שנערך ע"י לוחמים אנושיי</w:t>
      </w:r>
      <w:r w:rsidR="002D18DD">
        <w:rPr>
          <w:rFonts w:hint="cs"/>
          <w:rtl/>
        </w:rPr>
        <w:t xml:space="preserve">ם </w:t>
      </w:r>
      <w:proofErr w:type="spellStart"/>
      <w:r w:rsidR="002D18DD">
        <w:rPr>
          <w:rFonts w:hint="cs"/>
          <w:rtl/>
        </w:rPr>
        <w:t>מעמ"י</w:t>
      </w:r>
      <w:proofErr w:type="spellEnd"/>
      <w:r w:rsidR="002D18DD">
        <w:rPr>
          <w:rFonts w:hint="cs"/>
          <w:rtl/>
        </w:rPr>
        <w:t xml:space="preserve">, </w:t>
      </w:r>
      <w:r>
        <w:rPr>
          <w:rFonts w:hint="cs"/>
          <w:rtl/>
        </w:rPr>
        <w:t>להבדיל</w:t>
      </w:r>
      <w:r w:rsidRPr="006C09F8">
        <w:rPr>
          <w:rFonts w:hint="cs"/>
          <w:rtl/>
        </w:rPr>
        <w:t xml:space="preserve"> מקריעת ים סו</w:t>
      </w:r>
      <w:r w:rsidR="002D18DD">
        <w:rPr>
          <w:rFonts w:hint="cs"/>
          <w:rtl/>
        </w:rPr>
        <w:t xml:space="preserve">ף, בה לא היה </w:t>
      </w:r>
      <w:proofErr w:type="spellStart"/>
      <w:r w:rsidR="002D18DD">
        <w:rPr>
          <w:rFonts w:hint="cs"/>
          <w:rtl/>
        </w:rPr>
        <w:t>מימד</w:t>
      </w:r>
      <w:proofErr w:type="spellEnd"/>
      <w:r w:rsidR="002D18DD">
        <w:rPr>
          <w:rFonts w:hint="cs"/>
          <w:rtl/>
        </w:rPr>
        <w:t xml:space="preserve"> ארצי כלל.</w:t>
      </w:r>
      <w:r w:rsidRPr="006C09F8">
        <w:rPr>
          <w:rFonts w:hint="cs"/>
          <w:rtl/>
        </w:rPr>
        <w:t xml:space="preserve"> </w:t>
      </w:r>
      <w:r w:rsidR="002D18DD">
        <w:rPr>
          <w:rFonts w:hint="cs"/>
          <w:rtl/>
        </w:rPr>
        <w:t xml:space="preserve">ר' אליעזר סובר בדיוק את ההיפך </w:t>
      </w:r>
      <w:r w:rsidR="002D18DD">
        <w:rPr>
          <w:rtl/>
        </w:rPr>
        <w:t>–</w:t>
      </w:r>
      <w:r w:rsidR="002D18DD">
        <w:rPr>
          <w:rFonts w:hint="cs"/>
          <w:rtl/>
        </w:rPr>
        <w:t xml:space="preserve"> </w:t>
      </w:r>
      <w:r w:rsidRPr="006C09F8">
        <w:rPr>
          <w:rFonts w:hint="cs"/>
          <w:rtl/>
        </w:rPr>
        <w:t>ככל שהנס יותר גלוי וחריג כך הוא יותר מרשים, כך הוא יוצר קידוש ה' רב יותר בקרב העמים. אם נרצה לכנות את זה בשמות קוד אפשר לשאול מה יותר מרשים, הניסים העל-טבעיים בפסח א</w:t>
      </w:r>
      <w:r>
        <w:rPr>
          <w:rFonts w:hint="cs"/>
          <w:rtl/>
        </w:rPr>
        <w:t>ו הניסים הטבעיים בחנוכה ובפורים</w:t>
      </w:r>
      <w:r w:rsidRPr="006C09F8">
        <w:rPr>
          <w:rFonts w:hint="cs"/>
          <w:rtl/>
        </w:rPr>
        <w:t>, שעירבו מלחמה ממשית.</w:t>
      </w:r>
    </w:p>
    <w:p w14:paraId="65D5AC82" w14:textId="5AD04FC3" w:rsidR="00915D70" w:rsidRPr="006C09F8" w:rsidRDefault="00915D70" w:rsidP="002D18DD">
      <w:pPr>
        <w:rPr>
          <w:rtl/>
        </w:rPr>
      </w:pPr>
      <w:r w:rsidRPr="006C09F8">
        <w:rPr>
          <w:rFonts w:hint="cs"/>
          <w:rtl/>
        </w:rPr>
        <w:t>לכאורה סברת</w:t>
      </w:r>
      <w:r w:rsidR="002D18DD">
        <w:rPr>
          <w:rFonts w:hint="cs"/>
          <w:rtl/>
        </w:rPr>
        <w:t xml:space="preserve">ו של ר' אליעזר הרבה יותר מובנת. </w:t>
      </w:r>
      <w:r w:rsidRPr="006C09F8">
        <w:rPr>
          <w:rFonts w:hint="cs"/>
          <w:rtl/>
        </w:rPr>
        <w:t>באמת לכאורה ככל שהנס יותר מרשים יותר, פחות טבעי, כך הוא יוצר התפעלות רבה יו</w:t>
      </w:r>
      <w:r w:rsidR="002D18DD">
        <w:rPr>
          <w:rFonts w:hint="cs"/>
          <w:rtl/>
        </w:rPr>
        <w:t>תר. כנראה שר' יהושע יטען,</w:t>
      </w:r>
      <w:r w:rsidRPr="006C09F8">
        <w:rPr>
          <w:rFonts w:hint="cs"/>
          <w:rtl/>
        </w:rPr>
        <w:t xml:space="preserve"> שאמנם ההשפעה של התערבות ברורה של ה' חזקה יותר, אבל היא </w:t>
      </w:r>
      <w:proofErr w:type="spellStart"/>
      <w:r w:rsidRPr="006C09F8">
        <w:rPr>
          <w:rFonts w:hint="cs"/>
          <w:rtl/>
        </w:rPr>
        <w:t>מיידית</w:t>
      </w:r>
      <w:proofErr w:type="spellEnd"/>
      <w:r w:rsidRPr="006C09F8">
        <w:rPr>
          <w:rFonts w:hint="cs"/>
          <w:rtl/>
        </w:rPr>
        <w:t xml:space="preserve"> בלבד. אם רוצים ליצור שינוי עמדה ארוך טווח עדיף להשאיר את רמת ההתערבות האלוקית נמוכה. ניתן להגיד שגישה אחת מאפיינת את הציבור הדתי לאומי ושנייה את הציבור החרדי,</w:t>
      </w:r>
      <w:r>
        <w:rPr>
          <w:rFonts w:hint="cs"/>
          <w:rtl/>
        </w:rPr>
        <w:t xml:space="preserve"> בכל אופן</w:t>
      </w:r>
      <w:r w:rsidRPr="006C09F8">
        <w:rPr>
          <w:rFonts w:hint="cs"/>
          <w:rtl/>
        </w:rPr>
        <w:t xml:space="preserve"> שתי הגישות טובות, מטרתנו אינה להכריע בין השתיים.</w:t>
      </w:r>
    </w:p>
    <w:p w14:paraId="4B6E67DF" w14:textId="77777777" w:rsidR="00915D70" w:rsidRPr="006C09F8" w:rsidRDefault="00915D70" w:rsidP="002D18DD">
      <w:pPr>
        <w:rPr>
          <w:rtl/>
        </w:rPr>
      </w:pPr>
      <w:r w:rsidRPr="006C09F8">
        <w:rPr>
          <w:rFonts w:hint="cs"/>
          <w:rtl/>
        </w:rPr>
        <w:t>בהקשר הזה, ראוי ל</w:t>
      </w:r>
      <w:r>
        <w:rPr>
          <w:rFonts w:hint="cs"/>
          <w:rtl/>
        </w:rPr>
        <w:t>ציין מדרש שעל פניו מציג גישה תמוהה</w:t>
      </w:r>
      <w:r w:rsidRPr="006C09F8">
        <w:rPr>
          <w:rFonts w:hint="cs"/>
          <w:rtl/>
        </w:rPr>
        <w:t>:</w:t>
      </w:r>
    </w:p>
    <w:p w14:paraId="01CEC3DC" w14:textId="77777777" w:rsidR="002D18DD" w:rsidRDefault="002D18DD" w:rsidP="002D18DD">
      <w:pPr>
        <w:pStyle w:val="Quote"/>
        <w:rPr>
          <w:rtl/>
        </w:rPr>
      </w:pPr>
      <w:r>
        <w:rPr>
          <w:rFonts w:hint="cs"/>
          <w:rtl/>
        </w:rPr>
        <w:t>"</w:t>
      </w:r>
      <w:r w:rsidR="00915D70" w:rsidRPr="006C09F8">
        <w:rPr>
          <w:rtl/>
        </w:rPr>
        <w:t xml:space="preserve">אמר רבי יהודה בר סימון מוכתב היה יתרו </w:t>
      </w:r>
      <w:proofErr w:type="spellStart"/>
      <w:r w:rsidR="00915D70" w:rsidRPr="006C09F8">
        <w:rPr>
          <w:rtl/>
        </w:rPr>
        <w:t>מאסרטיא</w:t>
      </w:r>
      <w:proofErr w:type="spellEnd"/>
      <w:r>
        <w:rPr>
          <w:rtl/>
        </w:rPr>
        <w:t xml:space="preserve"> של עמלק, וכיון שנפל בא ונתגייר</w:t>
      </w:r>
      <w:r>
        <w:rPr>
          <w:rFonts w:hint="cs"/>
          <w:rtl/>
        </w:rPr>
        <w:t>."</w:t>
      </w:r>
    </w:p>
    <w:p w14:paraId="70C7CD98" w14:textId="743C73B5" w:rsidR="00915D70" w:rsidRPr="006C09F8" w:rsidRDefault="00915D70" w:rsidP="002D18DD">
      <w:pPr>
        <w:pStyle w:val="Quote"/>
        <w:jc w:val="right"/>
        <w:rPr>
          <w:rtl/>
        </w:rPr>
      </w:pPr>
      <w:r w:rsidRPr="006C09F8">
        <w:rPr>
          <w:rFonts w:hint="cs"/>
          <w:rtl/>
        </w:rPr>
        <w:t xml:space="preserve"> (מדרש שמואל פרשה י"ב)</w:t>
      </w:r>
    </w:p>
    <w:p w14:paraId="461F00BE" w14:textId="77777777" w:rsidR="00915D70" w:rsidRPr="006C09F8" w:rsidRDefault="00915D70" w:rsidP="002D18DD">
      <w:pPr>
        <w:rPr>
          <w:rtl/>
        </w:rPr>
      </w:pPr>
      <w:r w:rsidRPr="006C09F8">
        <w:rPr>
          <w:rFonts w:hint="cs"/>
          <w:rtl/>
        </w:rPr>
        <w:t>לכאורה אלו דברי פליאה. לפי המדרש, יתרו היה מצביא בצבא עמלק. אנחנו רגילים לתפוס את דמותו של יתרו כדמות חיובית וטובה, אז איך המדרש מתאר אותה בתור דמות שלילית? על זה ניתן להציע שני הסברים:</w:t>
      </w:r>
    </w:p>
    <w:p w14:paraId="4CCB6616" w14:textId="77777777" w:rsidR="002D18DD" w:rsidRDefault="00915D70" w:rsidP="002D18DD">
      <w:pPr>
        <w:pStyle w:val="ListParagraph"/>
        <w:numPr>
          <w:ilvl w:val="0"/>
          <w:numId w:val="13"/>
        </w:numPr>
      </w:pPr>
      <w:r w:rsidRPr="006C09F8">
        <w:rPr>
          <w:rFonts w:hint="cs"/>
          <w:rtl/>
        </w:rPr>
        <w:t>בשמואל א' פרק ט"ו מתואר מצב של חיבור בין שבטו של יתרו, שבט הקיני, לעמלק: "</w:t>
      </w:r>
      <w:r w:rsidRPr="006C09F8">
        <w:rPr>
          <w:rtl/>
        </w:rPr>
        <w:t xml:space="preserve">וַיֹּאמֶר שָׁאוּל אֶל הַקֵּינִי לְכוּ סֻּרוּ רְדוּ מִתּוֹךְ עֲמָלֵקִי פֶּן אֹסִפְךָ עִמּוֹ וְאַתָּה </w:t>
      </w:r>
      <w:proofErr w:type="spellStart"/>
      <w:r w:rsidRPr="006C09F8">
        <w:rPr>
          <w:rtl/>
        </w:rPr>
        <w:t>עָשִׂיתָה</w:t>
      </w:r>
      <w:proofErr w:type="spellEnd"/>
      <w:r w:rsidRPr="006C09F8">
        <w:rPr>
          <w:rtl/>
        </w:rPr>
        <w:t xml:space="preserve"> חֶסֶד עִם כָּל בְּנֵי יִשְׂרָאֵל בַּעֲלוֹתָם מִמִּצְרָיִם וַיָּסַר קֵינִי מִתּוֹךְ עֲמָלֵק</w:t>
      </w:r>
      <w:r w:rsidRPr="006C09F8">
        <w:rPr>
          <w:rFonts w:hint="cs"/>
          <w:rtl/>
        </w:rPr>
        <w:t>". כלומר, התנ"ך כן מתאר ק</w:t>
      </w:r>
      <w:r w:rsidR="002D18DD">
        <w:rPr>
          <w:rFonts w:hint="cs"/>
          <w:rtl/>
        </w:rPr>
        <w:t>שר כלשהו בין יתרו וצאצאיו לעמלק</w:t>
      </w:r>
    </w:p>
    <w:p w14:paraId="0ACDEFD1" w14:textId="0A5E1315" w:rsidR="00915D70" w:rsidRPr="002D18DD" w:rsidRDefault="002D18DD" w:rsidP="002D18DD">
      <w:pPr>
        <w:pStyle w:val="ListParagraph"/>
        <w:numPr>
          <w:ilvl w:val="0"/>
          <w:numId w:val="13"/>
        </w:numPr>
      </w:pPr>
      <w:r>
        <w:rPr>
          <w:rFonts w:hint="cs"/>
          <w:rtl/>
        </w:rPr>
        <w:lastRenderedPageBreak/>
        <w:t>ת</w:t>
      </w:r>
      <w:r w:rsidR="00915D70" w:rsidRPr="002D18DD">
        <w:rPr>
          <w:rFonts w:hint="cs"/>
          <w:rtl/>
        </w:rPr>
        <w:t>חילת הפרשה תמוהה מאוד. מתואר שצפורה ושני בני משה מגיעים עם יתרו, אבל התורה תיארה כבר איך הם מצטרפים למשה בדרך למצרים. מה קרה באמצע? יש לשאלה ז</w:t>
      </w:r>
      <w:r>
        <w:rPr>
          <w:rFonts w:hint="cs"/>
          <w:rtl/>
        </w:rPr>
        <w:t>ו הצעות רבות</w:t>
      </w:r>
      <w:r w:rsidR="00915D70" w:rsidRPr="002D18DD">
        <w:rPr>
          <w:rFonts w:hint="cs"/>
          <w:rtl/>
        </w:rPr>
        <w:t xml:space="preserve"> </w:t>
      </w:r>
      <w:r>
        <w:rPr>
          <w:rFonts w:hint="cs"/>
          <w:rtl/>
        </w:rPr>
        <w:t>ו</w:t>
      </w:r>
      <w:r w:rsidR="00915D70" w:rsidRPr="002D18DD">
        <w:rPr>
          <w:rFonts w:hint="cs"/>
          <w:rtl/>
        </w:rPr>
        <w:t xml:space="preserve">נדמה שהמדרש הזה מנסה לספר סיפור של פרידה כאובה בין משה לציפורה. במקרה כזה, אולי יותר מובנת טינתו של יתרו למשה בפרט </w:t>
      </w:r>
      <w:proofErr w:type="spellStart"/>
      <w:r w:rsidR="00915D70" w:rsidRPr="002D18DD">
        <w:rPr>
          <w:rFonts w:hint="cs"/>
          <w:rtl/>
        </w:rPr>
        <w:t>ולעמ"י</w:t>
      </w:r>
      <w:proofErr w:type="spellEnd"/>
      <w:r w:rsidR="00915D70" w:rsidRPr="002D18DD">
        <w:rPr>
          <w:rFonts w:hint="cs"/>
          <w:rtl/>
        </w:rPr>
        <w:t xml:space="preserve"> בכלל.</w:t>
      </w:r>
    </w:p>
    <w:p w14:paraId="59CD8FA6" w14:textId="77777777" w:rsidR="00915D70" w:rsidRPr="006C09F8" w:rsidRDefault="00915D70" w:rsidP="002D18DD">
      <w:r w:rsidRPr="006C09F8">
        <w:rPr>
          <w:rFonts w:hint="cs"/>
          <w:rtl/>
        </w:rPr>
        <w:t xml:space="preserve">חוץ מקושי זה, נדמה שיש בעייתיות אחרת במדרש, והיא, האם באמת תיתכן מציאות כזו בה המצביא של צבא שמנוצח במערכה מצטרף לצבא המנצח, אלו שהיו אויביו עד רגעים מספר? נדמה שזו </w:t>
      </w:r>
      <w:proofErr w:type="spellStart"/>
      <w:r w:rsidRPr="006C09F8">
        <w:rPr>
          <w:rFonts w:hint="cs"/>
          <w:rtl/>
        </w:rPr>
        <w:t>סברא</w:t>
      </w:r>
      <w:proofErr w:type="spellEnd"/>
      <w:r w:rsidRPr="006C09F8">
        <w:rPr>
          <w:rFonts w:hint="cs"/>
          <w:rtl/>
        </w:rPr>
        <w:t xml:space="preserve"> פרועה, שלא עולה בקנה אחד עם התרשמותנו מהשטח.</w:t>
      </w:r>
    </w:p>
    <w:p w14:paraId="0832CC6B" w14:textId="77777777" w:rsidR="00915D70" w:rsidRPr="00CA66C7" w:rsidRDefault="00915D70" w:rsidP="00CA66C7">
      <w:pPr>
        <w:pStyle w:val="Heading2"/>
        <w:rPr>
          <w:rtl/>
        </w:rPr>
      </w:pPr>
      <w:r w:rsidRPr="00CA66C7">
        <w:rPr>
          <w:rFonts w:hint="cs"/>
          <w:rtl/>
        </w:rPr>
        <w:t>בימים ההם בזמן הזה</w:t>
      </w:r>
    </w:p>
    <w:p w14:paraId="5C8C0487" w14:textId="638A96D7" w:rsidR="00915D70" w:rsidRPr="006C09F8" w:rsidRDefault="00915D70" w:rsidP="002D18DD">
      <w:pPr>
        <w:rPr>
          <w:rtl/>
        </w:rPr>
      </w:pPr>
      <w:r w:rsidRPr="006C09F8">
        <w:rPr>
          <w:rFonts w:hint="cs"/>
          <w:rtl/>
        </w:rPr>
        <w:t xml:space="preserve"> החל מתקופה קצרה אחרי הצהרת בלפור יחס בריטניה כלפי היהודים התחיל להתדרדר.</w:t>
      </w:r>
      <w:r w:rsidR="002D18DD">
        <w:rPr>
          <w:rFonts w:hint="cs"/>
          <w:rtl/>
        </w:rPr>
        <w:t xml:space="preserve"> הדבר</w:t>
      </w:r>
      <w:r w:rsidRPr="006C09F8">
        <w:rPr>
          <w:rFonts w:hint="cs"/>
          <w:rtl/>
        </w:rPr>
        <w:t xml:space="preserve"> בא לידי ביטוי במקרים רבים אותם לא נזכיר כעת. בתור ראשי פרקים ניתן למנות את ההתנערות מההצהרה המקורית המעניקה ליהודים גם את עבר הירדן המזרחי, את </w:t>
      </w:r>
      <w:proofErr w:type="spellStart"/>
      <w:r w:rsidRPr="006C09F8">
        <w:rPr>
          <w:rFonts w:hint="cs"/>
          <w:rtl/>
        </w:rPr>
        <w:t>אוניות</w:t>
      </w:r>
      <w:proofErr w:type="spellEnd"/>
      <w:r w:rsidRPr="006C09F8">
        <w:rPr>
          <w:rFonts w:hint="cs"/>
          <w:rtl/>
        </w:rPr>
        <w:t xml:space="preserve"> המעפילים הרבות שנדחו סמוך לחופי ישראל במקרה הטוב או הוטבעו במקרה הרע, את החתימה על הספר הלבן המגביל בצורה דרסטית את מספר היהודים היכולים לעלות, </w:t>
      </w:r>
      <w:proofErr w:type="spellStart"/>
      <w:r w:rsidRPr="006C09F8">
        <w:rPr>
          <w:rFonts w:hint="cs"/>
          <w:rtl/>
        </w:rPr>
        <w:t>וכו</w:t>
      </w:r>
      <w:proofErr w:type="spellEnd"/>
      <w:r w:rsidRPr="006C09F8">
        <w:rPr>
          <w:rFonts w:hint="cs"/>
          <w:rtl/>
        </w:rPr>
        <w:t>'.</w:t>
      </w:r>
    </w:p>
    <w:p w14:paraId="070B4C73" w14:textId="26ECF051" w:rsidR="00915D70" w:rsidRDefault="00915D70" w:rsidP="00CA66C7">
      <w:pPr>
        <w:rPr>
          <w:sz w:val="18"/>
          <w:szCs w:val="20"/>
          <w:rtl/>
        </w:rPr>
      </w:pPr>
      <w:r w:rsidRPr="006C09F8">
        <w:rPr>
          <w:rFonts w:hint="cs"/>
          <w:rtl/>
        </w:rPr>
        <w:t>נתמקד בקרב אחד</w:t>
      </w:r>
      <w:r w:rsidRPr="006C09F8">
        <w:t xml:space="preserve"> </w:t>
      </w:r>
      <w:r w:rsidRPr="006C09F8">
        <w:rPr>
          <w:rFonts w:hint="cs"/>
          <w:rtl/>
        </w:rPr>
        <w:t>מפורסם. בטבת</w:t>
      </w:r>
      <w:r>
        <w:rPr>
          <w:rFonts w:hint="cs"/>
          <w:rtl/>
        </w:rPr>
        <w:t xml:space="preserve"> </w:t>
      </w:r>
      <w:r w:rsidRPr="006C09F8">
        <w:rPr>
          <w:rFonts w:hint="cs"/>
          <w:rtl/>
        </w:rPr>
        <w:t xml:space="preserve">תש"ט התרחש מבצע חורב. לא נכנס לפרטי המבצע השונים, רק נזכיר שהאירועים התגלגלו כך שבאיזשהו שלב תקפו מטוסים בריטיים כוחות ישראלים. מטוסים ישראלים, שהיו ישנים מאוד ביחס למטוסים הבריטיים, יצאו כדי להגן על הכוחות הישראלים. את אותם מטוסים הטיסו טייסים צעירים וחסרי </w:t>
      </w:r>
      <w:proofErr w:type="spellStart"/>
      <w:r w:rsidRPr="006C09F8">
        <w:rPr>
          <w:rFonts w:hint="cs"/>
          <w:rtl/>
        </w:rPr>
        <w:t>נסיון</w:t>
      </w:r>
      <w:proofErr w:type="spellEnd"/>
      <w:r w:rsidRPr="006C09F8">
        <w:rPr>
          <w:rFonts w:hint="cs"/>
          <w:rtl/>
        </w:rPr>
        <w:t xml:space="preserve">, בראשות עזר ויצמן. בסופו של דבר לא נפגע אף מטוס ישראלי, ואילו חמישה מטוסים בריטיים נפלו. זו הייתה השפלה עצומה של ממלכת בריטניה. </w:t>
      </w:r>
      <w:r>
        <w:rPr>
          <w:rFonts w:hint="cs"/>
          <w:rtl/>
        </w:rPr>
        <w:t xml:space="preserve">אם </w:t>
      </w:r>
      <w:r w:rsidRPr="006C09F8">
        <w:rPr>
          <w:rFonts w:hint="cs"/>
          <w:rtl/>
        </w:rPr>
        <w:t>נחזור לנושא שלנו</w:t>
      </w:r>
      <w:r>
        <w:rPr>
          <w:rFonts w:hint="cs"/>
          <w:rtl/>
        </w:rPr>
        <w:t>,</w:t>
      </w:r>
      <w:r w:rsidRPr="006C09F8">
        <w:rPr>
          <w:rFonts w:hint="cs"/>
          <w:rtl/>
        </w:rPr>
        <w:t xml:space="preserve"> </w:t>
      </w:r>
      <w:r>
        <w:rPr>
          <w:rFonts w:hint="cs"/>
          <w:rtl/>
        </w:rPr>
        <w:t xml:space="preserve"> זמן קצר לאחר אותו אירוע </w:t>
      </w:r>
      <w:r w:rsidRPr="006C09F8">
        <w:rPr>
          <w:rFonts w:hint="cs"/>
          <w:rtl/>
        </w:rPr>
        <w:t xml:space="preserve">נשא וינסטון צ'רצ'יל נאום לפני </w:t>
      </w:r>
      <w:r>
        <w:rPr>
          <w:rFonts w:hint="cs"/>
          <w:rtl/>
        </w:rPr>
        <w:t>בית הנבחרים הבריטי, בו הוא אמר:</w:t>
      </w:r>
    </w:p>
    <w:p w14:paraId="57808CAD" w14:textId="77777777" w:rsidR="00915D70" w:rsidRPr="00FA75B9" w:rsidRDefault="00915D70" w:rsidP="00CA66C7">
      <w:pPr>
        <w:pStyle w:val="Quote"/>
        <w:rPr>
          <w:rtl/>
        </w:rPr>
      </w:pPr>
      <w:r>
        <w:rPr>
          <w:rFonts w:hint="cs"/>
          <w:rtl/>
        </w:rPr>
        <w:t>"</w:t>
      </w:r>
      <w:r w:rsidRPr="00FA75B9">
        <w:rPr>
          <w:rtl/>
        </w:rPr>
        <w:t>הקמתה של מדינה יהודית בארץ ישראל היא מאורע בהיסטוריה העולמית. אין לבוחנו מנקודת הראות של בני דורנו או של המאה שלנו ולא בפרספקטיבה של אלף, אלפיים ואפילו שלושת אלפים שנים.</w:t>
      </w:r>
      <w:r>
        <w:rPr>
          <w:rFonts w:hint="cs"/>
          <w:rtl/>
        </w:rPr>
        <w:t>"</w:t>
      </w:r>
    </w:p>
    <w:p w14:paraId="79A1ABD3" w14:textId="77777777" w:rsidR="00915D70" w:rsidRDefault="00915D70" w:rsidP="006829FB">
      <w:pPr>
        <w:rPr>
          <w:sz w:val="18"/>
          <w:szCs w:val="20"/>
          <w:rtl/>
        </w:rPr>
      </w:pPr>
    </w:p>
    <w:p w14:paraId="4A49BBD5" w14:textId="77777777" w:rsidR="00915D70" w:rsidRPr="006C09F8" w:rsidRDefault="00915D70" w:rsidP="00A97713">
      <w:r>
        <w:rPr>
          <w:rFonts w:hint="cs"/>
          <w:rtl/>
        </w:rPr>
        <w:lastRenderedPageBreak/>
        <w:t>כלומר, ניתן לראות שמאמרו של ר' יהודה בן סימון בהחלט יכול להתקיים במציאות, גם מנהיג של צבא מנוצח מסוגל לתמוך בצד המנצח, זמן קצר לאחר מכן.</w:t>
      </w:r>
    </w:p>
    <w:tbl>
      <w:tblPr>
        <w:bidiVisual/>
        <w:tblW w:w="4678" w:type="dxa"/>
        <w:tblInd w:w="192" w:type="dxa"/>
        <w:tblLayout w:type="fixed"/>
        <w:tblLook w:val="0000" w:firstRow="0" w:lastRow="0" w:firstColumn="0" w:lastColumn="0" w:noHBand="0" w:noVBand="0"/>
      </w:tblPr>
      <w:tblGrid>
        <w:gridCol w:w="283"/>
        <w:gridCol w:w="4111"/>
        <w:gridCol w:w="284"/>
      </w:tblGrid>
      <w:tr w:rsidR="00771641" w14:paraId="6DBE07E6" w14:textId="77777777" w:rsidTr="00771641">
        <w:tc>
          <w:tcPr>
            <w:tcW w:w="283" w:type="dxa"/>
            <w:tcBorders>
              <w:top w:val="nil"/>
              <w:left w:val="nil"/>
              <w:bottom w:val="nil"/>
              <w:right w:val="nil"/>
            </w:tcBorders>
          </w:tcPr>
          <w:p w14:paraId="28F53E89" w14:textId="5B470814" w:rsidR="00771641" w:rsidRDefault="00771641" w:rsidP="00771641">
            <w:pPr>
              <w:pStyle w:val="a0"/>
              <w:rPr>
                <w:noProof w:val="0"/>
              </w:rPr>
            </w:pPr>
            <w:r w:rsidRPr="004D6392">
              <w:rPr>
                <w:i/>
                <w:iCs/>
                <w:szCs w:val="22"/>
                <w:rtl/>
              </w:rPr>
              <w:tab/>
            </w:r>
            <w:r>
              <w:rPr>
                <w:rtl/>
              </w:rPr>
              <w:tab/>
            </w:r>
            <w:bookmarkEnd w:id="1"/>
          </w:p>
        </w:tc>
        <w:tc>
          <w:tcPr>
            <w:tcW w:w="4111" w:type="dxa"/>
            <w:tcBorders>
              <w:top w:val="nil"/>
              <w:left w:val="nil"/>
              <w:bottom w:val="nil"/>
              <w:right w:val="nil"/>
            </w:tcBorders>
          </w:tcPr>
          <w:p w14:paraId="636CE270" w14:textId="34157323" w:rsidR="00771641" w:rsidRDefault="00771641" w:rsidP="00771641">
            <w:pPr>
              <w:pStyle w:val="a0"/>
              <w:ind w:left="-170" w:right="-170"/>
              <w:rPr>
                <w:noProof w:val="0"/>
              </w:rPr>
            </w:pPr>
          </w:p>
        </w:tc>
        <w:tc>
          <w:tcPr>
            <w:tcW w:w="284" w:type="dxa"/>
            <w:tcBorders>
              <w:top w:val="nil"/>
              <w:left w:val="nil"/>
              <w:bottom w:val="nil"/>
              <w:right w:val="nil"/>
            </w:tcBorders>
          </w:tcPr>
          <w:p w14:paraId="6337C644" w14:textId="770FCC17" w:rsidR="00771641" w:rsidRDefault="00771641" w:rsidP="00771641">
            <w:pPr>
              <w:pStyle w:val="a0"/>
              <w:rPr>
                <w:noProof w:val="0"/>
              </w:rPr>
            </w:pPr>
          </w:p>
        </w:tc>
      </w:tr>
      <w:tr w:rsidR="00771641" w14:paraId="2D87A834" w14:textId="77777777" w:rsidTr="00771641">
        <w:tc>
          <w:tcPr>
            <w:tcW w:w="283" w:type="dxa"/>
            <w:tcBorders>
              <w:top w:val="nil"/>
              <w:left w:val="nil"/>
              <w:bottom w:val="nil"/>
              <w:right w:val="nil"/>
            </w:tcBorders>
          </w:tcPr>
          <w:p w14:paraId="2E4203A8" w14:textId="5D01A198" w:rsidR="00771641" w:rsidRDefault="00771641" w:rsidP="00771641">
            <w:pPr>
              <w:pStyle w:val="a0"/>
              <w:rPr>
                <w:noProof w:val="0"/>
              </w:rPr>
            </w:pPr>
          </w:p>
        </w:tc>
        <w:tc>
          <w:tcPr>
            <w:tcW w:w="4111" w:type="dxa"/>
            <w:tcBorders>
              <w:top w:val="nil"/>
              <w:left w:val="nil"/>
              <w:bottom w:val="nil"/>
              <w:right w:val="nil"/>
            </w:tcBorders>
          </w:tcPr>
          <w:p w14:paraId="1E7D58E8" w14:textId="1D017C13" w:rsidR="00771641" w:rsidRDefault="00771641" w:rsidP="00771641">
            <w:pPr>
              <w:pStyle w:val="a0"/>
              <w:rPr>
                <w:noProof w:val="0"/>
              </w:rPr>
            </w:pPr>
          </w:p>
        </w:tc>
        <w:tc>
          <w:tcPr>
            <w:tcW w:w="284" w:type="dxa"/>
            <w:tcBorders>
              <w:top w:val="nil"/>
              <w:left w:val="nil"/>
              <w:bottom w:val="nil"/>
              <w:right w:val="nil"/>
            </w:tcBorders>
          </w:tcPr>
          <w:p w14:paraId="49C88AF5" w14:textId="24098A0B" w:rsidR="00771641" w:rsidRDefault="00771641" w:rsidP="00771641">
            <w:pPr>
              <w:pStyle w:val="a0"/>
              <w:rPr>
                <w:noProof w:val="0"/>
              </w:rPr>
            </w:pPr>
          </w:p>
        </w:tc>
      </w:tr>
      <w:tr w:rsidR="00771641" w14:paraId="3EDAC2A5" w14:textId="77777777" w:rsidTr="00771641">
        <w:tc>
          <w:tcPr>
            <w:tcW w:w="283" w:type="dxa"/>
            <w:tcBorders>
              <w:top w:val="nil"/>
              <w:left w:val="nil"/>
              <w:bottom w:val="nil"/>
              <w:right w:val="nil"/>
            </w:tcBorders>
          </w:tcPr>
          <w:p w14:paraId="484CAC81" w14:textId="1FDE8670" w:rsidR="00771641" w:rsidRDefault="00771641" w:rsidP="00771641">
            <w:pPr>
              <w:pStyle w:val="a0"/>
              <w:rPr>
                <w:noProof w:val="0"/>
              </w:rPr>
            </w:pPr>
          </w:p>
        </w:tc>
        <w:tc>
          <w:tcPr>
            <w:tcW w:w="4111" w:type="dxa"/>
            <w:tcBorders>
              <w:top w:val="nil"/>
              <w:left w:val="nil"/>
              <w:bottom w:val="nil"/>
              <w:right w:val="nil"/>
            </w:tcBorders>
          </w:tcPr>
          <w:p w14:paraId="4082B3FE" w14:textId="1AC8AE97" w:rsidR="00771641" w:rsidRDefault="00771641" w:rsidP="00771641">
            <w:pPr>
              <w:pStyle w:val="a0"/>
              <w:ind w:left="-227" w:right="-227"/>
              <w:rPr>
                <w:noProof w:val="0"/>
              </w:rPr>
            </w:pPr>
          </w:p>
        </w:tc>
        <w:tc>
          <w:tcPr>
            <w:tcW w:w="284" w:type="dxa"/>
            <w:tcBorders>
              <w:top w:val="nil"/>
              <w:left w:val="nil"/>
              <w:bottom w:val="nil"/>
              <w:right w:val="nil"/>
            </w:tcBorders>
          </w:tcPr>
          <w:p w14:paraId="713FFD06" w14:textId="22A12301" w:rsidR="00771641" w:rsidRDefault="00771641" w:rsidP="00771641">
            <w:pPr>
              <w:pStyle w:val="a0"/>
              <w:rPr>
                <w:noProof w:val="0"/>
                <w:rtl/>
              </w:rPr>
            </w:pPr>
          </w:p>
        </w:tc>
      </w:tr>
    </w:tbl>
    <w:p w14:paraId="696A0A55" w14:textId="77777777" w:rsidR="00771641" w:rsidRDefault="00771641" w:rsidP="00771641">
      <w:pPr>
        <w:rPr>
          <w:sz w:val="21"/>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0"/>
              <w:rPr>
                <w:noProof w:val="0"/>
              </w:rPr>
            </w:pPr>
          </w:p>
        </w:tc>
        <w:tc>
          <w:tcPr>
            <w:tcW w:w="4111" w:type="dxa"/>
            <w:tcBorders>
              <w:top w:val="nil"/>
              <w:left w:val="nil"/>
              <w:bottom w:val="nil"/>
              <w:right w:val="nil"/>
            </w:tcBorders>
          </w:tcPr>
          <w:p w14:paraId="0C93944F" w14:textId="77777777" w:rsidR="006C7B79" w:rsidRDefault="006C7B79" w:rsidP="00A61622">
            <w:pPr>
              <w:pStyle w:val="a0"/>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0"/>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0"/>
              <w:rPr>
                <w:noProof w:val="0"/>
              </w:rPr>
            </w:pPr>
            <w:r>
              <w:rPr>
                <w:noProof w:val="0"/>
                <w:rtl/>
              </w:rPr>
              <w:t>* * * * * * * * * *</w:t>
            </w:r>
          </w:p>
        </w:tc>
        <w:tc>
          <w:tcPr>
            <w:tcW w:w="4111" w:type="dxa"/>
            <w:tcBorders>
              <w:top w:val="nil"/>
              <w:left w:val="nil"/>
              <w:bottom w:val="nil"/>
              <w:right w:val="nil"/>
            </w:tcBorders>
          </w:tcPr>
          <w:p w14:paraId="6A2CC547" w14:textId="5C5CB945" w:rsidR="006C7B79" w:rsidRDefault="006C7B79" w:rsidP="00A97713">
            <w:pPr>
              <w:pStyle w:val="a0"/>
              <w:rPr>
                <w:noProof w:val="0"/>
                <w:rtl/>
              </w:rPr>
            </w:pPr>
            <w:r>
              <w:rPr>
                <w:noProof w:val="0"/>
                <w:rtl/>
              </w:rPr>
              <w:t>כל הזכויות שמורות לישיבת הר עציון</w:t>
            </w:r>
            <w:r w:rsidR="00A97713">
              <w:rPr>
                <w:rFonts w:hint="cs"/>
                <w:noProof w:val="0"/>
                <w:rtl/>
              </w:rPr>
              <w:t xml:space="preserve"> ולרב יעקב מדן</w:t>
            </w:r>
          </w:p>
          <w:p w14:paraId="218A477B" w14:textId="77777777" w:rsidR="007938CE" w:rsidRDefault="007938CE" w:rsidP="007938CE">
            <w:pPr>
              <w:pStyle w:val="a0"/>
              <w:rPr>
                <w:noProof w:val="0"/>
                <w:rtl/>
              </w:rPr>
            </w:pPr>
          </w:p>
          <w:p w14:paraId="52993572" w14:textId="77777777" w:rsidR="006C7B79" w:rsidRPr="00C5614D" w:rsidRDefault="006C7B79" w:rsidP="00A61622">
            <w:pPr>
              <w:pStyle w:val="a0"/>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0"/>
              <w:rPr>
                <w:noProof w:val="0"/>
                <w:rtl/>
              </w:rPr>
            </w:pPr>
            <w:r>
              <w:rPr>
                <w:noProof w:val="0"/>
                <w:rtl/>
              </w:rPr>
              <w:t>*******************************************************</w:t>
            </w:r>
          </w:p>
          <w:p w14:paraId="6726E76E" w14:textId="77777777" w:rsidR="006C7B79" w:rsidRDefault="006C7B79" w:rsidP="00A61622">
            <w:pPr>
              <w:pStyle w:val="a0"/>
              <w:rPr>
                <w:noProof w:val="0"/>
                <w:rtl/>
              </w:rPr>
            </w:pPr>
          </w:p>
          <w:p w14:paraId="5A895DCC" w14:textId="77777777" w:rsidR="006C7B79" w:rsidRDefault="006C7B79" w:rsidP="00A6162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0"/>
              <w:rPr>
                <w:noProof w:val="0"/>
                <w:rtl/>
              </w:rPr>
            </w:pPr>
            <w:r>
              <w:rPr>
                <w:noProof w:val="0"/>
                <w:rtl/>
              </w:rPr>
              <w:tab/>
            </w:r>
          </w:p>
          <w:p w14:paraId="4ED4DA84" w14:textId="77777777" w:rsidR="006C7B79" w:rsidRDefault="00357B87" w:rsidP="00A61622">
            <w:pPr>
              <w:pStyle w:val="a0"/>
              <w:rPr>
                <w:noProof w:val="0"/>
                <w:rtl/>
              </w:rPr>
            </w:pPr>
            <w:hyperlink r:id="rId8" w:history="1">
              <w:r w:rsidR="006C7B79">
                <w:rPr>
                  <w:rStyle w:val="Hyperlink"/>
                </w:rPr>
                <w:t>http://www.etzion.org.il</w:t>
              </w:r>
            </w:hyperlink>
          </w:p>
          <w:p w14:paraId="56CFE613" w14:textId="77777777" w:rsidR="006C7B79" w:rsidRDefault="006C7B79" w:rsidP="00A61622">
            <w:pPr>
              <w:pStyle w:val="a0"/>
              <w:rPr>
                <w:noProof w:val="0"/>
                <w:rtl/>
              </w:rPr>
            </w:pPr>
          </w:p>
          <w:p w14:paraId="00BA44DE" w14:textId="77777777" w:rsidR="006C7B79" w:rsidRDefault="006C7B79" w:rsidP="00A6162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0"/>
              <w:rPr>
                <w:noProof w:val="0"/>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0"/>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0"/>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0"/>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0"/>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0"/>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0"/>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0"/>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0"/>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0"/>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0"/>
              <w:rPr>
                <w:noProof w:val="0"/>
              </w:rPr>
            </w:pPr>
          </w:p>
        </w:tc>
        <w:tc>
          <w:tcPr>
            <w:tcW w:w="4111" w:type="dxa"/>
            <w:tcBorders>
              <w:top w:val="nil"/>
              <w:left w:val="nil"/>
              <w:bottom w:val="nil"/>
              <w:right w:val="nil"/>
            </w:tcBorders>
          </w:tcPr>
          <w:p w14:paraId="7E1FEAAB" w14:textId="324A9E27" w:rsidR="00EB7464" w:rsidRDefault="00EB7464" w:rsidP="00D97609">
            <w:pPr>
              <w:pStyle w:val="a0"/>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0"/>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0"/>
              <w:rPr>
                <w:noProof w:val="0"/>
              </w:rPr>
            </w:pPr>
          </w:p>
        </w:tc>
        <w:tc>
          <w:tcPr>
            <w:tcW w:w="4111" w:type="dxa"/>
            <w:tcBorders>
              <w:top w:val="nil"/>
              <w:left w:val="nil"/>
              <w:bottom w:val="nil"/>
              <w:right w:val="nil"/>
            </w:tcBorders>
          </w:tcPr>
          <w:p w14:paraId="580B83C2" w14:textId="2A71CE11" w:rsidR="00EB7464" w:rsidRDefault="00EB7464" w:rsidP="00D97609">
            <w:pPr>
              <w:pStyle w:val="a0"/>
              <w:rPr>
                <w:noProof w:val="0"/>
              </w:rPr>
            </w:pPr>
          </w:p>
        </w:tc>
        <w:tc>
          <w:tcPr>
            <w:tcW w:w="284" w:type="dxa"/>
            <w:tcBorders>
              <w:top w:val="nil"/>
              <w:left w:val="nil"/>
              <w:bottom w:val="nil"/>
              <w:right w:val="nil"/>
            </w:tcBorders>
          </w:tcPr>
          <w:p w14:paraId="4CCA96CC" w14:textId="73A20A4B" w:rsidR="00EB7464" w:rsidRDefault="00EB7464" w:rsidP="00D97609">
            <w:pPr>
              <w:pStyle w:val="a0"/>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0"/>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0"/>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0"/>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0"/>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0"/>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0"/>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0"/>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0"/>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0"/>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D3A6E" w14:textId="77777777" w:rsidR="00800126" w:rsidRDefault="00800126" w:rsidP="005F7985">
      <w:pPr>
        <w:spacing w:after="0" w:line="240" w:lineRule="auto"/>
      </w:pPr>
      <w:r>
        <w:separator/>
      </w:r>
    </w:p>
  </w:endnote>
  <w:endnote w:type="continuationSeparator" w:id="0">
    <w:p w14:paraId="7ED4C678" w14:textId="77777777" w:rsidR="00800126" w:rsidRDefault="0080012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1F8D" w14:textId="77777777" w:rsidR="00800126" w:rsidRDefault="00800126" w:rsidP="005F7985">
      <w:pPr>
        <w:spacing w:after="0" w:line="240" w:lineRule="auto"/>
      </w:pPr>
      <w:r>
        <w:separator/>
      </w:r>
    </w:p>
  </w:footnote>
  <w:footnote w:type="continuationSeparator" w:id="0">
    <w:p w14:paraId="650F8AD0" w14:textId="77777777" w:rsidR="00800126" w:rsidRDefault="00800126" w:rsidP="005F7985">
      <w:pPr>
        <w:spacing w:after="0" w:line="240" w:lineRule="auto"/>
      </w:pPr>
      <w:r>
        <w:continuationSeparator/>
      </w:r>
    </w:p>
  </w:footnote>
  <w:footnote w:id="1">
    <w:p w14:paraId="22DEE8EA" w14:textId="4310CF8D" w:rsidR="008131C8" w:rsidRDefault="008131C8" w:rsidP="008131C8">
      <w:pPr>
        <w:pStyle w:val="FootnoteText"/>
        <w:rPr>
          <w:rtl/>
        </w:rPr>
      </w:pPr>
      <w:r>
        <w:rPr>
          <w:rStyle w:val="FootnoteReference"/>
          <w:rFonts w:hint="cs"/>
          <w:rtl/>
        </w:rPr>
        <w:t>*</w:t>
      </w:r>
      <w:r>
        <w:rPr>
          <w:rtl/>
        </w:rPr>
        <w:t xml:space="preserve"> </w:t>
      </w:r>
      <w:bookmarkStart w:id="2" w:name="_ftn1"/>
      <w:bookmarkEnd w:id="2"/>
      <w:r>
        <w:rPr>
          <w:rtl/>
        </w:rPr>
        <w:tab/>
      </w:r>
      <w:r>
        <w:rPr>
          <w:rFonts w:hint="cs"/>
          <w:rtl/>
        </w:rPr>
        <w:t>השיחה נאמרה בסעודה שלישית תשע"ז, וסוכמה ע"י יאיר אוסטר.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771641" w:rsidRDefault="00771641">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57B87">
      <w:rPr>
        <w:b/>
        <w:bCs/>
        <w:noProof/>
        <w:sz w:val="21"/>
        <w:rtl/>
      </w:rPr>
      <w:t>2</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300E44"/>
    <w:rsid w:val="00307943"/>
    <w:rsid w:val="0031173D"/>
    <w:rsid w:val="00312DCF"/>
    <w:rsid w:val="00313557"/>
    <w:rsid w:val="00314F87"/>
    <w:rsid w:val="00315192"/>
    <w:rsid w:val="003174E1"/>
    <w:rsid w:val="00326F3C"/>
    <w:rsid w:val="0033127E"/>
    <w:rsid w:val="00335C84"/>
    <w:rsid w:val="00353E96"/>
    <w:rsid w:val="00354A84"/>
    <w:rsid w:val="00357B87"/>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1641"/>
    <w:rsid w:val="00773F69"/>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2020-02-13T10:00:00Z</dcterms:created>
  <dcterms:modified xsi:type="dcterms:W3CDTF">2020-02-13T10:00:00Z</dcterms:modified>
</cp:coreProperties>
</file>