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A4488B">
        <w:rPr>
          <w:rFonts w:asciiTheme="minorBidi" w:eastAsia="Times New Roman" w:hAnsiTheme="minorBidi" w:cstheme="minorBidi"/>
          <w:caps/>
          <w:color w:val="222222"/>
          <w:sz w:val="24"/>
          <w:szCs w:val="24"/>
          <w:lang w:val="en-GB"/>
        </w:rPr>
        <w:t>YESHIVAT HAR ETZION</w:t>
      </w:r>
    </w:p>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4488B">
        <w:rPr>
          <w:rFonts w:asciiTheme="minorBidi" w:eastAsia="Times New Roman" w:hAnsiTheme="minorBidi" w:cstheme="minorBidi"/>
          <w:caps/>
          <w:color w:val="222222"/>
          <w:sz w:val="24"/>
          <w:szCs w:val="24"/>
          <w:lang w:val="en-GB"/>
        </w:rPr>
        <w:t>ISRAEL KOSCHITZKY VIRTUAL BEIT MIDRASH (VBM)</w:t>
      </w:r>
    </w:p>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4488B">
        <w:rPr>
          <w:rFonts w:asciiTheme="minorBidi" w:eastAsia="Times New Roman" w:hAnsiTheme="minorBidi" w:cstheme="minorBidi"/>
          <w:caps/>
          <w:color w:val="222222"/>
          <w:sz w:val="24"/>
          <w:szCs w:val="24"/>
          <w:lang w:val="en-GB"/>
        </w:rPr>
        <w:t>*********************************************************</w:t>
      </w:r>
    </w:p>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4488B">
        <w:rPr>
          <w:rFonts w:asciiTheme="minorBidi" w:eastAsia="Times New Roman" w:hAnsiTheme="minorBidi" w:cstheme="minorBidi"/>
          <w:b/>
          <w:bCs/>
          <w:caps/>
          <w:color w:val="222222"/>
          <w:sz w:val="24"/>
          <w:szCs w:val="24"/>
        </w:rPr>
        <w:t>TORAH STUDY</w:t>
      </w:r>
    </w:p>
    <w:p w:rsidR="008B5DF0" w:rsidRPr="00A4488B" w:rsidRDefault="008B5DF0" w:rsidP="00FB41E8">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A4488B">
        <w:rPr>
          <w:rFonts w:asciiTheme="minorBidi" w:eastAsia="Times New Roman" w:hAnsiTheme="minorBidi" w:cstheme="minorBidi"/>
          <w:b/>
          <w:bCs/>
          <w:color w:val="222222"/>
          <w:sz w:val="24"/>
          <w:szCs w:val="24"/>
        </w:rPr>
        <w:t>By Rav Tzvi Sinensky</w:t>
      </w:r>
    </w:p>
    <w:p w:rsidR="008B5DF0" w:rsidRPr="00A4488B" w:rsidRDefault="008B5DF0" w:rsidP="00FB41E8">
      <w:pPr>
        <w:shd w:val="clear" w:color="auto" w:fill="FFFFFF"/>
        <w:spacing w:line="240" w:lineRule="auto"/>
        <w:jc w:val="center"/>
        <w:rPr>
          <w:b/>
          <w:sz w:val="24"/>
          <w:szCs w:val="24"/>
        </w:rPr>
      </w:pPr>
    </w:p>
    <w:p w:rsidR="008B5DF0" w:rsidRDefault="008B5DF0" w:rsidP="00FB41E8">
      <w:pPr>
        <w:spacing w:line="240" w:lineRule="auto"/>
        <w:jc w:val="center"/>
        <w:rPr>
          <w:b/>
          <w:i/>
          <w:sz w:val="24"/>
          <w:szCs w:val="24"/>
          <w:u w:val="single"/>
        </w:rPr>
      </w:pPr>
    </w:p>
    <w:p w:rsidR="008B5DF0" w:rsidRPr="006526A4" w:rsidRDefault="008B5DF0" w:rsidP="00FB41E8">
      <w:pPr>
        <w:spacing w:line="240" w:lineRule="auto"/>
        <w:jc w:val="center"/>
        <w:rPr>
          <w:b/>
          <w:i/>
          <w:sz w:val="24"/>
          <w:szCs w:val="24"/>
        </w:rPr>
      </w:pPr>
      <w:r w:rsidRPr="00FB41E8">
        <w:rPr>
          <w:b/>
          <w:sz w:val="24"/>
          <w:szCs w:val="24"/>
        </w:rPr>
        <w:t>Shiur</w:t>
      </w:r>
      <w:r w:rsidRPr="006526A4">
        <w:rPr>
          <w:b/>
          <w:sz w:val="24"/>
          <w:szCs w:val="24"/>
        </w:rPr>
        <w:t xml:space="preserve"> #1</w:t>
      </w:r>
      <w:r>
        <w:rPr>
          <w:b/>
          <w:sz w:val="24"/>
          <w:szCs w:val="24"/>
        </w:rPr>
        <w:t>8</w:t>
      </w:r>
      <w:r w:rsidRPr="006526A4">
        <w:rPr>
          <w:b/>
          <w:sz w:val="24"/>
          <w:szCs w:val="24"/>
        </w:rPr>
        <w:t xml:space="preserve">: </w:t>
      </w:r>
      <w:r w:rsidRPr="0069429F">
        <w:rPr>
          <w:b/>
          <w:i/>
          <w:iCs/>
          <w:sz w:val="24"/>
          <w:szCs w:val="24"/>
        </w:rPr>
        <w:t>Torat Eretz Yisrael</w:t>
      </w:r>
    </w:p>
    <w:p w:rsidR="008B5DF0" w:rsidRDefault="008B5DF0" w:rsidP="00FB41E8">
      <w:pPr>
        <w:spacing w:line="240" w:lineRule="auto"/>
        <w:jc w:val="both"/>
        <w:rPr>
          <w:sz w:val="24"/>
          <w:szCs w:val="24"/>
        </w:rPr>
      </w:pPr>
    </w:p>
    <w:p w:rsidR="008B5DF0" w:rsidRDefault="008B5DF0"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In this </w:t>
      </w:r>
      <w:r>
        <w:rPr>
          <w:i/>
          <w:sz w:val="24"/>
          <w:szCs w:val="24"/>
        </w:rPr>
        <w:t>shiur</w:t>
      </w:r>
      <w:r w:rsidR="0069429F">
        <w:rPr>
          <w:i/>
          <w:sz w:val="24"/>
          <w:szCs w:val="24"/>
        </w:rPr>
        <w:t>,</w:t>
      </w:r>
      <w:r>
        <w:rPr>
          <w:sz w:val="24"/>
          <w:szCs w:val="24"/>
        </w:rPr>
        <w:t xml:space="preserve"> we turn to a contemporary theme: the uniqueness of </w:t>
      </w:r>
      <w:r>
        <w:rPr>
          <w:i/>
          <w:sz w:val="24"/>
          <w:szCs w:val="24"/>
        </w:rPr>
        <w:t>Torat Eretz Yisrael</w:t>
      </w:r>
      <w:r>
        <w:rPr>
          <w:sz w:val="24"/>
          <w:szCs w:val="24"/>
        </w:rPr>
        <w:t>. W</w:t>
      </w:r>
      <w:r w:rsidR="0069429F">
        <w:rPr>
          <w:sz w:val="24"/>
          <w:szCs w:val="24"/>
        </w:rPr>
        <w:t>hy does the Torah of the Land of Israel</w:t>
      </w:r>
      <w:r>
        <w:rPr>
          <w:sz w:val="24"/>
          <w:szCs w:val="24"/>
        </w:rPr>
        <w:t xml:space="preserve"> occupy a unique position in the world of </w:t>
      </w:r>
      <w:r>
        <w:rPr>
          <w:i/>
          <w:sz w:val="24"/>
          <w:szCs w:val="24"/>
        </w:rPr>
        <w:t>talmud Torah</w:t>
      </w:r>
      <w:r w:rsidR="0069429F">
        <w:rPr>
          <w:sz w:val="24"/>
          <w:szCs w:val="24"/>
        </w:rPr>
        <w:t>? What is the basis for this</w:t>
      </w:r>
      <w:r>
        <w:rPr>
          <w:sz w:val="24"/>
          <w:szCs w:val="24"/>
        </w:rPr>
        <w:t xml:space="preserve"> distinction</w:t>
      </w:r>
      <w:r w:rsidR="0069429F">
        <w:rPr>
          <w:sz w:val="24"/>
          <w:szCs w:val="24"/>
        </w:rPr>
        <w:t>? What does it mean</w:t>
      </w:r>
      <w:r>
        <w:rPr>
          <w:sz w:val="24"/>
          <w:szCs w:val="24"/>
        </w:rPr>
        <w:t>? We will consider a number of sources that bear on our subject, while giving special attention to R</w:t>
      </w:r>
      <w:r w:rsidR="0069429F">
        <w:rPr>
          <w:sz w:val="24"/>
          <w:szCs w:val="24"/>
        </w:rPr>
        <w:t>av</w:t>
      </w:r>
      <w:r>
        <w:rPr>
          <w:sz w:val="24"/>
          <w:szCs w:val="24"/>
        </w:rPr>
        <w:t xml:space="preserve"> Avraham Yitzchak Kook’s seminal treatment of our topic. </w:t>
      </w:r>
    </w:p>
    <w:p w:rsidR="00777F58" w:rsidRDefault="00777F58" w:rsidP="00FB41E8">
      <w:pPr>
        <w:spacing w:line="240" w:lineRule="auto"/>
        <w:jc w:val="both"/>
        <w:rPr>
          <w:sz w:val="24"/>
          <w:szCs w:val="24"/>
        </w:rPr>
      </w:pPr>
    </w:p>
    <w:p w:rsidR="00777F58" w:rsidRDefault="00755318" w:rsidP="00FB41E8">
      <w:pPr>
        <w:spacing w:line="240" w:lineRule="auto"/>
        <w:jc w:val="both"/>
        <w:rPr>
          <w:sz w:val="24"/>
          <w:szCs w:val="24"/>
        </w:rPr>
      </w:pPr>
      <w:r>
        <w:rPr>
          <w:sz w:val="24"/>
          <w:szCs w:val="24"/>
        </w:rPr>
        <w:t xml:space="preserve">A number of </w:t>
      </w:r>
      <w:r w:rsidR="008B5DF0">
        <w:rPr>
          <w:sz w:val="24"/>
          <w:szCs w:val="24"/>
        </w:rPr>
        <w:t xml:space="preserve">sources </w:t>
      </w:r>
      <w:r>
        <w:rPr>
          <w:sz w:val="24"/>
          <w:szCs w:val="24"/>
        </w:rPr>
        <w:t xml:space="preserve">in </w:t>
      </w:r>
      <w:r>
        <w:rPr>
          <w:i/>
          <w:iCs/>
          <w:sz w:val="24"/>
          <w:szCs w:val="24"/>
        </w:rPr>
        <w:t xml:space="preserve">Chazal </w:t>
      </w:r>
      <w:r w:rsidR="008B5DF0">
        <w:rPr>
          <w:sz w:val="24"/>
          <w:szCs w:val="24"/>
        </w:rPr>
        <w:t>point toward the unique status of t</w:t>
      </w:r>
      <w:r>
        <w:rPr>
          <w:sz w:val="24"/>
          <w:szCs w:val="24"/>
        </w:rPr>
        <w:t xml:space="preserve">he Land of Israel </w:t>
      </w:r>
      <w:r w:rsidR="008B5DF0">
        <w:rPr>
          <w:sz w:val="24"/>
          <w:szCs w:val="24"/>
        </w:rPr>
        <w:t xml:space="preserve">vis-a-vis </w:t>
      </w:r>
      <w:r w:rsidR="008B5DF0">
        <w:rPr>
          <w:i/>
          <w:sz w:val="24"/>
          <w:szCs w:val="24"/>
        </w:rPr>
        <w:t>talmud Torah</w:t>
      </w:r>
      <w:r w:rsidR="008B5DF0">
        <w:rPr>
          <w:sz w:val="24"/>
          <w:szCs w:val="24"/>
        </w:rPr>
        <w:t>. The term “</w:t>
      </w:r>
      <w:r w:rsidR="008B5DF0">
        <w:rPr>
          <w:i/>
          <w:sz w:val="24"/>
          <w:szCs w:val="24"/>
        </w:rPr>
        <w:t>Torat Eretz Yisrael</w:t>
      </w:r>
      <w:r w:rsidR="008B5DF0">
        <w:rPr>
          <w:sz w:val="24"/>
          <w:szCs w:val="24"/>
        </w:rPr>
        <w:t xml:space="preserve">” appears in </w:t>
      </w:r>
      <w:r w:rsidR="008B5DF0">
        <w:rPr>
          <w:i/>
          <w:sz w:val="24"/>
          <w:szCs w:val="24"/>
        </w:rPr>
        <w:t>Bereishit Rabba</w:t>
      </w:r>
      <w:r w:rsidR="008B5DF0">
        <w:rPr>
          <w:sz w:val="24"/>
          <w:szCs w:val="24"/>
        </w:rPr>
        <w:t xml:space="preserve"> 16:2 </w:t>
      </w:r>
      <w:r w:rsidR="00AB7F22">
        <w:rPr>
          <w:sz w:val="24"/>
          <w:szCs w:val="24"/>
        </w:rPr>
        <w:t>and</w:t>
      </w:r>
      <w:r w:rsidR="00AB7F22">
        <w:rPr>
          <w:i/>
          <w:sz w:val="24"/>
          <w:szCs w:val="24"/>
        </w:rPr>
        <w:t xml:space="preserve"> Vayikra</w:t>
      </w:r>
      <w:r w:rsidR="008B5DF0">
        <w:rPr>
          <w:i/>
          <w:sz w:val="24"/>
          <w:szCs w:val="24"/>
        </w:rPr>
        <w:t xml:space="preserve"> Rabba</w:t>
      </w:r>
      <w:r w:rsidR="008B5DF0">
        <w:rPr>
          <w:sz w:val="24"/>
          <w:szCs w:val="24"/>
        </w:rPr>
        <w:t xml:space="preserve"> 13:5: </w:t>
      </w:r>
    </w:p>
    <w:p w:rsidR="00777F58" w:rsidRDefault="00777F58" w:rsidP="00FB41E8">
      <w:pPr>
        <w:spacing w:line="240" w:lineRule="auto"/>
        <w:jc w:val="both"/>
        <w:rPr>
          <w:sz w:val="24"/>
          <w:szCs w:val="24"/>
        </w:rPr>
      </w:pPr>
    </w:p>
    <w:p w:rsidR="00777F58" w:rsidRDefault="00755318" w:rsidP="00FB41E8">
      <w:pPr>
        <w:spacing w:line="240" w:lineRule="auto"/>
        <w:ind w:left="720"/>
        <w:jc w:val="both"/>
        <w:rPr>
          <w:sz w:val="24"/>
          <w:szCs w:val="24"/>
        </w:rPr>
      </w:pPr>
      <w:r>
        <w:rPr>
          <w:sz w:val="24"/>
          <w:szCs w:val="24"/>
        </w:rPr>
        <w:t>“</w:t>
      </w:r>
      <w:r w:rsidR="008B5DF0">
        <w:rPr>
          <w:sz w:val="24"/>
          <w:szCs w:val="24"/>
        </w:rPr>
        <w:t>That there is gold</w:t>
      </w:r>
      <w:r>
        <w:rPr>
          <w:sz w:val="24"/>
          <w:szCs w:val="24"/>
        </w:rPr>
        <w:t>” — t</w:t>
      </w:r>
      <w:r w:rsidR="008B5DF0">
        <w:rPr>
          <w:sz w:val="24"/>
          <w:szCs w:val="24"/>
        </w:rPr>
        <w:t>hese are words of Torah, which are more pleasant than gold and much finery. “And the gold of that land is good”</w:t>
      </w:r>
      <w:r>
        <w:rPr>
          <w:sz w:val="24"/>
          <w:szCs w:val="24"/>
        </w:rPr>
        <w:t xml:space="preserve"> — t</w:t>
      </w:r>
      <w:r w:rsidR="008B5DF0">
        <w:rPr>
          <w:sz w:val="24"/>
          <w:szCs w:val="24"/>
        </w:rPr>
        <w:t xml:space="preserve">his teaches that there is no Torah like the Torah of the Land of Israel, and there is no wisdom like the wisdom of the Land of Israel. </w:t>
      </w:r>
    </w:p>
    <w:p w:rsidR="00777F58" w:rsidRDefault="00777F58" w:rsidP="00FB41E8">
      <w:pPr>
        <w:spacing w:line="240" w:lineRule="auto"/>
        <w:ind w:left="720"/>
        <w:jc w:val="both"/>
        <w:rPr>
          <w:sz w:val="24"/>
          <w:szCs w:val="24"/>
        </w:rPr>
      </w:pPr>
    </w:p>
    <w:p w:rsidR="00777F58" w:rsidRPr="00755318" w:rsidRDefault="008B5DF0" w:rsidP="00FB41E8">
      <w:pPr>
        <w:spacing w:line="240" w:lineRule="auto"/>
        <w:jc w:val="both"/>
        <w:rPr>
          <w:i/>
          <w:iCs/>
          <w:sz w:val="24"/>
          <w:szCs w:val="24"/>
          <w:highlight w:val="white"/>
        </w:rPr>
      </w:pPr>
      <w:r>
        <w:rPr>
          <w:sz w:val="24"/>
          <w:szCs w:val="24"/>
          <w:highlight w:val="white"/>
        </w:rPr>
        <w:t xml:space="preserve">Another </w:t>
      </w:r>
      <w:r w:rsidRPr="00755318">
        <w:rPr>
          <w:i/>
          <w:iCs/>
          <w:sz w:val="24"/>
          <w:szCs w:val="24"/>
          <w:highlight w:val="white"/>
        </w:rPr>
        <w:t>midrash</w:t>
      </w:r>
      <w:r w:rsidR="00755318">
        <w:rPr>
          <w:sz w:val="24"/>
          <w:szCs w:val="24"/>
          <w:highlight w:val="white"/>
        </w:rPr>
        <w:t xml:space="preserve"> stresses the </w:t>
      </w:r>
      <w:r w:rsidR="0059786F">
        <w:rPr>
          <w:sz w:val="24"/>
          <w:szCs w:val="24"/>
          <w:highlight w:val="white"/>
        </w:rPr>
        <w:t>exclusivity</w:t>
      </w:r>
      <w:r w:rsidR="00755318">
        <w:rPr>
          <w:sz w:val="24"/>
          <w:szCs w:val="24"/>
          <w:highlight w:val="white"/>
        </w:rPr>
        <w:t xml:space="preserve"> of </w:t>
      </w:r>
      <w:r w:rsidR="00755318">
        <w:rPr>
          <w:i/>
          <w:iCs/>
          <w:sz w:val="24"/>
          <w:szCs w:val="24"/>
          <w:highlight w:val="white"/>
        </w:rPr>
        <w:t>Torat Eretz Yisrael.</w:t>
      </w:r>
    </w:p>
    <w:p w:rsidR="00755318" w:rsidRDefault="00755318" w:rsidP="00FB41E8">
      <w:pPr>
        <w:spacing w:line="240" w:lineRule="auto"/>
        <w:jc w:val="both"/>
        <w:rPr>
          <w:sz w:val="24"/>
          <w:szCs w:val="24"/>
          <w:highlight w:val="white"/>
        </w:rPr>
      </w:pPr>
    </w:p>
    <w:p w:rsidR="00777F58" w:rsidRDefault="008B5DF0" w:rsidP="00FB41E8">
      <w:pPr>
        <w:spacing w:line="240" w:lineRule="auto"/>
        <w:ind w:left="720"/>
        <w:jc w:val="both"/>
        <w:rPr>
          <w:sz w:val="24"/>
          <w:szCs w:val="24"/>
          <w:highlight w:val="white"/>
        </w:rPr>
      </w:pPr>
      <w:r>
        <w:rPr>
          <w:sz w:val="24"/>
          <w:szCs w:val="24"/>
          <w:highlight w:val="white"/>
        </w:rPr>
        <w:t>“</w:t>
      </w:r>
      <w:r>
        <w:rPr>
          <w:i/>
          <w:sz w:val="24"/>
          <w:szCs w:val="24"/>
          <w:highlight w:val="white"/>
        </w:rPr>
        <w:t>Tevel</w:t>
      </w:r>
      <w:r>
        <w:rPr>
          <w:sz w:val="24"/>
          <w:szCs w:val="24"/>
          <w:highlight w:val="white"/>
        </w:rPr>
        <w:t>”</w:t>
      </w:r>
      <w:r w:rsidR="0069429F">
        <w:rPr>
          <w:sz w:val="24"/>
          <w:szCs w:val="24"/>
          <w:highlight w:val="white"/>
        </w:rPr>
        <w:t xml:space="preserve"> — t</w:t>
      </w:r>
      <w:r>
        <w:rPr>
          <w:sz w:val="24"/>
          <w:szCs w:val="24"/>
          <w:highlight w:val="white"/>
        </w:rPr>
        <w:t>his is the</w:t>
      </w:r>
      <w:r w:rsidR="0069429F">
        <w:rPr>
          <w:sz w:val="24"/>
          <w:szCs w:val="24"/>
          <w:highlight w:val="white"/>
        </w:rPr>
        <w:t xml:space="preserve"> Land of Israel. Why is it</w:t>
      </w:r>
      <w:r>
        <w:rPr>
          <w:sz w:val="24"/>
          <w:szCs w:val="24"/>
          <w:highlight w:val="white"/>
        </w:rPr>
        <w:t xml:space="preserve"> called </w:t>
      </w:r>
      <w:r w:rsidRPr="0069429F">
        <w:rPr>
          <w:i/>
          <w:iCs/>
          <w:sz w:val="24"/>
          <w:szCs w:val="24"/>
          <w:highlight w:val="white"/>
        </w:rPr>
        <w:t>Tevel</w:t>
      </w:r>
      <w:r>
        <w:rPr>
          <w:sz w:val="24"/>
          <w:szCs w:val="24"/>
          <w:highlight w:val="white"/>
        </w:rPr>
        <w:t xml:space="preserve">? Due to the spice </w:t>
      </w:r>
      <w:r w:rsidR="00755318">
        <w:rPr>
          <w:i/>
          <w:iCs/>
          <w:sz w:val="24"/>
          <w:szCs w:val="24"/>
          <w:highlight w:val="white"/>
        </w:rPr>
        <w:t xml:space="preserve">(tavlin) </w:t>
      </w:r>
      <w:r>
        <w:rPr>
          <w:sz w:val="24"/>
          <w:szCs w:val="24"/>
          <w:highlight w:val="white"/>
        </w:rPr>
        <w:t>in it. What is the spice in it? This is Torah, as it states, “Among the nations there is no Torah.” From here [we derive] that the Torah is in the Land of Israel. (</w:t>
      </w:r>
      <w:r w:rsidR="0069429F">
        <w:rPr>
          <w:i/>
          <w:sz w:val="24"/>
          <w:szCs w:val="24"/>
          <w:highlight w:val="white"/>
        </w:rPr>
        <w:t>Sifrei</w:t>
      </w:r>
      <w:r w:rsidR="0069429F">
        <w:rPr>
          <w:sz w:val="24"/>
          <w:szCs w:val="24"/>
          <w:highlight w:val="white"/>
        </w:rPr>
        <w:t xml:space="preserve">, </w:t>
      </w:r>
      <w:r w:rsidR="00AB7F22">
        <w:rPr>
          <w:i/>
          <w:sz w:val="24"/>
          <w:szCs w:val="24"/>
          <w:highlight w:val="white"/>
        </w:rPr>
        <w:t>Parashat</w:t>
      </w:r>
      <w:r>
        <w:rPr>
          <w:i/>
          <w:sz w:val="24"/>
          <w:szCs w:val="24"/>
          <w:highlight w:val="white"/>
        </w:rPr>
        <w:t xml:space="preserve"> Ekev</w:t>
      </w:r>
      <w:r w:rsidR="0069429F">
        <w:rPr>
          <w:rFonts w:hint="cs"/>
          <w:i/>
          <w:sz w:val="24"/>
          <w:szCs w:val="24"/>
          <w:highlight w:val="white"/>
          <w:rtl/>
        </w:rPr>
        <w:t xml:space="preserve"> </w:t>
      </w:r>
      <w:r w:rsidR="0069429F">
        <w:rPr>
          <w:i/>
          <w:sz w:val="24"/>
          <w:szCs w:val="24"/>
          <w:highlight w:val="white"/>
        </w:rPr>
        <w:t>37</w:t>
      </w:r>
      <w:r>
        <w:rPr>
          <w:sz w:val="24"/>
          <w:szCs w:val="24"/>
          <w:highlight w:val="white"/>
        </w:rPr>
        <w:t xml:space="preserve">) </w:t>
      </w:r>
    </w:p>
    <w:p w:rsidR="00777F58" w:rsidRDefault="00777F58" w:rsidP="00FB41E8">
      <w:pPr>
        <w:spacing w:line="240" w:lineRule="auto"/>
        <w:ind w:left="720"/>
        <w:jc w:val="both"/>
        <w:rPr>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The Babylonian Talmud suggests this motif in a few sources. It often cites “</w:t>
      </w:r>
      <w:r>
        <w:rPr>
          <w:i/>
          <w:sz w:val="24"/>
          <w:szCs w:val="24"/>
          <w:highlight w:val="white"/>
        </w:rPr>
        <w:t>Ma’arava</w:t>
      </w:r>
      <w:r>
        <w:rPr>
          <w:sz w:val="24"/>
          <w:szCs w:val="24"/>
          <w:highlight w:val="white"/>
        </w:rPr>
        <w:t xml:space="preserve">,” the West (which denotes Israel, which is west of Babylonia), as a source of wisdom. This may imply that the sages of Israel were given unique deference. </w:t>
      </w:r>
      <w:r w:rsidR="00755318">
        <w:rPr>
          <w:sz w:val="24"/>
          <w:szCs w:val="24"/>
          <w:highlight w:val="white"/>
          <w:lang w:val="en-US"/>
        </w:rPr>
        <w:t xml:space="preserve">In </w:t>
      </w:r>
      <w:r>
        <w:rPr>
          <w:i/>
          <w:sz w:val="24"/>
          <w:szCs w:val="24"/>
          <w:highlight w:val="white"/>
        </w:rPr>
        <w:t xml:space="preserve">Bava Batra </w:t>
      </w:r>
      <w:r>
        <w:rPr>
          <w:sz w:val="24"/>
          <w:szCs w:val="24"/>
          <w:highlight w:val="white"/>
        </w:rPr>
        <w:t xml:space="preserve">158b, to which we will return, </w:t>
      </w:r>
      <w:r w:rsidR="00755318">
        <w:rPr>
          <w:sz w:val="24"/>
          <w:szCs w:val="24"/>
          <w:highlight w:val="white"/>
        </w:rPr>
        <w:t xml:space="preserve">Rabbi Zeira </w:t>
      </w:r>
      <w:r>
        <w:rPr>
          <w:sz w:val="24"/>
          <w:szCs w:val="24"/>
          <w:highlight w:val="white"/>
        </w:rPr>
        <w:t xml:space="preserve">remarks cryptically that “the air of the Land of Israel </w:t>
      </w:r>
      <w:r w:rsidR="00755318">
        <w:rPr>
          <w:sz w:val="24"/>
          <w:szCs w:val="24"/>
          <w:highlight w:val="white"/>
        </w:rPr>
        <w:t>makes one wise</w:t>
      </w:r>
      <w:r>
        <w:rPr>
          <w:sz w:val="24"/>
          <w:szCs w:val="24"/>
          <w:highlight w:val="white"/>
        </w:rPr>
        <w:t xml:space="preserve">.” Inversely, in </w:t>
      </w:r>
      <w:r>
        <w:rPr>
          <w:i/>
          <w:sz w:val="24"/>
          <w:szCs w:val="24"/>
          <w:highlight w:val="white"/>
        </w:rPr>
        <w:t>Sanhedrin</w:t>
      </w:r>
      <w:r w:rsidR="00017CAD">
        <w:rPr>
          <w:sz w:val="24"/>
          <w:szCs w:val="24"/>
          <w:highlight w:val="white"/>
        </w:rPr>
        <w:t xml:space="preserve"> 24a, </w:t>
      </w:r>
      <w:r w:rsidR="00017CAD">
        <w:rPr>
          <w:sz w:val="24"/>
          <w:szCs w:val="24"/>
          <w:highlight w:val="white"/>
          <w:lang w:val="en-US"/>
        </w:rPr>
        <w:t xml:space="preserve">Rabbi </w:t>
      </w:r>
      <w:r w:rsidR="00AB7F22">
        <w:rPr>
          <w:sz w:val="24"/>
          <w:szCs w:val="24"/>
          <w:highlight w:val="white"/>
        </w:rPr>
        <w:t>Yirmeya</w:t>
      </w:r>
      <w:r>
        <w:rPr>
          <w:sz w:val="24"/>
          <w:szCs w:val="24"/>
          <w:highlight w:val="white"/>
        </w:rPr>
        <w:t xml:space="preserve">, an </w:t>
      </w:r>
      <w:r w:rsidR="00755318">
        <w:rPr>
          <w:sz w:val="24"/>
          <w:szCs w:val="24"/>
          <w:highlight w:val="white"/>
        </w:rPr>
        <w:t xml:space="preserve">Amora from the Land of </w:t>
      </w:r>
      <w:r>
        <w:rPr>
          <w:sz w:val="24"/>
          <w:szCs w:val="24"/>
          <w:highlight w:val="white"/>
        </w:rPr>
        <w:t>Israel</w:t>
      </w:r>
      <w:r w:rsidR="00755318">
        <w:rPr>
          <w:sz w:val="24"/>
          <w:szCs w:val="24"/>
          <w:highlight w:val="white"/>
        </w:rPr>
        <w:t xml:space="preserve">, </w:t>
      </w:r>
      <w:r>
        <w:rPr>
          <w:sz w:val="24"/>
          <w:szCs w:val="24"/>
          <w:highlight w:val="white"/>
        </w:rPr>
        <w:t>refers derogato</w:t>
      </w:r>
      <w:r w:rsidR="00017CAD">
        <w:rPr>
          <w:sz w:val="24"/>
          <w:szCs w:val="24"/>
          <w:highlight w:val="white"/>
        </w:rPr>
        <w:t xml:space="preserve">rily to the sages of Babylonia: </w:t>
      </w:r>
      <w:r w:rsidR="005E42A7">
        <w:rPr>
          <w:sz w:val="24"/>
          <w:szCs w:val="24"/>
          <w:highlight w:val="white"/>
        </w:rPr>
        <w:t>“‘</w:t>
      </w:r>
      <w:r>
        <w:rPr>
          <w:sz w:val="24"/>
          <w:szCs w:val="24"/>
          <w:highlight w:val="white"/>
        </w:rPr>
        <w:t>He placed me in darkne</w:t>
      </w:r>
      <w:r w:rsidR="00755318">
        <w:rPr>
          <w:sz w:val="24"/>
          <w:szCs w:val="24"/>
          <w:highlight w:val="white"/>
        </w:rPr>
        <w:t>ss like the dead of the world</w:t>
      </w:r>
      <w:r w:rsidR="00017CAD">
        <w:rPr>
          <w:sz w:val="24"/>
          <w:szCs w:val="24"/>
          <w:highlight w:val="white"/>
        </w:rPr>
        <w:t>’ (</w:t>
      </w:r>
      <w:r w:rsidR="00017CAD">
        <w:rPr>
          <w:i/>
          <w:iCs/>
          <w:sz w:val="24"/>
          <w:szCs w:val="24"/>
          <w:highlight w:val="white"/>
        </w:rPr>
        <w:t xml:space="preserve">Eikha </w:t>
      </w:r>
      <w:r w:rsidR="005E42A7">
        <w:rPr>
          <w:sz w:val="24"/>
          <w:szCs w:val="24"/>
          <w:highlight w:val="white"/>
        </w:rPr>
        <w:t>3:6</w:t>
      </w:r>
      <w:r w:rsidR="00017CAD">
        <w:rPr>
          <w:sz w:val="24"/>
          <w:szCs w:val="24"/>
          <w:highlight w:val="white"/>
        </w:rPr>
        <w:t xml:space="preserve">) </w:t>
      </w:r>
      <w:r w:rsidR="00755318">
        <w:rPr>
          <w:sz w:val="24"/>
          <w:szCs w:val="24"/>
          <w:highlight w:val="white"/>
        </w:rPr>
        <w:t xml:space="preserve">— </w:t>
      </w:r>
      <w:r w:rsidR="00017CAD">
        <w:rPr>
          <w:sz w:val="24"/>
          <w:szCs w:val="24"/>
          <w:highlight w:val="white"/>
        </w:rPr>
        <w:t xml:space="preserve">Rabbi Yirmeya said: </w:t>
      </w:r>
      <w:r>
        <w:rPr>
          <w:sz w:val="24"/>
          <w:szCs w:val="24"/>
          <w:highlight w:val="white"/>
        </w:rPr>
        <w:t>this is the Talmud of Babylonia.”</w:t>
      </w:r>
      <w:r>
        <w:rPr>
          <w:sz w:val="24"/>
          <w:szCs w:val="24"/>
          <w:highlight w:val="white"/>
          <w:vertAlign w:val="superscript"/>
        </w:rPr>
        <w:footnoteReference w:id="1"/>
      </w:r>
      <w:r>
        <w:rPr>
          <w:sz w:val="24"/>
          <w:szCs w:val="24"/>
          <w:highlight w:val="white"/>
        </w:rPr>
        <w:t xml:space="preserve"> A number of </w:t>
      </w:r>
      <w:r>
        <w:rPr>
          <w:i/>
          <w:sz w:val="24"/>
          <w:szCs w:val="24"/>
          <w:highlight w:val="white"/>
        </w:rPr>
        <w:t xml:space="preserve">sugyot </w:t>
      </w:r>
      <w:r>
        <w:rPr>
          <w:sz w:val="24"/>
          <w:szCs w:val="24"/>
          <w:highlight w:val="white"/>
        </w:rPr>
        <w:t>(</w:t>
      </w:r>
      <w:r>
        <w:rPr>
          <w:i/>
          <w:sz w:val="24"/>
          <w:szCs w:val="24"/>
          <w:highlight w:val="white"/>
        </w:rPr>
        <w:t>Ketubot</w:t>
      </w:r>
      <w:r>
        <w:rPr>
          <w:sz w:val="24"/>
          <w:szCs w:val="24"/>
          <w:highlight w:val="white"/>
        </w:rPr>
        <w:t xml:space="preserve"> 75a, </w:t>
      </w:r>
      <w:r>
        <w:rPr>
          <w:i/>
          <w:sz w:val="24"/>
          <w:szCs w:val="24"/>
          <w:highlight w:val="white"/>
        </w:rPr>
        <w:t>Yoma</w:t>
      </w:r>
      <w:r>
        <w:rPr>
          <w:sz w:val="24"/>
          <w:szCs w:val="24"/>
          <w:highlight w:val="white"/>
        </w:rPr>
        <w:t xml:space="preserve"> 57a, </w:t>
      </w:r>
      <w:r>
        <w:rPr>
          <w:i/>
          <w:sz w:val="24"/>
          <w:szCs w:val="24"/>
          <w:highlight w:val="white"/>
        </w:rPr>
        <w:t>Bava Metzia</w:t>
      </w:r>
      <w:r>
        <w:rPr>
          <w:sz w:val="24"/>
          <w:szCs w:val="24"/>
          <w:highlight w:val="white"/>
        </w:rPr>
        <w:t xml:space="preserve"> 85a) cite </w:t>
      </w:r>
      <w:r w:rsidR="0059786F">
        <w:rPr>
          <w:sz w:val="24"/>
          <w:szCs w:val="24"/>
          <w:highlight w:val="white"/>
        </w:rPr>
        <w:t>scholars</w:t>
      </w:r>
      <w:r w:rsidR="00755318">
        <w:rPr>
          <w:sz w:val="24"/>
          <w:szCs w:val="24"/>
          <w:highlight w:val="white"/>
        </w:rPr>
        <w:t xml:space="preserve"> </w:t>
      </w:r>
      <w:r w:rsidR="00755318">
        <w:rPr>
          <w:sz w:val="24"/>
          <w:szCs w:val="24"/>
          <w:highlight w:val="white"/>
        </w:rPr>
        <w:lastRenderedPageBreak/>
        <w:t xml:space="preserve">from the Land of </w:t>
      </w:r>
      <w:r>
        <w:rPr>
          <w:sz w:val="24"/>
          <w:szCs w:val="24"/>
          <w:highlight w:val="white"/>
        </w:rPr>
        <w:t>Israe</w:t>
      </w:r>
      <w:r w:rsidR="00755318">
        <w:rPr>
          <w:sz w:val="24"/>
          <w:szCs w:val="24"/>
          <w:highlight w:val="white"/>
        </w:rPr>
        <w:t>l</w:t>
      </w:r>
      <w:r>
        <w:rPr>
          <w:sz w:val="24"/>
          <w:szCs w:val="24"/>
          <w:highlight w:val="white"/>
        </w:rPr>
        <w:t xml:space="preserve"> who call their Babylonian counterparts “imbecilic Babylonians.” In the passage in </w:t>
      </w:r>
      <w:r>
        <w:rPr>
          <w:i/>
          <w:sz w:val="24"/>
          <w:szCs w:val="24"/>
          <w:highlight w:val="white"/>
        </w:rPr>
        <w:t>Yoma</w:t>
      </w:r>
      <w:r>
        <w:rPr>
          <w:sz w:val="24"/>
          <w:szCs w:val="24"/>
          <w:highlight w:val="white"/>
        </w:rPr>
        <w:t>, in regard to a detail concerning the sprinkling of the blood during the High Priest’s Yom Kippur Temple service, Ra</w:t>
      </w:r>
      <w:r w:rsidR="00017CAD">
        <w:rPr>
          <w:sz w:val="24"/>
          <w:szCs w:val="24"/>
          <w:highlight w:val="white"/>
        </w:rPr>
        <w:t>bbi</w:t>
      </w:r>
      <w:r>
        <w:rPr>
          <w:sz w:val="24"/>
          <w:szCs w:val="24"/>
          <w:highlight w:val="white"/>
        </w:rPr>
        <w:t xml:space="preserve"> </w:t>
      </w:r>
      <w:r w:rsidR="00AB7F22">
        <w:rPr>
          <w:sz w:val="24"/>
          <w:szCs w:val="24"/>
          <w:highlight w:val="white"/>
        </w:rPr>
        <w:t>Yirmeya</w:t>
      </w:r>
      <w:r w:rsidR="00755318">
        <w:rPr>
          <w:sz w:val="24"/>
          <w:szCs w:val="24"/>
          <w:highlight w:val="white"/>
        </w:rPr>
        <w:t xml:space="preserve"> </w:t>
      </w:r>
      <w:r w:rsidR="003D0EBC">
        <w:rPr>
          <w:sz w:val="24"/>
          <w:szCs w:val="24"/>
          <w:highlight w:val="white"/>
        </w:rPr>
        <w:t>again</w:t>
      </w:r>
      <w:r w:rsidR="00755318">
        <w:rPr>
          <w:sz w:val="24"/>
          <w:szCs w:val="24"/>
          <w:highlight w:val="white"/>
        </w:rPr>
        <w:t xml:space="preserve"> </w:t>
      </w:r>
      <w:r w:rsidR="00650498">
        <w:rPr>
          <w:sz w:val="24"/>
          <w:szCs w:val="24"/>
          <w:highlight w:val="white"/>
        </w:rPr>
        <w:t>comments</w:t>
      </w:r>
      <w:r w:rsidR="00650498">
        <w:rPr>
          <w:rFonts w:hint="cs"/>
          <w:sz w:val="24"/>
          <w:szCs w:val="24"/>
          <w:highlight w:val="white"/>
          <w:rtl/>
        </w:rPr>
        <w:t>:</w:t>
      </w:r>
      <w:r>
        <w:rPr>
          <w:sz w:val="24"/>
          <w:szCs w:val="24"/>
          <w:highlight w:val="white"/>
        </w:rPr>
        <w:t xml:space="preserve"> “</w:t>
      </w:r>
      <w:r w:rsidR="00650498">
        <w:rPr>
          <w:rFonts w:hint="cs"/>
          <w:sz w:val="24"/>
          <w:szCs w:val="24"/>
          <w:highlight w:val="white"/>
        </w:rPr>
        <w:t>T</w:t>
      </w:r>
      <w:r w:rsidR="00650498">
        <w:rPr>
          <w:sz w:val="24"/>
          <w:szCs w:val="24"/>
          <w:highlight w:val="white"/>
        </w:rPr>
        <w:t xml:space="preserve">hese imbecilic </w:t>
      </w:r>
      <w:r w:rsidR="0059786F">
        <w:rPr>
          <w:sz w:val="24"/>
          <w:szCs w:val="24"/>
          <w:highlight w:val="white"/>
        </w:rPr>
        <w:t>Babylonians</w:t>
      </w:r>
      <w:r w:rsidR="00650498">
        <w:rPr>
          <w:sz w:val="24"/>
          <w:szCs w:val="24"/>
          <w:highlight w:val="white"/>
        </w:rPr>
        <w:t>! B</w:t>
      </w:r>
      <w:r>
        <w:rPr>
          <w:sz w:val="24"/>
          <w:szCs w:val="24"/>
          <w:highlight w:val="white"/>
        </w:rPr>
        <w:t>ecause the</w:t>
      </w:r>
      <w:r w:rsidR="00650498">
        <w:rPr>
          <w:sz w:val="24"/>
          <w:szCs w:val="24"/>
          <w:highlight w:val="white"/>
        </w:rPr>
        <w:t>y reside in a dim</w:t>
      </w:r>
      <w:r>
        <w:rPr>
          <w:sz w:val="24"/>
          <w:szCs w:val="24"/>
          <w:highlight w:val="white"/>
        </w:rPr>
        <w:t xml:space="preserve"> land, the</w:t>
      </w:r>
      <w:r w:rsidR="00650498">
        <w:rPr>
          <w:sz w:val="24"/>
          <w:szCs w:val="24"/>
          <w:highlight w:val="white"/>
        </w:rPr>
        <w:t>ir teachings are benighted</w:t>
      </w:r>
      <w:r>
        <w:rPr>
          <w:sz w:val="24"/>
          <w:szCs w:val="24"/>
          <w:highlight w:val="white"/>
        </w:rPr>
        <w:t xml:space="preserve">.” Taken together, these sources suggest that the sages of Israel were, at least in some quarters, viewed as endowed with wisdom that their eastern colleagues could not achieve.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 xml:space="preserve">On the other hand, of course, the Babylonian Talmud is generally accepted as preeminent over </w:t>
      </w:r>
      <w:r w:rsidR="00755318">
        <w:rPr>
          <w:sz w:val="24"/>
          <w:szCs w:val="24"/>
          <w:highlight w:val="white"/>
        </w:rPr>
        <w:t xml:space="preserve">the </w:t>
      </w:r>
      <w:r w:rsidR="0059786F">
        <w:rPr>
          <w:sz w:val="24"/>
          <w:szCs w:val="24"/>
          <w:highlight w:val="white"/>
        </w:rPr>
        <w:t>Jerusalem</w:t>
      </w:r>
      <w:r w:rsidR="00755318">
        <w:rPr>
          <w:sz w:val="24"/>
          <w:szCs w:val="24"/>
          <w:highlight w:val="white"/>
        </w:rPr>
        <w:t xml:space="preserve"> Talmud</w:t>
      </w:r>
      <w:r>
        <w:rPr>
          <w:sz w:val="24"/>
          <w:szCs w:val="24"/>
          <w:highlight w:val="white"/>
        </w:rPr>
        <w:t xml:space="preserve"> in regard to determining practical </w:t>
      </w:r>
      <w:r>
        <w:rPr>
          <w:i/>
          <w:sz w:val="24"/>
          <w:szCs w:val="24"/>
          <w:highlight w:val="white"/>
        </w:rPr>
        <w:t>halakha</w:t>
      </w:r>
      <w:r>
        <w:rPr>
          <w:sz w:val="24"/>
          <w:szCs w:val="24"/>
          <w:highlight w:val="white"/>
        </w:rPr>
        <w:t xml:space="preserve">. What is more, the curricula of nearly all </w:t>
      </w:r>
      <w:r>
        <w:rPr>
          <w:i/>
          <w:sz w:val="24"/>
          <w:szCs w:val="24"/>
          <w:highlight w:val="white"/>
        </w:rPr>
        <w:t>yeshivot</w:t>
      </w:r>
      <w:r w:rsidR="00650498">
        <w:rPr>
          <w:sz w:val="24"/>
          <w:szCs w:val="24"/>
          <w:highlight w:val="white"/>
        </w:rPr>
        <w:t>, from the Middle A</w:t>
      </w:r>
      <w:r>
        <w:rPr>
          <w:sz w:val="24"/>
          <w:szCs w:val="24"/>
          <w:highlight w:val="white"/>
        </w:rPr>
        <w:t xml:space="preserve">ges through today, have emphasized the Bavli at the expense of the Yerushalmi. How are we to square the apparent preference for the Bavli with the concept of </w:t>
      </w:r>
      <w:r>
        <w:rPr>
          <w:i/>
          <w:sz w:val="24"/>
          <w:szCs w:val="24"/>
          <w:highlight w:val="white"/>
        </w:rPr>
        <w:t>Torat Eretz Yisrael</w:t>
      </w:r>
      <w:r>
        <w:rPr>
          <w:sz w:val="24"/>
          <w:szCs w:val="24"/>
          <w:highlight w:val="white"/>
        </w:rPr>
        <w:t xml:space="preserve">? To resolve this question, we must inquire as to the underlying logic for the special stature of the Torah of Israel.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b/>
          <w:sz w:val="24"/>
          <w:szCs w:val="24"/>
          <w:highlight w:val="white"/>
        </w:rPr>
      </w:pPr>
      <w:r>
        <w:rPr>
          <w:b/>
          <w:sz w:val="24"/>
          <w:szCs w:val="24"/>
          <w:highlight w:val="white"/>
        </w:rPr>
        <w:t>Basis</w:t>
      </w:r>
    </w:p>
    <w:p w:rsidR="00650498" w:rsidRDefault="00650498" w:rsidP="00FB41E8">
      <w:pPr>
        <w:spacing w:line="240" w:lineRule="auto"/>
        <w:jc w:val="both"/>
        <w:rPr>
          <w:b/>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 xml:space="preserve">In seeking to </w:t>
      </w:r>
      <w:r w:rsidR="00017CAD">
        <w:rPr>
          <w:sz w:val="24"/>
          <w:szCs w:val="24"/>
          <w:highlight w:val="white"/>
        </w:rPr>
        <w:t>understan</w:t>
      </w:r>
      <w:r>
        <w:rPr>
          <w:sz w:val="24"/>
          <w:szCs w:val="24"/>
          <w:highlight w:val="white"/>
        </w:rPr>
        <w:t xml:space="preserve">d </w:t>
      </w:r>
      <w:r>
        <w:rPr>
          <w:i/>
          <w:sz w:val="24"/>
          <w:szCs w:val="24"/>
          <w:highlight w:val="white"/>
        </w:rPr>
        <w:t>Torat Eretz Yisrael</w:t>
      </w:r>
      <w:r>
        <w:rPr>
          <w:sz w:val="24"/>
          <w:szCs w:val="24"/>
          <w:highlight w:val="white"/>
        </w:rPr>
        <w:t>, we may c</w:t>
      </w:r>
      <w:r w:rsidR="00017CAD">
        <w:rPr>
          <w:sz w:val="24"/>
          <w:szCs w:val="24"/>
          <w:highlight w:val="white"/>
        </w:rPr>
        <w:t>ite an observation of Ritva (</w:t>
      </w:r>
      <w:r>
        <w:rPr>
          <w:i/>
          <w:sz w:val="24"/>
          <w:szCs w:val="24"/>
          <w:highlight w:val="white"/>
        </w:rPr>
        <w:t>Yoma</w:t>
      </w:r>
      <w:r>
        <w:rPr>
          <w:sz w:val="24"/>
          <w:szCs w:val="24"/>
          <w:highlight w:val="white"/>
        </w:rPr>
        <w:t xml:space="preserve"> 57a, s.v. </w:t>
      </w:r>
      <w:r>
        <w:rPr>
          <w:i/>
          <w:sz w:val="24"/>
          <w:szCs w:val="24"/>
          <w:highlight w:val="white"/>
        </w:rPr>
        <w:t>Mishum</w:t>
      </w:r>
      <w:r>
        <w:rPr>
          <w:sz w:val="24"/>
          <w:szCs w:val="24"/>
          <w:highlight w:val="white"/>
        </w:rPr>
        <w:t xml:space="preserve">), who </w:t>
      </w:r>
      <w:r w:rsidR="00017CAD">
        <w:rPr>
          <w:sz w:val="24"/>
          <w:szCs w:val="24"/>
          <w:highlight w:val="white"/>
        </w:rPr>
        <w:t xml:space="preserve">analyzes Rabbi Yirmeya’s comment </w:t>
      </w:r>
      <w:r>
        <w:rPr>
          <w:sz w:val="24"/>
          <w:szCs w:val="24"/>
          <w:highlight w:val="white"/>
        </w:rPr>
        <w:t xml:space="preserve">in </w:t>
      </w:r>
      <w:r>
        <w:rPr>
          <w:i/>
          <w:sz w:val="24"/>
          <w:szCs w:val="24"/>
          <w:highlight w:val="white"/>
        </w:rPr>
        <w:t>Sanhedrin</w:t>
      </w:r>
      <w:r>
        <w:rPr>
          <w:sz w:val="24"/>
          <w:szCs w:val="24"/>
          <w:highlight w:val="white"/>
        </w:rPr>
        <w:t xml:space="preserve">. The citation of the verse in </w:t>
      </w:r>
      <w:r>
        <w:rPr>
          <w:i/>
          <w:sz w:val="24"/>
          <w:szCs w:val="24"/>
          <w:highlight w:val="white"/>
        </w:rPr>
        <w:t>Eikha</w:t>
      </w:r>
      <w:r>
        <w:rPr>
          <w:sz w:val="24"/>
          <w:szCs w:val="24"/>
          <w:highlight w:val="white"/>
        </w:rPr>
        <w:t xml:space="preserve">, which concerns the destruction of the First Temple and the </w:t>
      </w:r>
      <w:r w:rsidR="003D0EBC">
        <w:rPr>
          <w:sz w:val="24"/>
          <w:szCs w:val="24"/>
          <w:highlight w:val="white"/>
        </w:rPr>
        <w:t xml:space="preserve">exile of the </w:t>
      </w:r>
      <w:r>
        <w:rPr>
          <w:sz w:val="24"/>
          <w:szCs w:val="24"/>
          <w:highlight w:val="white"/>
        </w:rPr>
        <w:t xml:space="preserve">inhabitants of </w:t>
      </w:r>
      <w:r w:rsidR="003D0EBC">
        <w:rPr>
          <w:sz w:val="24"/>
          <w:szCs w:val="24"/>
          <w:highlight w:val="white"/>
        </w:rPr>
        <w:t xml:space="preserve">the Land of </w:t>
      </w:r>
      <w:r>
        <w:rPr>
          <w:sz w:val="24"/>
          <w:szCs w:val="24"/>
          <w:highlight w:val="white"/>
        </w:rPr>
        <w:t xml:space="preserve">Israel, suggests </w:t>
      </w:r>
      <w:r w:rsidR="00755318">
        <w:rPr>
          <w:sz w:val="24"/>
          <w:szCs w:val="24"/>
          <w:highlight w:val="white"/>
        </w:rPr>
        <w:t xml:space="preserve">that the preference for </w:t>
      </w:r>
      <w:r>
        <w:rPr>
          <w:sz w:val="24"/>
          <w:szCs w:val="24"/>
          <w:highlight w:val="white"/>
        </w:rPr>
        <w:t>learning</w:t>
      </w:r>
      <w:r w:rsidR="00755318">
        <w:rPr>
          <w:sz w:val="24"/>
          <w:szCs w:val="24"/>
          <w:highlight w:val="white"/>
        </w:rPr>
        <w:t xml:space="preserve"> in the Land of Israel</w:t>
      </w:r>
      <w:r>
        <w:rPr>
          <w:sz w:val="24"/>
          <w:szCs w:val="24"/>
          <w:highlight w:val="white"/>
        </w:rPr>
        <w:t xml:space="preserve"> is a function of the diminishment of the </w:t>
      </w:r>
      <w:r w:rsidR="00017CAD">
        <w:rPr>
          <w:sz w:val="24"/>
          <w:szCs w:val="24"/>
          <w:highlight w:val="white"/>
        </w:rPr>
        <w:t xml:space="preserve">Jewish community in exile. </w:t>
      </w:r>
      <w:r>
        <w:rPr>
          <w:sz w:val="24"/>
          <w:szCs w:val="24"/>
          <w:highlight w:val="white"/>
        </w:rPr>
        <w:t>Rambam</w:t>
      </w:r>
      <w:r w:rsidR="00017CAD">
        <w:rPr>
          <w:sz w:val="24"/>
          <w:szCs w:val="24"/>
          <w:highlight w:val="white"/>
        </w:rPr>
        <w:t xml:space="preserve"> also</w:t>
      </w:r>
      <w:r>
        <w:rPr>
          <w:sz w:val="24"/>
          <w:szCs w:val="24"/>
          <w:highlight w:val="white"/>
        </w:rPr>
        <w:t xml:space="preserve"> feared that the trials and tribulations of his generation posed a grave danger to the Oral Law’</w:t>
      </w:r>
      <w:r w:rsidR="00017CAD">
        <w:rPr>
          <w:sz w:val="24"/>
          <w:szCs w:val="24"/>
          <w:highlight w:val="white"/>
        </w:rPr>
        <w:t xml:space="preserve">s continuity, and </w:t>
      </w:r>
      <w:r>
        <w:rPr>
          <w:sz w:val="24"/>
          <w:szCs w:val="24"/>
          <w:highlight w:val="white"/>
        </w:rPr>
        <w:t>exilic communities generally lack the peace of mind nece</w:t>
      </w:r>
      <w:r w:rsidR="00017CAD">
        <w:rPr>
          <w:sz w:val="24"/>
          <w:szCs w:val="24"/>
          <w:highlight w:val="white"/>
        </w:rPr>
        <w:t>ssary to study Torah properly. I</w:t>
      </w:r>
      <w:r>
        <w:rPr>
          <w:sz w:val="24"/>
          <w:szCs w:val="24"/>
          <w:highlight w:val="white"/>
        </w:rPr>
        <w:t xml:space="preserve">n this view, the difference between Israel and elsewhere is not inherent but situational.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If we adopt this circumstantial interpretation, Ritva contends, it is logical to a</w:t>
      </w:r>
      <w:r w:rsidR="00017CAD">
        <w:rPr>
          <w:sz w:val="24"/>
          <w:szCs w:val="24"/>
          <w:highlight w:val="white"/>
        </w:rPr>
        <w:t>rgue that in some periods, the D</w:t>
      </w:r>
      <w:r>
        <w:rPr>
          <w:sz w:val="24"/>
          <w:szCs w:val="24"/>
          <w:highlight w:val="white"/>
        </w:rPr>
        <w:t xml:space="preserve">iaspora community can achieve sufficient stability such that it can rival and even eclipse the Torah of Israel. This explains the contemporary preference for the Babylonian Talmud. For a number of reasons, including </w:t>
      </w:r>
      <w:r w:rsidR="00017CAD">
        <w:rPr>
          <w:sz w:val="24"/>
          <w:szCs w:val="24"/>
          <w:highlight w:val="white"/>
        </w:rPr>
        <w:t xml:space="preserve">persecution, the Yerushalmi </w:t>
      </w:r>
      <w:r>
        <w:rPr>
          <w:sz w:val="24"/>
          <w:szCs w:val="24"/>
          <w:highlight w:val="white"/>
        </w:rPr>
        <w:t>was never subject to the same revision process as the Bavli, and i</w:t>
      </w:r>
      <w:r w:rsidR="00510E5C">
        <w:rPr>
          <w:sz w:val="24"/>
          <w:szCs w:val="24"/>
          <w:highlight w:val="white"/>
        </w:rPr>
        <w:t>t i</w:t>
      </w:r>
      <w:r>
        <w:rPr>
          <w:sz w:val="24"/>
          <w:szCs w:val="24"/>
          <w:highlight w:val="white"/>
        </w:rPr>
        <w:t xml:space="preserve">s far more difficult to decode. This demonstrates the superiority of the product eventually produced by the sages of Bavel, who ultimately achieved the stability necessary to create a superior body of work. For Ritva, the superiority of the Bavli is evidence of the circumstantial reading of the </w:t>
      </w:r>
      <w:r>
        <w:rPr>
          <w:i/>
          <w:sz w:val="24"/>
          <w:szCs w:val="24"/>
          <w:highlight w:val="white"/>
        </w:rPr>
        <w:t>Torat Eretz Yisrael</w:t>
      </w:r>
      <w:r>
        <w:rPr>
          <w:sz w:val="24"/>
          <w:szCs w:val="24"/>
          <w:highlight w:val="white"/>
        </w:rPr>
        <w:t xml:space="preserve"> doctrine.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 xml:space="preserve">For an alternative explanation of the preference for the Bavli over the Yerushalmi, as well as a more intrinsic model of </w:t>
      </w:r>
      <w:r>
        <w:rPr>
          <w:i/>
          <w:sz w:val="24"/>
          <w:szCs w:val="24"/>
          <w:highlight w:val="white"/>
        </w:rPr>
        <w:t>Torat Eretz Yisrael</w:t>
      </w:r>
      <w:r w:rsidR="00017CAD">
        <w:rPr>
          <w:i/>
          <w:sz w:val="24"/>
          <w:szCs w:val="24"/>
          <w:highlight w:val="white"/>
        </w:rPr>
        <w:t>,</w:t>
      </w:r>
      <w:r>
        <w:rPr>
          <w:i/>
          <w:sz w:val="24"/>
          <w:szCs w:val="24"/>
          <w:highlight w:val="white"/>
        </w:rPr>
        <w:t xml:space="preserve"> </w:t>
      </w:r>
      <w:r>
        <w:rPr>
          <w:sz w:val="24"/>
          <w:szCs w:val="24"/>
          <w:highlight w:val="white"/>
        </w:rPr>
        <w:t>we may begin with a classic passage of R</w:t>
      </w:r>
      <w:r w:rsidR="0059786F">
        <w:rPr>
          <w:sz w:val="24"/>
          <w:szCs w:val="24"/>
          <w:highlight w:val="white"/>
        </w:rPr>
        <w:t>av</w:t>
      </w:r>
      <w:r>
        <w:rPr>
          <w:sz w:val="24"/>
          <w:szCs w:val="24"/>
          <w:highlight w:val="white"/>
        </w:rPr>
        <w:t xml:space="preserve"> Naftali Tzvi Yehuda Berlin (</w:t>
      </w:r>
      <w:r w:rsidR="0059786F">
        <w:rPr>
          <w:i/>
          <w:sz w:val="24"/>
          <w:szCs w:val="24"/>
          <w:highlight w:val="white"/>
        </w:rPr>
        <w:t>Ha’a</w:t>
      </w:r>
      <w:r>
        <w:rPr>
          <w:i/>
          <w:sz w:val="24"/>
          <w:szCs w:val="24"/>
          <w:highlight w:val="white"/>
        </w:rPr>
        <w:t>mek Davar</w:t>
      </w:r>
      <w:r w:rsidR="0059786F">
        <w:rPr>
          <w:i/>
          <w:sz w:val="24"/>
          <w:szCs w:val="24"/>
          <w:highlight w:val="white"/>
        </w:rPr>
        <w:t>,</w:t>
      </w:r>
      <w:r>
        <w:rPr>
          <w:i/>
          <w:sz w:val="24"/>
          <w:szCs w:val="24"/>
          <w:highlight w:val="white"/>
        </w:rPr>
        <w:t xml:space="preserve"> Shemot </w:t>
      </w:r>
      <w:r>
        <w:rPr>
          <w:sz w:val="24"/>
          <w:szCs w:val="24"/>
          <w:highlight w:val="white"/>
        </w:rPr>
        <w:t>34:1). In an extended analysis, Netziv contends that while Moshe’s shattering of the Tabl</w:t>
      </w:r>
      <w:r w:rsidR="00510E5C">
        <w:rPr>
          <w:sz w:val="24"/>
          <w:szCs w:val="24"/>
          <w:highlight w:val="white"/>
        </w:rPr>
        <w:t>ets i</w:t>
      </w:r>
      <w:r>
        <w:rPr>
          <w:sz w:val="24"/>
          <w:szCs w:val="24"/>
          <w:highlight w:val="white"/>
        </w:rPr>
        <w:t>s tragic, nonetheless with the second set of Tablets, a new, more anthropocentric form of Torah stu</w:t>
      </w:r>
      <w:r w:rsidR="0059786F">
        <w:rPr>
          <w:sz w:val="24"/>
          <w:szCs w:val="24"/>
          <w:highlight w:val="white"/>
        </w:rPr>
        <w:t>dy is born. Moshe fashions the Second T</w:t>
      </w:r>
      <w:r>
        <w:rPr>
          <w:sz w:val="24"/>
          <w:szCs w:val="24"/>
          <w:highlight w:val="white"/>
        </w:rPr>
        <w:t xml:space="preserve">ablets </w:t>
      </w:r>
      <w:r>
        <w:rPr>
          <w:sz w:val="24"/>
          <w:szCs w:val="24"/>
          <w:highlight w:val="white"/>
        </w:rPr>
        <w:lastRenderedPageBreak/>
        <w:t xml:space="preserve">on his own, indicating that </w:t>
      </w:r>
      <w:r w:rsidR="0059786F">
        <w:rPr>
          <w:sz w:val="24"/>
          <w:szCs w:val="24"/>
          <w:highlight w:val="white"/>
        </w:rPr>
        <w:t xml:space="preserve">the Torah scholar must now play an active role instead of relying </w:t>
      </w:r>
      <w:r>
        <w:rPr>
          <w:sz w:val="24"/>
          <w:szCs w:val="24"/>
          <w:highlight w:val="white"/>
        </w:rPr>
        <w:t xml:space="preserve">on revelation. In such a context, critical analysis plays a crucial role. Netziv uses this insight to explain </w:t>
      </w:r>
      <w:r w:rsidR="0059786F">
        <w:rPr>
          <w:sz w:val="24"/>
          <w:szCs w:val="24"/>
          <w:highlight w:val="white"/>
        </w:rPr>
        <w:t>Rabbi Yirmeya’s view</w:t>
      </w:r>
      <w:r>
        <w:rPr>
          <w:sz w:val="24"/>
          <w:szCs w:val="24"/>
          <w:highlight w:val="white"/>
        </w:rPr>
        <w:t>: while it is true that Babylo</w:t>
      </w:r>
      <w:r w:rsidR="0059786F">
        <w:rPr>
          <w:sz w:val="24"/>
          <w:szCs w:val="24"/>
          <w:highlight w:val="white"/>
        </w:rPr>
        <w:t>nia is a place of darkness,</w:t>
      </w:r>
      <w:r>
        <w:rPr>
          <w:sz w:val="24"/>
          <w:szCs w:val="24"/>
          <w:highlight w:val="white"/>
        </w:rPr>
        <w:t xml:space="preserve"> nonetheless the uniqueness of its scholars is that, by way of analysis, they </w:t>
      </w:r>
      <w:r w:rsidR="00AB7F22">
        <w:rPr>
          <w:sz w:val="24"/>
          <w:szCs w:val="24"/>
          <w:highlight w:val="white"/>
        </w:rPr>
        <w:t>supersede</w:t>
      </w:r>
      <w:r>
        <w:rPr>
          <w:sz w:val="24"/>
          <w:szCs w:val="24"/>
          <w:highlight w:val="white"/>
        </w:rPr>
        <w:t xml:space="preserve"> their natural limitations and achieve profundity in their learning.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sz w:val="24"/>
          <w:szCs w:val="24"/>
        </w:rPr>
      </w:pPr>
      <w:r>
        <w:rPr>
          <w:sz w:val="24"/>
          <w:szCs w:val="24"/>
          <w:highlight w:val="white"/>
        </w:rPr>
        <w:t>Although Netziv does not say so explicitly, his approach is supported by</w:t>
      </w:r>
      <w:r w:rsidR="005E42A7">
        <w:rPr>
          <w:rFonts w:hint="cs"/>
          <w:sz w:val="24"/>
          <w:szCs w:val="24"/>
          <w:highlight w:val="white"/>
          <w:rtl/>
        </w:rPr>
        <w:t xml:space="preserve"> </w:t>
      </w:r>
      <w:r w:rsidR="005E42A7">
        <w:rPr>
          <w:sz w:val="24"/>
          <w:szCs w:val="24"/>
          <w:highlight w:val="white"/>
        </w:rPr>
        <w:t>a previous line in</w:t>
      </w:r>
      <w:r>
        <w:rPr>
          <w:sz w:val="24"/>
          <w:szCs w:val="24"/>
          <w:highlight w:val="white"/>
        </w:rPr>
        <w:t xml:space="preserve"> </w:t>
      </w:r>
      <w:r>
        <w:rPr>
          <w:i/>
          <w:sz w:val="24"/>
          <w:szCs w:val="24"/>
          <w:highlight w:val="white"/>
        </w:rPr>
        <w:t>Sanhedrin</w:t>
      </w:r>
      <w:r w:rsidR="005E42A7">
        <w:rPr>
          <w:sz w:val="24"/>
          <w:szCs w:val="24"/>
          <w:highlight w:val="white"/>
        </w:rPr>
        <w:t xml:space="preserve"> 24a, in which Rabbi Oshaya expounds a </w:t>
      </w:r>
      <w:r>
        <w:rPr>
          <w:sz w:val="24"/>
          <w:szCs w:val="24"/>
          <w:highlight w:val="white"/>
        </w:rPr>
        <w:t xml:space="preserve">verse in </w:t>
      </w:r>
      <w:r w:rsidR="00AB7F22">
        <w:rPr>
          <w:i/>
          <w:sz w:val="24"/>
          <w:szCs w:val="24"/>
          <w:highlight w:val="white"/>
        </w:rPr>
        <w:t>Zekharya</w:t>
      </w:r>
      <w:r>
        <w:rPr>
          <w:sz w:val="24"/>
          <w:szCs w:val="24"/>
          <w:highlight w:val="white"/>
        </w:rPr>
        <w:t xml:space="preserve"> </w:t>
      </w:r>
      <w:r w:rsidR="005E42A7">
        <w:rPr>
          <w:sz w:val="24"/>
          <w:szCs w:val="24"/>
          <w:highlight w:val="white"/>
        </w:rPr>
        <w:t xml:space="preserve">to refer to Babylonian scholars as </w:t>
      </w:r>
      <w:r>
        <w:rPr>
          <w:i/>
          <w:sz w:val="24"/>
          <w:szCs w:val="24"/>
          <w:highlight w:val="white"/>
        </w:rPr>
        <w:t>chov</w:t>
      </w:r>
      <w:r w:rsidR="00AB7F22">
        <w:rPr>
          <w:i/>
          <w:sz w:val="24"/>
          <w:szCs w:val="24"/>
          <w:highlight w:val="white"/>
        </w:rPr>
        <w:t>e</w:t>
      </w:r>
      <w:r>
        <w:rPr>
          <w:i/>
          <w:sz w:val="24"/>
          <w:szCs w:val="24"/>
          <w:highlight w:val="white"/>
        </w:rPr>
        <w:t>lim</w:t>
      </w:r>
      <w:r w:rsidR="005E42A7">
        <w:rPr>
          <w:sz w:val="24"/>
          <w:szCs w:val="24"/>
          <w:highlight w:val="white"/>
        </w:rPr>
        <w:t>,</w:t>
      </w:r>
      <w:r>
        <w:rPr>
          <w:sz w:val="24"/>
          <w:szCs w:val="24"/>
          <w:highlight w:val="white"/>
        </w:rPr>
        <w:t xml:space="preserve"> assailants. </w:t>
      </w:r>
      <w:r w:rsidR="005E42A7">
        <w:rPr>
          <w:sz w:val="24"/>
          <w:szCs w:val="24"/>
          <w:highlight w:val="white"/>
        </w:rPr>
        <w:t>W</w:t>
      </w:r>
      <w:r w:rsidR="00755318">
        <w:rPr>
          <w:sz w:val="24"/>
          <w:szCs w:val="24"/>
          <w:highlight w:val="white"/>
        </w:rPr>
        <w:t xml:space="preserve">hereas </w:t>
      </w:r>
      <w:r w:rsidR="005E42A7">
        <w:rPr>
          <w:sz w:val="24"/>
          <w:szCs w:val="24"/>
          <w:highlight w:val="white"/>
        </w:rPr>
        <w:t>sages</w:t>
      </w:r>
      <w:r>
        <w:rPr>
          <w:sz w:val="24"/>
          <w:szCs w:val="24"/>
          <w:highlight w:val="white"/>
        </w:rPr>
        <w:t xml:space="preserve"> </w:t>
      </w:r>
      <w:r w:rsidR="00755318">
        <w:rPr>
          <w:sz w:val="24"/>
          <w:szCs w:val="24"/>
          <w:highlight w:val="white"/>
        </w:rPr>
        <w:t>from the Land of Israel tend</w:t>
      </w:r>
      <w:r>
        <w:rPr>
          <w:sz w:val="24"/>
          <w:szCs w:val="24"/>
          <w:highlight w:val="white"/>
        </w:rPr>
        <w:t xml:space="preserve"> to </w:t>
      </w:r>
      <w:r w:rsidR="005E42A7">
        <w:rPr>
          <w:sz w:val="24"/>
          <w:szCs w:val="24"/>
          <w:highlight w:val="white"/>
        </w:rPr>
        <w:t>engage in pleasant Torah discourse, the Babylonian rabbis tend</w:t>
      </w:r>
      <w:r>
        <w:rPr>
          <w:sz w:val="24"/>
          <w:szCs w:val="24"/>
          <w:highlight w:val="white"/>
        </w:rPr>
        <w:t xml:space="preserve"> to be far more critical in their approach to their colleagues</w:t>
      </w:r>
      <w:r w:rsidR="005E42A7">
        <w:rPr>
          <w:sz w:val="24"/>
          <w:szCs w:val="24"/>
          <w:highlight w:val="white"/>
        </w:rPr>
        <w:t>’ positions, attacking each other</w:t>
      </w:r>
      <w:r>
        <w:rPr>
          <w:sz w:val="24"/>
          <w:szCs w:val="24"/>
          <w:highlight w:val="white"/>
        </w:rPr>
        <w:t xml:space="preserve">. This dovetails neatly with Netziv’s thesis. Because they refuse to simply accept their colleagues’ words at face value, </w:t>
      </w:r>
      <w:r w:rsidR="00BA2ECE">
        <w:rPr>
          <w:sz w:val="24"/>
          <w:szCs w:val="24"/>
          <w:highlight w:val="white"/>
        </w:rPr>
        <w:t>interrogating</w:t>
      </w:r>
      <w:r>
        <w:rPr>
          <w:sz w:val="24"/>
          <w:szCs w:val="24"/>
          <w:highlight w:val="white"/>
        </w:rPr>
        <w:t xml:space="preserve"> and </w:t>
      </w:r>
      <w:r w:rsidR="00BA2ECE">
        <w:rPr>
          <w:sz w:val="24"/>
          <w:szCs w:val="24"/>
          <w:highlight w:val="white"/>
        </w:rPr>
        <w:t>sharpening</w:t>
      </w:r>
      <w:r>
        <w:rPr>
          <w:sz w:val="24"/>
          <w:szCs w:val="24"/>
          <w:highlight w:val="white"/>
        </w:rPr>
        <w:t xml:space="preserve"> their opinions</w:t>
      </w:r>
      <w:r w:rsidR="00BA2ECE">
        <w:rPr>
          <w:sz w:val="24"/>
          <w:szCs w:val="24"/>
          <w:highlight w:val="white"/>
        </w:rPr>
        <w:t xml:space="preserve"> </w:t>
      </w:r>
      <w:r w:rsidR="0067559F">
        <w:rPr>
          <w:sz w:val="24"/>
          <w:szCs w:val="24"/>
          <w:highlight w:val="white"/>
        </w:rPr>
        <w:t>instead</w:t>
      </w:r>
      <w:r>
        <w:rPr>
          <w:sz w:val="24"/>
          <w:szCs w:val="24"/>
          <w:highlight w:val="white"/>
        </w:rPr>
        <w:t>, the scholars</w:t>
      </w:r>
      <w:r w:rsidR="005E42A7">
        <w:rPr>
          <w:sz w:val="24"/>
          <w:szCs w:val="24"/>
          <w:highlight w:val="white"/>
        </w:rPr>
        <w:t xml:space="preserve"> of Babylonia ultimately emerge</w:t>
      </w:r>
      <w:r>
        <w:rPr>
          <w:sz w:val="24"/>
          <w:szCs w:val="24"/>
          <w:highlight w:val="white"/>
        </w:rPr>
        <w:t xml:space="preserve"> as intellectual</w:t>
      </w:r>
      <w:r w:rsidR="00BA2ECE">
        <w:rPr>
          <w:sz w:val="24"/>
          <w:szCs w:val="24"/>
          <w:highlight w:val="white"/>
        </w:rPr>
        <w:t>ly</w:t>
      </w:r>
      <w:r>
        <w:rPr>
          <w:sz w:val="24"/>
          <w:szCs w:val="24"/>
          <w:highlight w:val="white"/>
        </w:rPr>
        <w:t xml:space="preserve"> superior. </w:t>
      </w:r>
    </w:p>
    <w:p w:rsidR="00777F58" w:rsidRDefault="00777F58" w:rsidP="00FB41E8">
      <w:pPr>
        <w:spacing w:line="240" w:lineRule="auto"/>
        <w:jc w:val="both"/>
        <w:rPr>
          <w:sz w:val="24"/>
          <w:szCs w:val="24"/>
          <w:highlight w:val="white"/>
        </w:rPr>
      </w:pPr>
    </w:p>
    <w:p w:rsidR="00777F58" w:rsidRDefault="008B5DF0" w:rsidP="00FB41E8">
      <w:pPr>
        <w:spacing w:line="240" w:lineRule="auto"/>
        <w:jc w:val="both"/>
        <w:rPr>
          <w:sz w:val="24"/>
          <w:szCs w:val="24"/>
          <w:highlight w:val="white"/>
        </w:rPr>
      </w:pPr>
      <w:r>
        <w:rPr>
          <w:sz w:val="24"/>
          <w:szCs w:val="24"/>
          <w:highlight w:val="white"/>
        </w:rPr>
        <w:t xml:space="preserve">Netziv’s approach implies that </w:t>
      </w:r>
      <w:r>
        <w:rPr>
          <w:i/>
          <w:sz w:val="24"/>
          <w:szCs w:val="24"/>
          <w:highlight w:val="white"/>
        </w:rPr>
        <w:t>Torat Eretz Yisrael</w:t>
      </w:r>
      <w:r>
        <w:rPr>
          <w:sz w:val="24"/>
          <w:szCs w:val="24"/>
          <w:highlight w:val="white"/>
        </w:rPr>
        <w:t xml:space="preserve"> is in fact inherent</w:t>
      </w:r>
      <w:r w:rsidR="00510E5C">
        <w:rPr>
          <w:sz w:val="24"/>
          <w:szCs w:val="24"/>
          <w:highlight w:val="white"/>
        </w:rPr>
        <w:t>ly superior to that of Bavel. Never</w:t>
      </w:r>
      <w:r>
        <w:rPr>
          <w:sz w:val="24"/>
          <w:szCs w:val="24"/>
          <w:highlight w:val="white"/>
        </w:rPr>
        <w:t>theless, taking their cue from the Second Tablets, th</w:t>
      </w:r>
      <w:r w:rsidR="00BA2ECE">
        <w:rPr>
          <w:sz w:val="24"/>
          <w:szCs w:val="24"/>
          <w:highlight w:val="white"/>
        </w:rPr>
        <w:t>e scholars of Babylonia achieve</w:t>
      </w:r>
      <w:r>
        <w:rPr>
          <w:sz w:val="24"/>
          <w:szCs w:val="24"/>
          <w:highlight w:val="white"/>
        </w:rPr>
        <w:t xml:space="preserve"> extraordinary levels of i</w:t>
      </w:r>
      <w:r w:rsidR="00BA2ECE">
        <w:rPr>
          <w:sz w:val="24"/>
          <w:szCs w:val="24"/>
          <w:highlight w:val="white"/>
        </w:rPr>
        <w:t>ntellectual acuity. In doing so</w:t>
      </w:r>
      <w:r>
        <w:rPr>
          <w:sz w:val="24"/>
          <w:szCs w:val="24"/>
          <w:highlight w:val="white"/>
        </w:rPr>
        <w:t xml:space="preserve"> despite their inherent disadvantage, their powers of analysis enable them to compensate for their weakness and reach preeminence over the scholars of Israel. </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Netziv’s interpretation therefore leads us to an alternative accounting for the uniqueness of </w:t>
      </w:r>
      <w:r>
        <w:rPr>
          <w:i/>
          <w:sz w:val="24"/>
          <w:szCs w:val="24"/>
        </w:rPr>
        <w:t>Torat Eretz Yisrael</w:t>
      </w:r>
      <w:r>
        <w:rPr>
          <w:sz w:val="24"/>
          <w:szCs w:val="24"/>
        </w:rPr>
        <w:t xml:space="preserve">: the Torah of Israel is inherently superior to that of other geographic locations. This second approach, as we will see, has proven especially attractive to devotees of the mystical tradition. This is particularly true for those who, based on </w:t>
      </w:r>
      <w:r>
        <w:rPr>
          <w:i/>
          <w:sz w:val="24"/>
          <w:szCs w:val="24"/>
        </w:rPr>
        <w:t xml:space="preserve">Kiddushin </w:t>
      </w:r>
      <w:r>
        <w:rPr>
          <w:sz w:val="24"/>
          <w:szCs w:val="24"/>
        </w:rPr>
        <w:t xml:space="preserve">30a and other </w:t>
      </w:r>
      <w:r w:rsidR="00BA2ECE">
        <w:rPr>
          <w:sz w:val="24"/>
          <w:szCs w:val="24"/>
        </w:rPr>
        <w:t xml:space="preserve">sources from the </w:t>
      </w:r>
      <w:r w:rsidR="0067559F">
        <w:rPr>
          <w:sz w:val="24"/>
          <w:szCs w:val="24"/>
        </w:rPr>
        <w:t>literature</w:t>
      </w:r>
      <w:r w:rsidR="00BA2ECE">
        <w:rPr>
          <w:sz w:val="24"/>
          <w:szCs w:val="24"/>
        </w:rPr>
        <w:t xml:space="preserve"> of </w:t>
      </w:r>
      <w:r w:rsidR="00BA2ECE" w:rsidRPr="00510E5C">
        <w:rPr>
          <w:i/>
          <w:iCs/>
          <w:sz w:val="24"/>
          <w:szCs w:val="24"/>
        </w:rPr>
        <w:t>Chazal</w:t>
      </w:r>
      <w:r>
        <w:rPr>
          <w:sz w:val="24"/>
          <w:szCs w:val="24"/>
        </w:rPr>
        <w:t xml:space="preserve">, see Torah study as an echo, no matter how faint, of prophecy. For if we view </w:t>
      </w:r>
      <w:r>
        <w:rPr>
          <w:i/>
          <w:sz w:val="24"/>
          <w:szCs w:val="24"/>
        </w:rPr>
        <w:t>talmud Torah</w:t>
      </w:r>
      <w:r>
        <w:rPr>
          <w:sz w:val="24"/>
          <w:szCs w:val="24"/>
        </w:rPr>
        <w:t xml:space="preserve"> as a form of revelation, it becomes apparent why we might be inclined to see </w:t>
      </w:r>
      <w:r>
        <w:rPr>
          <w:i/>
          <w:sz w:val="24"/>
          <w:szCs w:val="24"/>
        </w:rPr>
        <w:t>Eretz Yisrael</w:t>
      </w:r>
      <w:r w:rsidR="00BA2ECE">
        <w:rPr>
          <w:sz w:val="24"/>
          <w:szCs w:val="24"/>
        </w:rPr>
        <w:t xml:space="preserve"> as particularly </w:t>
      </w:r>
      <w:r w:rsidR="0067559F">
        <w:rPr>
          <w:sz w:val="24"/>
          <w:szCs w:val="24"/>
        </w:rPr>
        <w:t>conducive</w:t>
      </w:r>
      <w:r>
        <w:rPr>
          <w:sz w:val="24"/>
          <w:szCs w:val="24"/>
        </w:rPr>
        <w:t xml:space="preserve"> to Torah study. After all, the </w:t>
      </w:r>
      <w:r w:rsidR="00BA2ECE">
        <w:rPr>
          <w:sz w:val="24"/>
          <w:szCs w:val="24"/>
        </w:rPr>
        <w:t>Divine P</w:t>
      </w:r>
      <w:r>
        <w:rPr>
          <w:sz w:val="24"/>
          <w:szCs w:val="24"/>
        </w:rPr>
        <w:t xml:space="preserve">resence is most robustly manifest in Israel. What is more, </w:t>
      </w:r>
      <w:r w:rsidR="00BA2ECE">
        <w:rPr>
          <w:sz w:val="24"/>
          <w:szCs w:val="24"/>
          <w:lang w:val="en-US"/>
        </w:rPr>
        <w:t xml:space="preserve">Rabbi Abba </w:t>
      </w:r>
      <w:r>
        <w:rPr>
          <w:sz w:val="24"/>
          <w:szCs w:val="24"/>
        </w:rPr>
        <w:t>teach</w:t>
      </w:r>
      <w:r w:rsidR="00BA2ECE">
        <w:rPr>
          <w:sz w:val="24"/>
          <w:szCs w:val="24"/>
        </w:rPr>
        <w:t>es</w:t>
      </w:r>
      <w:r>
        <w:rPr>
          <w:sz w:val="24"/>
          <w:szCs w:val="24"/>
        </w:rPr>
        <w:t xml:space="preserve"> that prophecy is uniquely tied to the Land of Israel (</w:t>
      </w:r>
      <w:r>
        <w:rPr>
          <w:i/>
          <w:sz w:val="24"/>
          <w:szCs w:val="24"/>
        </w:rPr>
        <w:t>Mo’ed Katan</w:t>
      </w:r>
      <w:r>
        <w:rPr>
          <w:sz w:val="24"/>
          <w:szCs w:val="24"/>
        </w:rPr>
        <w:t xml:space="preserve"> 25a). As such, it makes sense to view </w:t>
      </w:r>
      <w:r>
        <w:rPr>
          <w:i/>
          <w:sz w:val="24"/>
          <w:szCs w:val="24"/>
        </w:rPr>
        <w:t>talmud Torah</w:t>
      </w:r>
      <w:r>
        <w:rPr>
          <w:sz w:val="24"/>
          <w:szCs w:val="24"/>
        </w:rPr>
        <w:t xml:space="preserve"> along analogous lines. </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In light of this analysis, it is unsurprising that Rambam, the arch-rationalist, never codifies or cites the preference for studying in Israel. Rav Kook, who not only lived in and loved </w:t>
      </w:r>
      <w:r>
        <w:rPr>
          <w:i/>
          <w:sz w:val="24"/>
          <w:szCs w:val="24"/>
        </w:rPr>
        <w:t>Eretz Yisrael</w:t>
      </w:r>
      <w:r>
        <w:rPr>
          <w:sz w:val="24"/>
          <w:szCs w:val="24"/>
        </w:rPr>
        <w:t xml:space="preserve"> but was also steeped in the Jewish mystical tradition, by contrast, lays great emphasis on this theme. </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highlight w:val="white"/>
        </w:rPr>
      </w:pPr>
      <w:r>
        <w:rPr>
          <w:sz w:val="24"/>
          <w:szCs w:val="24"/>
        </w:rPr>
        <w:t xml:space="preserve">A number of </w:t>
      </w:r>
      <w:r w:rsidRPr="00BA2ECE">
        <w:rPr>
          <w:i/>
          <w:iCs/>
          <w:sz w:val="24"/>
          <w:szCs w:val="24"/>
        </w:rPr>
        <w:t>midrashim</w:t>
      </w:r>
      <w:r>
        <w:rPr>
          <w:sz w:val="24"/>
          <w:szCs w:val="24"/>
        </w:rPr>
        <w:t xml:space="preserve"> support the intrinsic reading of </w:t>
      </w:r>
      <w:r>
        <w:rPr>
          <w:i/>
          <w:sz w:val="24"/>
          <w:szCs w:val="24"/>
        </w:rPr>
        <w:t>Torat Eretz Yisrael</w:t>
      </w:r>
      <w:r>
        <w:rPr>
          <w:sz w:val="24"/>
          <w:szCs w:val="24"/>
        </w:rPr>
        <w:t>.</w:t>
      </w:r>
      <w:r w:rsidR="00BA2ECE">
        <w:rPr>
          <w:rFonts w:hint="cs"/>
          <w:sz w:val="24"/>
          <w:szCs w:val="24"/>
          <w:rtl/>
        </w:rPr>
        <w:t xml:space="preserve"> </w:t>
      </w:r>
      <w:r w:rsidR="00BA2ECE">
        <w:rPr>
          <w:sz w:val="24"/>
          <w:szCs w:val="24"/>
          <w:lang w:val="en-US"/>
        </w:rPr>
        <w:t>In</w:t>
      </w:r>
      <w:r>
        <w:rPr>
          <w:sz w:val="24"/>
          <w:szCs w:val="24"/>
        </w:rPr>
        <w:t xml:space="preserve"> </w:t>
      </w:r>
      <w:r w:rsidRPr="00BA2ECE">
        <w:rPr>
          <w:i/>
          <w:iCs/>
          <w:sz w:val="24"/>
          <w:szCs w:val="24"/>
        </w:rPr>
        <w:t>Midrash Shocher Tov</w:t>
      </w:r>
      <w:r>
        <w:rPr>
          <w:sz w:val="24"/>
          <w:szCs w:val="24"/>
        </w:rPr>
        <w:t xml:space="preserve"> (108) </w:t>
      </w:r>
      <w:r w:rsidR="00BA2ECE">
        <w:rPr>
          <w:sz w:val="24"/>
          <w:szCs w:val="24"/>
        </w:rPr>
        <w:t xml:space="preserve">Rabbi Yosei bar Chalafta </w:t>
      </w:r>
      <w:r>
        <w:rPr>
          <w:sz w:val="24"/>
          <w:szCs w:val="24"/>
        </w:rPr>
        <w:t>ad</w:t>
      </w:r>
      <w:r w:rsidR="00BA2ECE">
        <w:rPr>
          <w:sz w:val="24"/>
          <w:szCs w:val="24"/>
        </w:rPr>
        <w:t>vises his son Rabbi Yishmael: “Do you wish to see the Divine P</w:t>
      </w:r>
      <w:r>
        <w:rPr>
          <w:sz w:val="24"/>
          <w:szCs w:val="24"/>
        </w:rPr>
        <w:t>resence in this world? Engage in Torah study in the Land of Israel.” Less explicit</w:t>
      </w:r>
      <w:r w:rsidR="00510E5C">
        <w:rPr>
          <w:sz w:val="24"/>
          <w:szCs w:val="24"/>
        </w:rPr>
        <w:t>ly</w:t>
      </w:r>
      <w:r>
        <w:rPr>
          <w:sz w:val="24"/>
          <w:szCs w:val="24"/>
        </w:rPr>
        <w:t xml:space="preserve"> but more vivid</w:t>
      </w:r>
      <w:r w:rsidR="00510E5C">
        <w:rPr>
          <w:sz w:val="24"/>
          <w:szCs w:val="24"/>
        </w:rPr>
        <w:t>ly</w:t>
      </w:r>
      <w:r>
        <w:rPr>
          <w:sz w:val="24"/>
          <w:szCs w:val="24"/>
        </w:rPr>
        <w:t xml:space="preserve">, </w:t>
      </w:r>
      <w:r w:rsidRPr="00510E5C">
        <w:rPr>
          <w:i/>
          <w:iCs/>
          <w:sz w:val="24"/>
          <w:szCs w:val="24"/>
        </w:rPr>
        <w:t>Yalkut Shimoni</w:t>
      </w:r>
      <w:r>
        <w:rPr>
          <w:sz w:val="24"/>
          <w:szCs w:val="24"/>
        </w:rPr>
        <w:t xml:space="preserve"> (2:988</w:t>
      </w:r>
      <w:r w:rsidR="00510E5C">
        <w:rPr>
          <w:sz w:val="24"/>
          <w:szCs w:val="24"/>
        </w:rPr>
        <w:t>,</w:t>
      </w:r>
      <w:r w:rsidR="004F3FE3">
        <w:rPr>
          <w:rFonts w:hint="cs"/>
          <w:sz w:val="24"/>
          <w:szCs w:val="24"/>
          <w:rtl/>
        </w:rPr>
        <w:t xml:space="preserve"> </w:t>
      </w:r>
      <w:r w:rsidR="004F3FE3" w:rsidRPr="004F3FE3">
        <w:rPr>
          <w:rFonts w:hint="cs"/>
          <w:i/>
          <w:iCs/>
          <w:sz w:val="24"/>
          <w:szCs w:val="24"/>
        </w:rPr>
        <w:t>S</w:t>
      </w:r>
      <w:r w:rsidR="004F3FE3" w:rsidRPr="004F3FE3">
        <w:rPr>
          <w:i/>
          <w:iCs/>
          <w:sz w:val="24"/>
          <w:szCs w:val="24"/>
          <w:lang w:val="en-US"/>
        </w:rPr>
        <w:t>hir Ha-shirim</w:t>
      </w:r>
      <w:r w:rsidR="004F3FE3">
        <w:rPr>
          <w:sz w:val="24"/>
          <w:szCs w:val="24"/>
          <w:lang w:val="en-US"/>
        </w:rPr>
        <w:t xml:space="preserve"> 4:15</w:t>
      </w:r>
      <w:r w:rsidR="004F3FE3">
        <w:rPr>
          <w:sz w:val="24"/>
          <w:szCs w:val="24"/>
        </w:rPr>
        <w:t>) writes: “‘</w:t>
      </w:r>
      <w:r>
        <w:rPr>
          <w:sz w:val="24"/>
          <w:szCs w:val="24"/>
        </w:rPr>
        <w:t>A well of living water</w:t>
      </w:r>
      <w:r w:rsidR="004F3FE3">
        <w:rPr>
          <w:sz w:val="24"/>
          <w:szCs w:val="24"/>
        </w:rPr>
        <w:t>’ — t</w:t>
      </w:r>
      <w:r>
        <w:rPr>
          <w:sz w:val="24"/>
          <w:szCs w:val="24"/>
        </w:rPr>
        <w:t xml:space="preserve">his is the Torah of </w:t>
      </w:r>
      <w:r>
        <w:rPr>
          <w:sz w:val="24"/>
          <w:szCs w:val="24"/>
        </w:rPr>
        <w:lastRenderedPageBreak/>
        <w:t xml:space="preserve">the Land of Israel.” </w:t>
      </w:r>
      <w:r>
        <w:rPr>
          <w:sz w:val="24"/>
          <w:szCs w:val="24"/>
          <w:highlight w:val="white"/>
        </w:rPr>
        <w:t xml:space="preserve">The imagery of the well, which is often associated with divine inspiration (see </w:t>
      </w:r>
      <w:r>
        <w:rPr>
          <w:i/>
          <w:sz w:val="24"/>
          <w:szCs w:val="24"/>
          <w:highlight w:val="white"/>
        </w:rPr>
        <w:t>Sukkah</w:t>
      </w:r>
      <w:r>
        <w:rPr>
          <w:sz w:val="24"/>
          <w:szCs w:val="24"/>
          <w:highlight w:val="white"/>
        </w:rPr>
        <w:t xml:space="preserve"> 50b regarding </w:t>
      </w:r>
      <w:r w:rsidR="00AB7F22">
        <w:rPr>
          <w:i/>
          <w:sz w:val="24"/>
          <w:szCs w:val="24"/>
          <w:highlight w:val="white"/>
        </w:rPr>
        <w:t>Simchat Beit H</w:t>
      </w:r>
      <w:r>
        <w:rPr>
          <w:i/>
          <w:sz w:val="24"/>
          <w:szCs w:val="24"/>
          <w:highlight w:val="white"/>
        </w:rPr>
        <w:t>a-sho’eiva</w:t>
      </w:r>
      <w:r>
        <w:rPr>
          <w:sz w:val="24"/>
          <w:szCs w:val="24"/>
          <w:highlight w:val="white"/>
        </w:rPr>
        <w:t>), works best with the view that Israel is inherently more fit for Torah study. Additionally</w:t>
      </w:r>
      <w:r w:rsidR="004F3FE3">
        <w:rPr>
          <w:sz w:val="24"/>
          <w:szCs w:val="24"/>
          <w:highlight w:val="white"/>
        </w:rPr>
        <w:t>,</w:t>
      </w:r>
      <w:r>
        <w:rPr>
          <w:sz w:val="24"/>
          <w:szCs w:val="24"/>
          <w:highlight w:val="white"/>
        </w:rPr>
        <w:t xml:space="preserve"> </w:t>
      </w:r>
      <w:r w:rsidR="004F3FE3">
        <w:rPr>
          <w:sz w:val="24"/>
          <w:szCs w:val="24"/>
          <w:highlight w:val="white"/>
        </w:rPr>
        <w:t>Rabbi Zeira’s remark (</w:t>
      </w:r>
      <w:r w:rsidR="004F3FE3">
        <w:rPr>
          <w:i/>
          <w:sz w:val="24"/>
          <w:szCs w:val="24"/>
          <w:highlight w:val="white"/>
        </w:rPr>
        <w:t>Bava Batra</w:t>
      </w:r>
      <w:r w:rsidR="004F3FE3">
        <w:rPr>
          <w:sz w:val="24"/>
          <w:szCs w:val="24"/>
          <w:highlight w:val="white"/>
        </w:rPr>
        <w:t xml:space="preserve"> 158b) that “the air of the Land of Israel makes one</w:t>
      </w:r>
      <w:r w:rsidR="00510E5C">
        <w:rPr>
          <w:sz w:val="24"/>
          <w:szCs w:val="24"/>
          <w:highlight w:val="white"/>
        </w:rPr>
        <w:t xml:space="preserve"> wise</w:t>
      </w:r>
      <w:r>
        <w:rPr>
          <w:sz w:val="24"/>
          <w:szCs w:val="24"/>
          <w:highlight w:val="white"/>
        </w:rPr>
        <w:t xml:space="preserve">,” seems to favor an intrinsic, mystically-oriented interpretation over an extrinsic, rationalist rendering. </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This perspective works especially well with the worldview of the romantic medieval scholar-poet-philosopher, Rabbi Yehuda Ha-Levi. Ha-Levi, a critic of Aristotelian philosophy who prefers to rely on revelation as a source of truth more so than pristine philosophical argumentation, makes the link between the Land of Israel, the Jewish people and divine revelation a centerpiece of his thought (</w:t>
      </w:r>
      <w:r>
        <w:rPr>
          <w:i/>
          <w:sz w:val="24"/>
          <w:szCs w:val="24"/>
        </w:rPr>
        <w:t>Kuzari</w:t>
      </w:r>
      <w:r>
        <w:rPr>
          <w:sz w:val="24"/>
          <w:szCs w:val="24"/>
        </w:rPr>
        <w:t xml:space="preserve"> 2:9-24). It is only a small step, following Ha-Levi, to suggest something similar regarding </w:t>
      </w:r>
      <w:r>
        <w:rPr>
          <w:i/>
          <w:sz w:val="24"/>
          <w:szCs w:val="24"/>
        </w:rPr>
        <w:t>talmud Torah</w:t>
      </w:r>
      <w:r>
        <w:rPr>
          <w:sz w:val="24"/>
          <w:szCs w:val="24"/>
        </w:rPr>
        <w:t xml:space="preserve"> and </w:t>
      </w:r>
      <w:r w:rsidRPr="004F3FE3">
        <w:rPr>
          <w:i/>
          <w:iCs/>
          <w:sz w:val="24"/>
          <w:szCs w:val="24"/>
        </w:rPr>
        <w:t>Eretz Yisrael</w:t>
      </w:r>
      <w:r>
        <w:rPr>
          <w:sz w:val="24"/>
          <w:szCs w:val="24"/>
        </w:rPr>
        <w:t>. R</w:t>
      </w:r>
      <w:r w:rsidR="004F3FE3">
        <w:rPr>
          <w:sz w:val="24"/>
          <w:szCs w:val="24"/>
        </w:rPr>
        <w:t>abbi</w:t>
      </w:r>
      <w:r>
        <w:rPr>
          <w:sz w:val="24"/>
          <w:szCs w:val="24"/>
        </w:rPr>
        <w:t xml:space="preserve"> Moshe of Trani (</w:t>
      </w:r>
      <w:r>
        <w:rPr>
          <w:i/>
          <w:sz w:val="24"/>
          <w:szCs w:val="24"/>
        </w:rPr>
        <w:t>Beit Elokim</w:t>
      </w:r>
      <w:r>
        <w:rPr>
          <w:sz w:val="24"/>
          <w:szCs w:val="24"/>
        </w:rPr>
        <w:t xml:space="preserve">, </w:t>
      </w:r>
      <w:r w:rsidR="00AB7F22">
        <w:rPr>
          <w:i/>
          <w:sz w:val="24"/>
          <w:szCs w:val="24"/>
        </w:rPr>
        <w:t>Sha’ar Ha-y</w:t>
      </w:r>
      <w:r>
        <w:rPr>
          <w:i/>
          <w:sz w:val="24"/>
          <w:szCs w:val="24"/>
        </w:rPr>
        <w:t>sodot</w:t>
      </w:r>
      <w:r>
        <w:rPr>
          <w:sz w:val="24"/>
          <w:szCs w:val="24"/>
        </w:rPr>
        <w:t xml:space="preserve"> 34) extends this argument, arguing that the Land of Israel provides wisdom on account of </w:t>
      </w:r>
      <w:r>
        <w:rPr>
          <w:i/>
          <w:sz w:val="24"/>
          <w:szCs w:val="24"/>
        </w:rPr>
        <w:t>Adam Ha-rishon</w:t>
      </w:r>
      <w:r>
        <w:rPr>
          <w:sz w:val="24"/>
          <w:szCs w:val="24"/>
        </w:rPr>
        <w:t>, the first intelligent being, wh</w:t>
      </w:r>
      <w:r w:rsidR="0067559F">
        <w:rPr>
          <w:sz w:val="24"/>
          <w:szCs w:val="24"/>
        </w:rPr>
        <w:t>ose</w:t>
      </w:r>
      <w:r w:rsidR="0067559F">
        <w:rPr>
          <w:sz w:val="24"/>
          <w:szCs w:val="24"/>
          <w:lang w:val="en-US"/>
        </w:rPr>
        <w:t xml:space="preserve">e head was </w:t>
      </w:r>
      <w:r>
        <w:rPr>
          <w:sz w:val="24"/>
          <w:szCs w:val="24"/>
        </w:rPr>
        <w:t xml:space="preserve">created </w:t>
      </w:r>
      <w:r w:rsidR="0067559F">
        <w:rPr>
          <w:sz w:val="24"/>
          <w:szCs w:val="24"/>
        </w:rPr>
        <w:t xml:space="preserve">from </w:t>
      </w:r>
      <w:r>
        <w:rPr>
          <w:sz w:val="24"/>
          <w:szCs w:val="24"/>
        </w:rPr>
        <w:t>the dirt of that Land</w:t>
      </w:r>
      <w:r w:rsidR="0067559F">
        <w:rPr>
          <w:sz w:val="24"/>
          <w:szCs w:val="24"/>
        </w:rPr>
        <w:t xml:space="preserve"> (</w:t>
      </w:r>
      <w:r w:rsidR="0067559F">
        <w:rPr>
          <w:i/>
          <w:iCs/>
          <w:sz w:val="24"/>
          <w:szCs w:val="24"/>
          <w:lang w:val="en-US"/>
        </w:rPr>
        <w:t xml:space="preserve">Sanhedrin </w:t>
      </w:r>
      <w:r w:rsidR="0067559F">
        <w:rPr>
          <w:sz w:val="24"/>
          <w:szCs w:val="24"/>
          <w:lang w:val="en-US"/>
        </w:rPr>
        <w:t>38a</w:t>
      </w:r>
      <w:r w:rsidR="0067559F">
        <w:rPr>
          <w:sz w:val="24"/>
          <w:szCs w:val="24"/>
        </w:rPr>
        <w:t>)</w:t>
      </w:r>
      <w:r>
        <w:rPr>
          <w:sz w:val="24"/>
          <w:szCs w:val="24"/>
        </w:rPr>
        <w:t>. From that time and thro</w:t>
      </w:r>
      <w:r w:rsidR="00510E5C">
        <w:rPr>
          <w:sz w:val="24"/>
          <w:szCs w:val="24"/>
        </w:rPr>
        <w:t>ughout history, human wisdom becomes</w:t>
      </w:r>
      <w:r>
        <w:rPr>
          <w:sz w:val="24"/>
          <w:szCs w:val="24"/>
        </w:rPr>
        <w:t xml:space="preserve"> particularly associated with the Land of Israel. It is</w:t>
      </w:r>
      <w:r w:rsidR="004F3FE3">
        <w:rPr>
          <w:sz w:val="24"/>
          <w:szCs w:val="24"/>
        </w:rPr>
        <w:t xml:space="preserve"> on this basis that </w:t>
      </w:r>
      <w:r>
        <w:rPr>
          <w:i/>
          <w:sz w:val="24"/>
          <w:szCs w:val="24"/>
        </w:rPr>
        <w:t>Kiddushin</w:t>
      </w:r>
      <w:r w:rsidR="004F3FE3">
        <w:rPr>
          <w:sz w:val="24"/>
          <w:szCs w:val="24"/>
        </w:rPr>
        <w:t xml:space="preserve"> 49b</w:t>
      </w:r>
      <w:r>
        <w:rPr>
          <w:sz w:val="24"/>
          <w:szCs w:val="24"/>
        </w:rPr>
        <w:t xml:space="preserve"> claims that while ten portions of wisdom were granted to </w:t>
      </w:r>
      <w:r w:rsidR="004F3FE3">
        <w:rPr>
          <w:sz w:val="24"/>
          <w:szCs w:val="24"/>
        </w:rPr>
        <w:t>the world</w:t>
      </w:r>
      <w:r>
        <w:rPr>
          <w:sz w:val="24"/>
          <w:szCs w:val="24"/>
        </w:rPr>
        <w:t>, nine of thos</w:t>
      </w:r>
      <w:r w:rsidR="004F3FE3">
        <w:rPr>
          <w:sz w:val="24"/>
          <w:szCs w:val="24"/>
        </w:rPr>
        <w:t>e ten were give</w:t>
      </w:r>
      <w:r w:rsidR="0067559F">
        <w:rPr>
          <w:sz w:val="24"/>
          <w:szCs w:val="24"/>
        </w:rPr>
        <w:t>n to</w:t>
      </w:r>
      <w:r>
        <w:rPr>
          <w:sz w:val="24"/>
          <w:szCs w:val="24"/>
        </w:rPr>
        <w:t xml:space="preserve"> </w:t>
      </w:r>
      <w:r>
        <w:rPr>
          <w:i/>
          <w:sz w:val="24"/>
          <w:szCs w:val="24"/>
        </w:rPr>
        <w:t>Eretz Yisrael</w:t>
      </w:r>
      <w:r>
        <w:rPr>
          <w:sz w:val="24"/>
          <w:szCs w:val="24"/>
        </w:rPr>
        <w:t>.</w:t>
      </w:r>
      <w:r>
        <w:rPr>
          <w:sz w:val="24"/>
          <w:szCs w:val="24"/>
          <w:vertAlign w:val="superscript"/>
        </w:rPr>
        <w:footnoteReference w:id="2"/>
      </w:r>
      <w:r>
        <w:rPr>
          <w:sz w:val="24"/>
          <w:szCs w:val="24"/>
        </w:rPr>
        <w:t xml:space="preserve"> </w:t>
      </w:r>
    </w:p>
    <w:p w:rsidR="00777F58" w:rsidRDefault="00777F58" w:rsidP="00FB41E8">
      <w:pPr>
        <w:spacing w:line="240" w:lineRule="auto"/>
        <w:jc w:val="both"/>
        <w:rPr>
          <w:sz w:val="24"/>
          <w:szCs w:val="24"/>
        </w:rPr>
      </w:pPr>
    </w:p>
    <w:p w:rsidR="00777F58" w:rsidRDefault="00510E5C" w:rsidP="00FB41E8">
      <w:pPr>
        <w:spacing w:line="240" w:lineRule="auto"/>
        <w:jc w:val="both"/>
        <w:rPr>
          <w:sz w:val="24"/>
          <w:szCs w:val="24"/>
        </w:rPr>
      </w:pPr>
      <w:r>
        <w:rPr>
          <w:sz w:val="24"/>
          <w:szCs w:val="24"/>
        </w:rPr>
        <w:t xml:space="preserve">However, </w:t>
      </w:r>
      <w:r w:rsidR="008B5DF0">
        <w:rPr>
          <w:sz w:val="24"/>
          <w:szCs w:val="24"/>
        </w:rPr>
        <w:t xml:space="preserve">the </w:t>
      </w:r>
      <w:r w:rsidR="0067559F">
        <w:rPr>
          <w:sz w:val="24"/>
          <w:szCs w:val="24"/>
        </w:rPr>
        <w:t>thinker who most fully develops</w:t>
      </w:r>
      <w:r w:rsidR="008B5DF0">
        <w:rPr>
          <w:sz w:val="24"/>
          <w:szCs w:val="24"/>
        </w:rPr>
        <w:t xml:space="preserve"> the contours of </w:t>
      </w:r>
      <w:r w:rsidR="0067559F">
        <w:rPr>
          <w:i/>
          <w:sz w:val="24"/>
          <w:szCs w:val="24"/>
        </w:rPr>
        <w:t xml:space="preserve">Torat Eretz Yisrael </w:t>
      </w:r>
      <w:r w:rsidR="0067559F">
        <w:rPr>
          <w:sz w:val="24"/>
          <w:szCs w:val="24"/>
        </w:rPr>
        <w:t>is</w:t>
      </w:r>
      <w:r w:rsidR="008B5DF0">
        <w:rPr>
          <w:sz w:val="24"/>
          <w:szCs w:val="24"/>
        </w:rPr>
        <w:t xml:space="preserve"> Rav Kook, whose thought we </w:t>
      </w:r>
      <w:r>
        <w:rPr>
          <w:sz w:val="24"/>
          <w:szCs w:val="24"/>
        </w:rPr>
        <w:t>will</w:t>
      </w:r>
      <w:r w:rsidR="008B5DF0">
        <w:rPr>
          <w:sz w:val="24"/>
          <w:szCs w:val="24"/>
        </w:rPr>
        <w:t xml:space="preserve"> only briefly summarize here. As outlined in a number of texts</w:t>
      </w:r>
      <w:r w:rsidR="0067559F">
        <w:rPr>
          <w:sz w:val="24"/>
          <w:szCs w:val="24"/>
        </w:rPr>
        <w:t>,</w:t>
      </w:r>
      <w:r w:rsidR="008B5DF0">
        <w:rPr>
          <w:sz w:val="24"/>
          <w:szCs w:val="24"/>
        </w:rPr>
        <w:t xml:space="preserve"> including Chapter 13 of </w:t>
      </w:r>
      <w:r w:rsidR="008B5DF0">
        <w:rPr>
          <w:i/>
          <w:sz w:val="24"/>
          <w:szCs w:val="24"/>
        </w:rPr>
        <w:t>Orot Ha-Torah</w:t>
      </w:r>
      <w:r w:rsidR="0067559F">
        <w:rPr>
          <w:sz w:val="24"/>
          <w:szCs w:val="24"/>
        </w:rPr>
        <w:t xml:space="preserve"> (</w:t>
      </w:r>
      <w:r w:rsidR="008B5DF0">
        <w:rPr>
          <w:sz w:val="24"/>
          <w:szCs w:val="24"/>
        </w:rPr>
        <w:t>aptly entitled “</w:t>
      </w:r>
      <w:r w:rsidR="008B5DF0">
        <w:rPr>
          <w:i/>
          <w:sz w:val="24"/>
          <w:szCs w:val="24"/>
        </w:rPr>
        <w:t>Torat Eretz Yisrael</w:t>
      </w:r>
      <w:r w:rsidR="008B5DF0">
        <w:rPr>
          <w:sz w:val="24"/>
          <w:szCs w:val="24"/>
        </w:rPr>
        <w:t>”</w:t>
      </w:r>
      <w:r w:rsidR="0067559F">
        <w:rPr>
          <w:sz w:val="24"/>
          <w:szCs w:val="24"/>
        </w:rPr>
        <w:t>),</w:t>
      </w:r>
      <w:r w:rsidR="008B5DF0">
        <w:rPr>
          <w:sz w:val="24"/>
          <w:szCs w:val="24"/>
        </w:rPr>
        <w:t xml:space="preserve"> the great Religious Zionist elucidates a theory that is consistent with his wider mystical-nationalist philosophy. For Rav Kook, echoing nineteenth-century nationalist thought, particularly of the German variety, the Jewish nation is only fully in tune with its own spirit when living in Israel, its organic source. Only with the return to Zion can the Jewish people recapture their e</w:t>
      </w:r>
      <w:r>
        <w:rPr>
          <w:sz w:val="24"/>
          <w:szCs w:val="24"/>
        </w:rPr>
        <w:t>ssence and reconnect with God, W</w:t>
      </w:r>
      <w:r w:rsidR="008B5DF0">
        <w:rPr>
          <w:sz w:val="24"/>
          <w:szCs w:val="24"/>
        </w:rPr>
        <w:t xml:space="preserve">hose presence is manifest in the Jewish homeland. Through Torah study, mitzva performance, Zionism and cultural activity, the Jewish nation can achieve </w:t>
      </w:r>
      <w:r>
        <w:rPr>
          <w:sz w:val="24"/>
          <w:szCs w:val="24"/>
        </w:rPr>
        <w:t>its</w:t>
      </w:r>
      <w:r w:rsidR="008B5DF0">
        <w:rPr>
          <w:sz w:val="24"/>
          <w:szCs w:val="24"/>
        </w:rPr>
        <w:t xml:space="preserve"> national destiny. </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Rav Kook applies these themes to the Torah study of Israel. For Rav Kook, learning is most organic in the Land of Israel (13:7); it is only there that we connect fully with God through </w:t>
      </w:r>
      <w:r>
        <w:rPr>
          <w:i/>
          <w:sz w:val="24"/>
          <w:szCs w:val="24"/>
        </w:rPr>
        <w:t>talmud Torah</w:t>
      </w:r>
      <w:r>
        <w:rPr>
          <w:sz w:val="24"/>
          <w:szCs w:val="24"/>
        </w:rPr>
        <w:t xml:space="preserve">. </w:t>
      </w:r>
      <w:r>
        <w:rPr>
          <w:i/>
          <w:sz w:val="24"/>
          <w:szCs w:val="24"/>
        </w:rPr>
        <w:t>Torat Eretz Yisrael</w:t>
      </w:r>
      <w:r>
        <w:rPr>
          <w:sz w:val="24"/>
          <w:szCs w:val="24"/>
        </w:rPr>
        <w:t xml:space="preserve"> is a unifying force: study of one area in Torah illuminates another</w:t>
      </w:r>
      <w:r w:rsidR="00510E5C">
        <w:rPr>
          <w:sz w:val="24"/>
          <w:szCs w:val="24"/>
        </w:rPr>
        <w:t>. S</w:t>
      </w:r>
      <w:r>
        <w:rPr>
          <w:sz w:val="24"/>
          <w:szCs w:val="24"/>
        </w:rPr>
        <w:t>tudy in Israel begins not with details but from a wider view of the entire system of Torah, including both its revealed and hidden genres (13:1). The study of Torah in exile is an isolated experience; one simply studies the material at hand in an individualistic fashion. In Israel, by contr</w:t>
      </w:r>
      <w:r w:rsidR="00510E5C">
        <w:rPr>
          <w:sz w:val="24"/>
          <w:szCs w:val="24"/>
        </w:rPr>
        <w:t>ast, one’s learning is linked to</w:t>
      </w:r>
      <w:r>
        <w:rPr>
          <w:sz w:val="24"/>
          <w:szCs w:val="24"/>
        </w:rPr>
        <w:t xml:space="preserve"> the entirety of Torah and the entirety of the Jewish people. In </w:t>
      </w:r>
      <w:r>
        <w:rPr>
          <w:i/>
          <w:sz w:val="24"/>
          <w:szCs w:val="24"/>
        </w:rPr>
        <w:t>Eretz Yisrael</w:t>
      </w:r>
      <w:r>
        <w:rPr>
          <w:sz w:val="24"/>
          <w:szCs w:val="24"/>
        </w:rPr>
        <w:t xml:space="preserve">, </w:t>
      </w:r>
      <w:r>
        <w:rPr>
          <w:i/>
          <w:sz w:val="24"/>
          <w:szCs w:val="24"/>
        </w:rPr>
        <w:t>halakha</w:t>
      </w:r>
      <w:r>
        <w:rPr>
          <w:sz w:val="24"/>
          <w:szCs w:val="24"/>
        </w:rPr>
        <w:t xml:space="preserve"> and</w:t>
      </w:r>
      <w:r>
        <w:rPr>
          <w:i/>
          <w:sz w:val="24"/>
          <w:szCs w:val="24"/>
        </w:rPr>
        <w:t xml:space="preserve"> </w:t>
      </w:r>
      <w:r w:rsidR="00AB7F22">
        <w:rPr>
          <w:i/>
          <w:sz w:val="24"/>
          <w:szCs w:val="24"/>
        </w:rPr>
        <w:t>aggada</w:t>
      </w:r>
      <w:r>
        <w:rPr>
          <w:sz w:val="24"/>
          <w:szCs w:val="24"/>
        </w:rPr>
        <w:t xml:space="preserve"> go hand-in-hand; one’s learning uplifts the entire Jewish people, spiritually reinforcing within the nation the values embodied in that learning (</w:t>
      </w:r>
      <w:r>
        <w:rPr>
          <w:i/>
          <w:sz w:val="24"/>
          <w:szCs w:val="24"/>
        </w:rPr>
        <w:t>Ein Ayah</w:t>
      </w:r>
      <w:r>
        <w:rPr>
          <w:sz w:val="24"/>
          <w:szCs w:val="24"/>
        </w:rPr>
        <w:t xml:space="preserve">, </w:t>
      </w:r>
      <w:r>
        <w:rPr>
          <w:i/>
          <w:sz w:val="24"/>
          <w:szCs w:val="24"/>
        </w:rPr>
        <w:t>Berakhot</w:t>
      </w:r>
      <w:r>
        <w:rPr>
          <w:sz w:val="24"/>
          <w:szCs w:val="24"/>
        </w:rPr>
        <w:t xml:space="preserve"> p. 207).</w:t>
      </w:r>
    </w:p>
    <w:p w:rsidR="00777F58" w:rsidRDefault="00777F58" w:rsidP="00FB41E8">
      <w:pPr>
        <w:spacing w:line="240" w:lineRule="auto"/>
        <w:jc w:val="both"/>
        <w:rPr>
          <w:sz w:val="24"/>
          <w:szCs w:val="24"/>
        </w:rPr>
      </w:pPr>
    </w:p>
    <w:p w:rsidR="00510E5C" w:rsidRDefault="008B5DF0" w:rsidP="00FB41E8">
      <w:pPr>
        <w:spacing w:line="240" w:lineRule="auto"/>
        <w:jc w:val="both"/>
        <w:rPr>
          <w:sz w:val="24"/>
          <w:szCs w:val="24"/>
        </w:rPr>
      </w:pPr>
      <w:r>
        <w:rPr>
          <w:sz w:val="24"/>
          <w:szCs w:val="24"/>
        </w:rPr>
        <w:t>Due t</w:t>
      </w:r>
      <w:r w:rsidR="0067559F">
        <w:rPr>
          <w:sz w:val="24"/>
          <w:szCs w:val="24"/>
        </w:rPr>
        <w:t>o the clarifying nature of the Divine P</w:t>
      </w:r>
      <w:r>
        <w:rPr>
          <w:sz w:val="24"/>
          <w:szCs w:val="24"/>
        </w:rPr>
        <w:t>resence, one who learns in Israel achieves a heightened clarity in one’s learning, not only in</w:t>
      </w:r>
      <w:r>
        <w:rPr>
          <w:i/>
          <w:sz w:val="24"/>
          <w:szCs w:val="24"/>
        </w:rPr>
        <w:t xml:space="preserve"> </w:t>
      </w:r>
      <w:r w:rsidR="00AB7F22">
        <w:rPr>
          <w:i/>
          <w:sz w:val="24"/>
          <w:szCs w:val="24"/>
        </w:rPr>
        <w:t>aggada</w:t>
      </w:r>
      <w:r>
        <w:rPr>
          <w:sz w:val="24"/>
          <w:szCs w:val="24"/>
        </w:rPr>
        <w:t xml:space="preserve"> but also in </w:t>
      </w:r>
      <w:r>
        <w:rPr>
          <w:i/>
          <w:sz w:val="24"/>
          <w:szCs w:val="24"/>
        </w:rPr>
        <w:t>halakha</w:t>
      </w:r>
      <w:r>
        <w:rPr>
          <w:sz w:val="24"/>
          <w:szCs w:val="24"/>
        </w:rPr>
        <w:t xml:space="preserve"> (13:4).</w:t>
      </w:r>
      <w:r>
        <w:rPr>
          <w:sz w:val="24"/>
          <w:szCs w:val="24"/>
          <w:vertAlign w:val="superscript"/>
        </w:rPr>
        <w:footnoteReference w:id="3"/>
      </w:r>
      <w:r>
        <w:rPr>
          <w:sz w:val="24"/>
          <w:szCs w:val="24"/>
        </w:rPr>
        <w:t xml:space="preserve"> </w:t>
      </w:r>
    </w:p>
    <w:p w:rsidR="00510E5C" w:rsidRDefault="00510E5C"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For this reason, study of the Yerushalmi is to be preferred. Instead of seeing the abbreviated </w:t>
      </w:r>
      <w:r>
        <w:rPr>
          <w:i/>
          <w:sz w:val="24"/>
          <w:szCs w:val="24"/>
        </w:rPr>
        <w:t>shakla ve-tarya</w:t>
      </w:r>
      <w:r>
        <w:rPr>
          <w:sz w:val="24"/>
          <w:szCs w:val="24"/>
        </w:rPr>
        <w:t xml:space="preserve"> in the Yerushalmi as a result of a lack of editorial process, Rav Kook sees the opposite, contending that the Yerushalmi intentionally avoids the Bavli’s sometimes-convoluted contortions. Following this th</w:t>
      </w:r>
      <w:r w:rsidR="0067559F">
        <w:rPr>
          <w:sz w:val="24"/>
          <w:szCs w:val="24"/>
        </w:rPr>
        <w:t>eme of clarity, Rav Kook focuses</w:t>
      </w:r>
      <w:r>
        <w:rPr>
          <w:sz w:val="24"/>
          <w:szCs w:val="24"/>
        </w:rPr>
        <w:t xml:space="preserve"> much of his own Talmudic teaching on clarifying the basic meaning and practical halakhic ramifications of each </w:t>
      </w:r>
      <w:r w:rsidRPr="0067559F">
        <w:rPr>
          <w:i/>
          <w:iCs/>
          <w:sz w:val="24"/>
          <w:szCs w:val="24"/>
        </w:rPr>
        <w:t>sugya</w:t>
      </w:r>
      <w:r>
        <w:rPr>
          <w:sz w:val="24"/>
          <w:szCs w:val="24"/>
        </w:rPr>
        <w:t xml:space="preserve">, </w:t>
      </w:r>
      <w:r w:rsidR="0067559F">
        <w:rPr>
          <w:sz w:val="24"/>
          <w:szCs w:val="24"/>
        </w:rPr>
        <w:t xml:space="preserve">launching </w:t>
      </w:r>
      <w:r>
        <w:rPr>
          <w:sz w:val="24"/>
          <w:szCs w:val="24"/>
        </w:rPr>
        <w:t xml:space="preserve">his </w:t>
      </w:r>
      <w:r>
        <w:rPr>
          <w:i/>
          <w:sz w:val="24"/>
          <w:szCs w:val="24"/>
        </w:rPr>
        <w:t>Halakha Berura</w:t>
      </w:r>
      <w:r>
        <w:rPr>
          <w:sz w:val="24"/>
          <w:szCs w:val="24"/>
        </w:rPr>
        <w:t xml:space="preserve"> project on the basis of this motif.</w:t>
      </w:r>
    </w:p>
    <w:p w:rsidR="00777F58" w:rsidRDefault="00777F58" w:rsidP="00FB41E8">
      <w:pPr>
        <w:spacing w:line="240" w:lineRule="auto"/>
        <w:jc w:val="both"/>
        <w:rPr>
          <w:sz w:val="24"/>
          <w:szCs w:val="24"/>
        </w:rPr>
      </w:pPr>
    </w:p>
    <w:p w:rsidR="00777F58" w:rsidRDefault="008B5DF0" w:rsidP="00FB41E8">
      <w:pPr>
        <w:spacing w:line="240" w:lineRule="auto"/>
        <w:jc w:val="both"/>
        <w:rPr>
          <w:sz w:val="24"/>
          <w:szCs w:val="24"/>
        </w:rPr>
      </w:pPr>
      <w:r>
        <w:rPr>
          <w:sz w:val="24"/>
          <w:szCs w:val="24"/>
        </w:rPr>
        <w:t xml:space="preserve">The study of </w:t>
      </w:r>
      <w:r>
        <w:rPr>
          <w:i/>
          <w:sz w:val="24"/>
          <w:szCs w:val="24"/>
        </w:rPr>
        <w:t>Torat Eretz Yisrael</w:t>
      </w:r>
      <w:r>
        <w:rPr>
          <w:sz w:val="24"/>
          <w:szCs w:val="24"/>
        </w:rPr>
        <w:t xml:space="preserve">, Rav Kook hastens to add (writing </w:t>
      </w:r>
      <w:r w:rsidR="0067559F">
        <w:rPr>
          <w:sz w:val="24"/>
          <w:szCs w:val="24"/>
        </w:rPr>
        <w:t>well</w:t>
      </w:r>
      <w:r>
        <w:rPr>
          <w:sz w:val="24"/>
          <w:szCs w:val="24"/>
        </w:rPr>
        <w:t xml:space="preserve"> before the Holocaust), takes on heightened significance for the generation of the return of the suffering people to Israel, who require the added fortitude and enlightenment afforded by the Land of Israel. </w:t>
      </w:r>
    </w:p>
    <w:p w:rsidR="00777F58" w:rsidRDefault="00777F58" w:rsidP="00FB41E8">
      <w:pPr>
        <w:spacing w:line="240" w:lineRule="auto"/>
        <w:jc w:val="both"/>
        <w:rPr>
          <w:sz w:val="24"/>
          <w:szCs w:val="24"/>
        </w:rPr>
      </w:pPr>
    </w:p>
    <w:p w:rsidR="00777F58" w:rsidRPr="007242B8" w:rsidRDefault="008B5DF0" w:rsidP="00FB41E8">
      <w:pPr>
        <w:spacing w:line="240" w:lineRule="auto"/>
        <w:jc w:val="both"/>
        <w:rPr>
          <w:sz w:val="24"/>
          <w:szCs w:val="24"/>
        </w:rPr>
      </w:pPr>
      <w:r>
        <w:rPr>
          <w:sz w:val="24"/>
          <w:szCs w:val="24"/>
        </w:rPr>
        <w:t xml:space="preserve">For Rav Kook, then, </w:t>
      </w:r>
      <w:r>
        <w:rPr>
          <w:i/>
          <w:sz w:val="24"/>
          <w:szCs w:val="24"/>
        </w:rPr>
        <w:t>Torat Eretz Yisrael</w:t>
      </w:r>
      <w:r>
        <w:rPr>
          <w:sz w:val="24"/>
          <w:szCs w:val="24"/>
        </w:rPr>
        <w:t xml:space="preserve"> speaks not only to the centrality of the Land of Israel, but also to the wide-ranging impact of </w:t>
      </w:r>
      <w:r>
        <w:rPr>
          <w:i/>
          <w:sz w:val="24"/>
          <w:szCs w:val="24"/>
        </w:rPr>
        <w:t>talmud Torah</w:t>
      </w:r>
      <w:r>
        <w:rPr>
          <w:sz w:val="24"/>
          <w:szCs w:val="24"/>
        </w:rPr>
        <w:t xml:space="preserve">. Echoing themes we outlined in the opening </w:t>
      </w:r>
      <w:r>
        <w:rPr>
          <w:i/>
          <w:sz w:val="24"/>
          <w:szCs w:val="24"/>
        </w:rPr>
        <w:t>shiurim</w:t>
      </w:r>
      <w:r>
        <w:rPr>
          <w:sz w:val="24"/>
          <w:szCs w:val="24"/>
        </w:rPr>
        <w:t xml:space="preserve"> of this series, Rav Kook reminds us that, far from being just an important practical obligation, Torah learning is a soaring spiritual experience that enables the individual members and entire Jewish people to more deeply connect with their </w:t>
      </w:r>
      <w:r w:rsidR="00510E5C">
        <w:rPr>
          <w:sz w:val="24"/>
          <w:szCs w:val="24"/>
        </w:rPr>
        <w:t>deepest essence as well as the D</w:t>
      </w:r>
      <w:r>
        <w:rPr>
          <w:sz w:val="24"/>
          <w:szCs w:val="24"/>
        </w:rPr>
        <w:t xml:space="preserve">ivine. </w:t>
      </w:r>
    </w:p>
    <w:sectPr w:rsidR="00777F58" w:rsidRPr="007242B8" w:rsidSect="00FB41E8">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72" w:rsidRDefault="00EC5F72">
      <w:pPr>
        <w:spacing w:line="240" w:lineRule="auto"/>
      </w:pPr>
      <w:r>
        <w:separator/>
      </w:r>
    </w:p>
  </w:endnote>
  <w:endnote w:type="continuationSeparator" w:id="0">
    <w:p w:rsidR="00EC5F72" w:rsidRDefault="00EC5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72" w:rsidRDefault="00EC5F72">
      <w:pPr>
        <w:spacing w:line="240" w:lineRule="auto"/>
      </w:pPr>
      <w:r>
        <w:separator/>
      </w:r>
    </w:p>
  </w:footnote>
  <w:footnote w:type="continuationSeparator" w:id="0">
    <w:p w:rsidR="00EC5F72" w:rsidRDefault="00EC5F72">
      <w:pPr>
        <w:spacing w:line="240" w:lineRule="auto"/>
      </w:pPr>
      <w:r>
        <w:continuationSeparator/>
      </w:r>
    </w:p>
  </w:footnote>
  <w:footnote w:id="1">
    <w:p w:rsidR="00AB7F22" w:rsidRDefault="00AB7F22" w:rsidP="00650498">
      <w:pPr>
        <w:spacing w:line="240" w:lineRule="auto"/>
        <w:jc w:val="both"/>
        <w:rPr>
          <w:sz w:val="20"/>
          <w:szCs w:val="20"/>
        </w:rPr>
      </w:pPr>
      <w:r>
        <w:rPr>
          <w:vertAlign w:val="superscript"/>
        </w:rPr>
        <w:footnoteRef/>
      </w:r>
      <w:r>
        <w:rPr>
          <w:sz w:val="20"/>
          <w:szCs w:val="20"/>
        </w:rPr>
        <w:t xml:space="preserve"> For an incisive Chasidic reading of the </w:t>
      </w:r>
      <w:r w:rsidR="00650498">
        <w:rPr>
          <w:sz w:val="20"/>
          <w:szCs w:val="20"/>
        </w:rPr>
        <w:t>Gemara, see R. Tzadok of Lublin’s</w:t>
      </w:r>
      <w:r>
        <w:rPr>
          <w:sz w:val="20"/>
          <w:szCs w:val="20"/>
        </w:rPr>
        <w:t xml:space="preserve"> </w:t>
      </w:r>
      <w:r w:rsidR="00523860">
        <w:rPr>
          <w:i/>
          <w:sz w:val="20"/>
          <w:szCs w:val="20"/>
        </w:rPr>
        <w:t>Likutei</w:t>
      </w:r>
      <w:r>
        <w:rPr>
          <w:i/>
          <w:sz w:val="20"/>
          <w:szCs w:val="20"/>
        </w:rPr>
        <w:t xml:space="preserve"> Ma’amarim</w:t>
      </w:r>
      <w:r w:rsidR="00650498">
        <w:rPr>
          <w:i/>
          <w:sz w:val="20"/>
          <w:szCs w:val="20"/>
        </w:rPr>
        <w:t>,</w:t>
      </w:r>
      <w:r>
        <w:rPr>
          <w:sz w:val="20"/>
          <w:szCs w:val="20"/>
        </w:rPr>
        <w:t xml:space="preserve"> p. 79</w:t>
      </w:r>
      <w:r w:rsidR="00650498">
        <w:rPr>
          <w:sz w:val="20"/>
          <w:szCs w:val="20"/>
        </w:rPr>
        <w:t>. He</w:t>
      </w:r>
      <w:r>
        <w:rPr>
          <w:sz w:val="20"/>
          <w:szCs w:val="20"/>
        </w:rPr>
        <w:t xml:space="preserve"> suggests that the mental gymnastics of the Babylonian sages can have the inadvertent effect of obscuring the clarity of God’s presence, which ought to be clearly manifest in one’s study. </w:t>
      </w:r>
    </w:p>
  </w:footnote>
  <w:footnote w:id="2">
    <w:p w:rsidR="00AB7F22" w:rsidRDefault="00AB7F22" w:rsidP="00523860">
      <w:pPr>
        <w:spacing w:line="240" w:lineRule="auto"/>
        <w:jc w:val="both"/>
        <w:rPr>
          <w:sz w:val="20"/>
          <w:szCs w:val="20"/>
        </w:rPr>
      </w:pPr>
      <w:r>
        <w:rPr>
          <w:vertAlign w:val="superscript"/>
        </w:rPr>
        <w:footnoteRef/>
      </w:r>
      <w:r>
        <w:rPr>
          <w:sz w:val="20"/>
          <w:szCs w:val="20"/>
        </w:rPr>
        <w:t xml:space="preserve"> See also R. Moshe Isserles’</w:t>
      </w:r>
      <w:r w:rsidR="0067559F">
        <w:rPr>
          <w:sz w:val="20"/>
          <w:szCs w:val="20"/>
        </w:rPr>
        <w:t>s</w:t>
      </w:r>
      <w:r>
        <w:rPr>
          <w:sz w:val="20"/>
          <w:szCs w:val="20"/>
        </w:rPr>
        <w:t xml:space="preserve"> </w:t>
      </w:r>
      <w:r>
        <w:rPr>
          <w:i/>
          <w:sz w:val="20"/>
          <w:szCs w:val="20"/>
        </w:rPr>
        <w:t>Torat Ha-ola</w:t>
      </w:r>
      <w:r>
        <w:rPr>
          <w:sz w:val="20"/>
          <w:szCs w:val="20"/>
        </w:rPr>
        <w:t xml:space="preserve">, 3:38. </w:t>
      </w:r>
    </w:p>
  </w:footnote>
  <w:footnote w:id="3">
    <w:p w:rsidR="00AB7F22" w:rsidRDefault="00AB7F22" w:rsidP="007242B8">
      <w:pPr>
        <w:spacing w:line="240" w:lineRule="auto"/>
        <w:jc w:val="both"/>
        <w:rPr>
          <w:sz w:val="20"/>
          <w:szCs w:val="20"/>
        </w:rPr>
      </w:pPr>
      <w:r>
        <w:rPr>
          <w:vertAlign w:val="superscript"/>
        </w:rPr>
        <w:footnoteRef/>
      </w:r>
      <w:r>
        <w:rPr>
          <w:sz w:val="20"/>
          <w:szCs w:val="20"/>
        </w:rPr>
        <w:t xml:space="preserve"> F</w:t>
      </w:r>
      <w:r w:rsidR="0067559F">
        <w:rPr>
          <w:sz w:val="20"/>
          <w:szCs w:val="20"/>
        </w:rPr>
        <w:t>or a similar motif, see Maharal’s</w:t>
      </w:r>
      <w:r>
        <w:rPr>
          <w:sz w:val="20"/>
          <w:szCs w:val="20"/>
        </w:rPr>
        <w:t xml:space="preserve"> </w:t>
      </w:r>
      <w:r>
        <w:rPr>
          <w:i/>
          <w:sz w:val="20"/>
          <w:szCs w:val="20"/>
        </w:rPr>
        <w:t>Netivot Ha-Torah</w:t>
      </w:r>
      <w:r>
        <w:rPr>
          <w:sz w:val="20"/>
          <w:szCs w:val="20"/>
        </w:rPr>
        <w:t xml:space="preserve">, </w:t>
      </w:r>
      <w:r>
        <w:rPr>
          <w:i/>
          <w:sz w:val="20"/>
          <w:szCs w:val="20"/>
        </w:rPr>
        <w:t>Netiv Ha-Torah</w:t>
      </w:r>
      <w:r>
        <w:rPr>
          <w:sz w:val="20"/>
          <w:szCs w:val="20"/>
        </w:rPr>
        <w:t xml:space="preserve"> 13, who argues that since </w:t>
      </w:r>
      <w:r>
        <w:rPr>
          <w:i/>
          <w:sz w:val="20"/>
          <w:szCs w:val="20"/>
        </w:rPr>
        <w:t>Eretz Yisrael</w:t>
      </w:r>
      <w:r>
        <w:rPr>
          <w:sz w:val="20"/>
          <w:szCs w:val="20"/>
        </w:rPr>
        <w:t xml:space="preserve"> is fully balanced, both geographically (in his scheme, Israel lies at the center of the universe) and spiritually, its sc</w:t>
      </w:r>
      <w:r w:rsidR="0067559F">
        <w:rPr>
          <w:sz w:val="20"/>
          <w:szCs w:val="20"/>
        </w:rPr>
        <w:t>holars argue with calm demeanor</w:t>
      </w:r>
      <w:r>
        <w:rPr>
          <w:sz w:val="20"/>
          <w:szCs w:val="20"/>
        </w:rPr>
        <w:t xml:space="preserve">. The scholars of Bavel, on the other hand, in line with the “uneven” quality of Babylonia, tend to study in a far more adversarial fashion.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17CAD"/>
    <w:rsid w:val="0005385C"/>
    <w:rsid w:val="001E572A"/>
    <w:rsid w:val="00222667"/>
    <w:rsid w:val="002D2A58"/>
    <w:rsid w:val="002F770B"/>
    <w:rsid w:val="00322D94"/>
    <w:rsid w:val="003B12A0"/>
    <w:rsid w:val="003D0EBC"/>
    <w:rsid w:val="004F3FE3"/>
    <w:rsid w:val="00510E5C"/>
    <w:rsid w:val="005158D8"/>
    <w:rsid w:val="00523860"/>
    <w:rsid w:val="0059786F"/>
    <w:rsid w:val="005E42A7"/>
    <w:rsid w:val="00650498"/>
    <w:rsid w:val="0067559F"/>
    <w:rsid w:val="0069429F"/>
    <w:rsid w:val="007242B8"/>
    <w:rsid w:val="00755318"/>
    <w:rsid w:val="00777F58"/>
    <w:rsid w:val="007C29FE"/>
    <w:rsid w:val="0086491F"/>
    <w:rsid w:val="008B5DF0"/>
    <w:rsid w:val="00A73EAE"/>
    <w:rsid w:val="00AA0D89"/>
    <w:rsid w:val="00AB7F22"/>
    <w:rsid w:val="00B63030"/>
    <w:rsid w:val="00BA2ECE"/>
    <w:rsid w:val="00C21FC8"/>
    <w:rsid w:val="00E8634A"/>
    <w:rsid w:val="00EC5F72"/>
    <w:rsid w:val="00ED5E13"/>
    <w:rsid w:val="00F60602"/>
    <w:rsid w:val="00F92E79"/>
    <w:rsid w:val="00FB4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06F0-A580-4A75-8B5E-EFC7F044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3</cp:revision>
  <dcterms:created xsi:type="dcterms:W3CDTF">2018-02-14T08:06:00Z</dcterms:created>
  <dcterms:modified xsi:type="dcterms:W3CDTF">2018-02-15T08:21:00Z</dcterms:modified>
</cp:coreProperties>
</file>