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636" w:rsidRPr="004F143E" w:rsidRDefault="00105636" w:rsidP="00105636">
      <w:pPr>
        <w:pStyle w:val="1"/>
        <w:rPr>
          <w:rtl/>
        </w:rPr>
      </w:pPr>
      <w:bookmarkStart w:id="0" w:name="_GoBack"/>
      <w:bookmarkEnd w:id="0"/>
      <w:r w:rsidRPr="004F143E">
        <w:rPr>
          <w:rFonts w:hint="cs"/>
          <w:rtl/>
        </w:rPr>
        <w:t>חטאות ירבעם (י"ב, כה</w:t>
      </w:r>
      <w:r w:rsidRPr="004F143E">
        <w:rPr>
          <w:rFonts w:hint="cs"/>
        </w:rPr>
        <w:sym w:font="Symbol" w:char="F02D"/>
      </w:r>
      <w:r w:rsidRPr="004F143E">
        <w:rPr>
          <w:rFonts w:hint="cs"/>
          <w:rtl/>
        </w:rPr>
        <w:t>לג; י"ג, לג</w:t>
      </w:r>
      <w:r w:rsidRPr="004F143E">
        <w:rPr>
          <w:rFonts w:hint="cs"/>
        </w:rPr>
        <w:sym w:font="Symbol" w:char="F02D"/>
      </w:r>
      <w:r w:rsidRPr="004F143E">
        <w:rPr>
          <w:rFonts w:hint="cs"/>
          <w:rtl/>
        </w:rPr>
        <w:t xml:space="preserve">לד) </w:t>
      </w:r>
    </w:p>
    <w:p w:rsidR="00105636" w:rsidRDefault="00105636" w:rsidP="00105636">
      <w:pPr>
        <w:pStyle w:val="2"/>
        <w:rPr>
          <w:rtl/>
        </w:rPr>
      </w:pPr>
      <w:r>
        <w:rPr>
          <w:rFonts w:hint="cs"/>
          <w:rtl/>
        </w:rPr>
        <w:t>ד. עגלי ירבעם בעקבות העגל במדבר</w:t>
      </w:r>
      <w:r w:rsidR="00F6090B">
        <w:rPr>
          <w:rFonts w:hint="cs"/>
          <w:rtl/>
        </w:rPr>
        <w:t xml:space="preserve"> (המשך)</w:t>
      </w:r>
    </w:p>
    <w:p w:rsidR="003320B1" w:rsidRPr="00105636" w:rsidRDefault="003320B1" w:rsidP="00105636">
      <w:pPr>
        <w:pStyle w:val="3"/>
        <w:rPr>
          <w:rtl/>
        </w:rPr>
      </w:pPr>
      <w:r w:rsidRPr="00105636">
        <w:rPr>
          <w:rFonts w:hint="cs"/>
          <w:rtl/>
        </w:rPr>
        <w:t>4.</w:t>
      </w:r>
      <w:r w:rsidR="00F6090B">
        <w:rPr>
          <w:rFonts w:hint="cs"/>
          <w:rtl/>
        </w:rPr>
        <w:t xml:space="preserve"> מה בין הכרובים לעגל?</w:t>
      </w:r>
    </w:p>
    <w:p w:rsidR="003320B1" w:rsidRPr="00914F70" w:rsidRDefault="003320B1" w:rsidP="00722A5E">
      <w:pPr>
        <w:rPr>
          <w:rtl/>
        </w:rPr>
      </w:pPr>
      <w:r w:rsidRPr="00914F70">
        <w:rPr>
          <w:rFonts w:hint="cs"/>
          <w:rtl/>
        </w:rPr>
        <w:t xml:space="preserve">בדברי </w:t>
      </w:r>
      <w:r w:rsidR="00F6090B">
        <w:rPr>
          <w:rFonts w:hint="cs"/>
          <w:rtl/>
        </w:rPr>
        <w:t>אולברייט וקאסוטו שהבאנו בסעיף הקודם,</w:t>
      </w:r>
      <w:r w:rsidRPr="00914F70">
        <w:rPr>
          <w:rFonts w:hint="cs"/>
          <w:rtl/>
        </w:rPr>
        <w:t xml:space="preserve"> חוזרת ההשוואה בין הארון והכרובים שעליו לבין העגל, </w:t>
      </w:r>
      <w:r w:rsidR="00F6090B">
        <w:rPr>
          <w:rFonts w:hint="cs"/>
          <w:rtl/>
        </w:rPr>
        <w:t xml:space="preserve">המסמלים שניהם את </w:t>
      </w:r>
      <w:r w:rsidR="00F6090B" w:rsidRPr="00914F70">
        <w:rPr>
          <w:rFonts w:hint="cs"/>
          <w:rtl/>
        </w:rPr>
        <w:t>מ</w:t>
      </w:r>
      <w:r w:rsidR="00F6090B">
        <w:rPr>
          <w:rFonts w:hint="cs"/>
          <w:rtl/>
        </w:rPr>
        <w:t>קום מושב</w:t>
      </w:r>
      <w:r w:rsidR="00F6090B" w:rsidRPr="00914F70">
        <w:rPr>
          <w:rFonts w:hint="cs"/>
          <w:rtl/>
        </w:rPr>
        <w:t xml:space="preserve">ו </w:t>
      </w:r>
      <w:r w:rsidRPr="00914F70">
        <w:rPr>
          <w:rFonts w:hint="cs"/>
          <w:rtl/>
        </w:rPr>
        <w:t xml:space="preserve">של </w:t>
      </w:r>
      <w:r w:rsidR="00F6090B">
        <w:rPr>
          <w:rFonts w:hint="cs"/>
          <w:rtl/>
        </w:rPr>
        <w:t>ה</w:t>
      </w:r>
      <w:r w:rsidRPr="00914F70">
        <w:rPr>
          <w:rFonts w:hint="cs"/>
          <w:rtl/>
        </w:rPr>
        <w:t>א</w:t>
      </w:r>
      <w:r w:rsidR="00F6090B">
        <w:rPr>
          <w:rFonts w:hint="cs"/>
          <w:rtl/>
        </w:rPr>
        <w:t>-</w:t>
      </w:r>
      <w:r w:rsidRPr="00914F70">
        <w:rPr>
          <w:rFonts w:hint="cs"/>
          <w:rtl/>
        </w:rPr>
        <w:t xml:space="preserve">ל </w:t>
      </w:r>
      <w:r w:rsidR="00F6090B">
        <w:rPr>
          <w:rFonts w:hint="cs"/>
          <w:rtl/>
        </w:rPr>
        <w:t>ה</w:t>
      </w:r>
      <w:r w:rsidRPr="00914F70">
        <w:rPr>
          <w:rFonts w:hint="cs"/>
          <w:rtl/>
        </w:rPr>
        <w:t xml:space="preserve">בלתי נראה. וכבר רבי יהודה הלוי </w:t>
      </w:r>
      <w:r w:rsidR="00F6090B">
        <w:rPr>
          <w:rFonts w:hint="cs"/>
          <w:rtl/>
        </w:rPr>
        <w:t xml:space="preserve">ערך </w:t>
      </w:r>
      <w:r w:rsidRPr="00914F70">
        <w:rPr>
          <w:rFonts w:hint="cs"/>
          <w:rtl/>
        </w:rPr>
        <w:t xml:space="preserve">השוואה זו, כאשר השווה את הקריאה הפונה אל העגל "אֵלֶּה אֱלֹהֶיךָ יִשְׂרָאֵל..." לפנייה אל הארון "קוּמָה ה'...", כדי להוכיח שאין </w:t>
      </w:r>
      <w:r w:rsidR="00F6090B">
        <w:rPr>
          <w:rFonts w:hint="cs"/>
          <w:rtl/>
        </w:rPr>
        <w:t>זו</w:t>
      </w:r>
      <w:r w:rsidRPr="00914F70">
        <w:rPr>
          <w:rFonts w:hint="cs"/>
          <w:rtl/>
        </w:rPr>
        <w:t xml:space="preserve"> האלהה של העגל ולא האלהה של הארון (וראה</w:t>
      </w:r>
      <w:r w:rsidR="00F6090B">
        <w:rPr>
          <w:rFonts w:hint="cs"/>
          <w:rtl/>
        </w:rPr>
        <w:t xml:space="preserve"> סעיף 2</w:t>
      </w:r>
      <w:r w:rsidRPr="00914F70">
        <w:rPr>
          <w:rFonts w:hint="cs"/>
          <w:rtl/>
        </w:rPr>
        <w:t xml:space="preserve"> הערה </w:t>
      </w:r>
      <w:r w:rsidR="00F6090B">
        <w:rPr>
          <w:rFonts w:hint="cs"/>
          <w:rtl/>
        </w:rPr>
        <w:t>11</w:t>
      </w:r>
      <w:r w:rsidRPr="00914F70">
        <w:rPr>
          <w:rFonts w:hint="cs"/>
          <w:rtl/>
        </w:rPr>
        <w:t>), ו</w:t>
      </w:r>
      <w:r w:rsidR="00F6090B">
        <w:rPr>
          <w:rFonts w:hint="cs"/>
          <w:rtl/>
        </w:rPr>
        <w:t xml:space="preserve">שוב השווה בין השניים </w:t>
      </w:r>
      <w:r w:rsidRPr="00914F70">
        <w:rPr>
          <w:rFonts w:hint="cs"/>
          <w:rtl/>
        </w:rPr>
        <w:t>כשכתב "והנה המעשה הזה מוזר ומגונה בעינינו...אולם בדור ההוא היה מעשה כזה מקובל...</w:t>
      </w:r>
      <w:r w:rsidR="00F6090B">
        <w:rPr>
          <w:rFonts w:hint="cs"/>
          <w:rtl/>
        </w:rPr>
        <w:t xml:space="preserve"> </w:t>
      </w:r>
      <w:r w:rsidRPr="00914F70">
        <w:rPr>
          <w:rFonts w:hint="cs"/>
          <w:rtl/>
        </w:rPr>
        <w:t xml:space="preserve">אותן התמונות שהתירן הא-לוה </w:t>
      </w:r>
      <w:r w:rsidRPr="00914F70">
        <w:rPr>
          <w:rtl/>
        </w:rPr>
        <w:t>–</w:t>
      </w:r>
      <w:r w:rsidRPr="00914F70">
        <w:rPr>
          <w:rFonts w:hint="cs"/>
          <w:rtl/>
        </w:rPr>
        <w:t xml:space="preserve"> הכרובים, למשל </w:t>
      </w:r>
      <w:r w:rsidRPr="00914F70">
        <w:rPr>
          <w:rtl/>
        </w:rPr>
        <w:t>–</w:t>
      </w:r>
      <w:r w:rsidRPr="00914F70">
        <w:rPr>
          <w:rFonts w:hint="cs"/>
          <w:rtl/>
        </w:rPr>
        <w:t xml:space="preserve"> לא נראו לעם כדבר מוזר"</w:t>
      </w:r>
      <w:r w:rsidR="00722A5E">
        <w:rPr>
          <w:rFonts w:hint="cs"/>
          <w:rtl/>
        </w:rPr>
        <w:t>.</w:t>
      </w:r>
    </w:p>
    <w:p w:rsidR="003320B1" w:rsidRPr="00914F70" w:rsidRDefault="003320B1" w:rsidP="00DB5719">
      <w:pPr>
        <w:rPr>
          <w:rtl/>
        </w:rPr>
      </w:pPr>
      <w:r w:rsidRPr="00914F70">
        <w:rPr>
          <w:rFonts w:hint="cs"/>
          <w:rtl/>
        </w:rPr>
        <w:t xml:space="preserve">ובכן, נשאלת השאלה, מה נשתנה העגל מן הכרובים? מדוע סימול הנוכחות הא-לוהית בקרב ישראל באמצעות מרכבת השור </w:t>
      </w:r>
      <w:r w:rsidRPr="00914F70">
        <w:rPr>
          <w:rtl/>
        </w:rPr>
        <w:t>–</w:t>
      </w:r>
      <w:r w:rsidRPr="00914F70">
        <w:rPr>
          <w:rFonts w:hint="cs"/>
          <w:rtl/>
        </w:rPr>
        <w:t xml:space="preserve"> נפסל ונחשב לחטא, ואילו סימול הדבר באמצעות הארון והכרובים </w:t>
      </w:r>
      <w:r w:rsidRPr="00914F70">
        <w:rPr>
          <w:rtl/>
        </w:rPr>
        <w:t>–</w:t>
      </w:r>
      <w:r w:rsidRPr="00914F70">
        <w:rPr>
          <w:rFonts w:hint="cs"/>
          <w:rtl/>
        </w:rPr>
        <w:t xml:space="preserve"> הפך לצ</w:t>
      </w:r>
      <w:r w:rsidR="00F6090B">
        <w:rPr>
          <w:rFonts w:hint="cs"/>
          <w:rtl/>
        </w:rPr>
        <w:t>י</w:t>
      </w:r>
      <w:r w:rsidRPr="00914F70">
        <w:rPr>
          <w:rFonts w:hint="cs"/>
          <w:rtl/>
        </w:rPr>
        <w:t>ווי העומד במרכז קדושת המשכן והמקדש?</w:t>
      </w:r>
    </w:p>
    <w:p w:rsidR="003320B1" w:rsidRPr="00914F70" w:rsidRDefault="003320B1" w:rsidP="00722A5E">
      <w:pPr>
        <w:rPr>
          <w:rtl/>
        </w:rPr>
      </w:pPr>
      <w:r w:rsidRPr="00914F70">
        <w:rPr>
          <w:rFonts w:hint="cs"/>
          <w:rtl/>
        </w:rPr>
        <w:t xml:space="preserve">תשובתו של ריה"ל לשאלה זו היא </w:t>
      </w:r>
      <w:r w:rsidR="00F6090B">
        <w:rPr>
          <w:rFonts w:hint="cs"/>
          <w:rtl/>
        </w:rPr>
        <w:t xml:space="preserve">תשובה </w:t>
      </w:r>
      <w:r w:rsidRPr="00914F70">
        <w:rPr>
          <w:rFonts w:hint="cs"/>
          <w:rtl/>
        </w:rPr>
        <w:t xml:space="preserve">פורמליסטית: "חטאת העם הייתה אפוא רק בזה שעשו להם תמונה, דבר שנאסר עליהם, ובזה שייחסו כח א-לוהי לדבר אשר עשו בידיהם ומרצונם, </w:t>
      </w:r>
      <w:r w:rsidRPr="00FE3E4A">
        <w:rPr>
          <w:rFonts w:hint="cs"/>
          <w:b/>
          <w:bCs/>
          <w:rtl/>
        </w:rPr>
        <w:t>בלי</w:t>
      </w:r>
      <w:r w:rsidRPr="00FE3E4A">
        <w:rPr>
          <w:b/>
          <w:bCs/>
          <w:rtl/>
        </w:rPr>
        <w:t xml:space="preserve"> </w:t>
      </w:r>
      <w:r w:rsidRPr="00FE3E4A">
        <w:rPr>
          <w:rFonts w:hint="cs"/>
          <w:b/>
          <w:bCs/>
          <w:rtl/>
        </w:rPr>
        <w:t>אשר</w:t>
      </w:r>
      <w:r w:rsidRPr="00FE3E4A">
        <w:rPr>
          <w:b/>
          <w:bCs/>
          <w:rtl/>
        </w:rPr>
        <w:t xml:space="preserve"> </w:t>
      </w:r>
      <w:r w:rsidRPr="00FE3E4A">
        <w:rPr>
          <w:rFonts w:hint="cs"/>
          <w:b/>
          <w:bCs/>
          <w:rtl/>
        </w:rPr>
        <w:t>באה</w:t>
      </w:r>
      <w:r w:rsidRPr="00FE3E4A">
        <w:rPr>
          <w:b/>
          <w:bCs/>
          <w:rtl/>
        </w:rPr>
        <w:t xml:space="preserve"> </w:t>
      </w:r>
      <w:r w:rsidRPr="00FE3E4A">
        <w:rPr>
          <w:rFonts w:hint="cs"/>
          <w:b/>
          <w:bCs/>
          <w:rtl/>
        </w:rPr>
        <w:t>על</w:t>
      </w:r>
      <w:r w:rsidRPr="00FE3E4A">
        <w:rPr>
          <w:b/>
          <w:bCs/>
          <w:rtl/>
        </w:rPr>
        <w:t xml:space="preserve"> </w:t>
      </w:r>
      <w:r w:rsidRPr="00FE3E4A">
        <w:rPr>
          <w:rFonts w:hint="cs"/>
          <w:b/>
          <w:bCs/>
          <w:rtl/>
        </w:rPr>
        <w:t>כך</w:t>
      </w:r>
      <w:r w:rsidRPr="00FE3E4A">
        <w:rPr>
          <w:b/>
          <w:bCs/>
          <w:rtl/>
        </w:rPr>
        <w:t xml:space="preserve"> </w:t>
      </w:r>
      <w:r w:rsidRPr="00FE3E4A">
        <w:rPr>
          <w:rFonts w:hint="cs"/>
          <w:b/>
          <w:bCs/>
          <w:rtl/>
        </w:rPr>
        <w:t>מצוות</w:t>
      </w:r>
      <w:r w:rsidRPr="00FE3E4A">
        <w:rPr>
          <w:b/>
          <w:bCs/>
          <w:rtl/>
        </w:rPr>
        <w:t xml:space="preserve"> </w:t>
      </w:r>
      <w:r w:rsidRPr="00FE3E4A">
        <w:rPr>
          <w:rFonts w:hint="cs"/>
          <w:b/>
          <w:bCs/>
          <w:rtl/>
        </w:rPr>
        <w:t>הא</w:t>
      </w:r>
      <w:r w:rsidRPr="00FE3E4A">
        <w:rPr>
          <w:b/>
          <w:bCs/>
          <w:rtl/>
        </w:rPr>
        <w:t>-</w:t>
      </w:r>
      <w:r w:rsidRPr="00FE3E4A">
        <w:rPr>
          <w:rFonts w:hint="cs"/>
          <w:b/>
          <w:bCs/>
          <w:rtl/>
        </w:rPr>
        <w:t>לוה</w:t>
      </w:r>
      <w:r w:rsidRPr="00914F70">
        <w:rPr>
          <w:rFonts w:hint="cs"/>
          <w:rtl/>
        </w:rPr>
        <w:t xml:space="preserve">". "היה עליהם להוסיף ולהמתין למשה </w:t>
      </w:r>
      <w:r w:rsidR="00F6090B" w:rsidRPr="00914F70">
        <w:rPr>
          <w:rFonts w:hint="cs"/>
          <w:rtl/>
        </w:rPr>
        <w:t>(</w:t>
      </w:r>
      <w:r w:rsidR="00F6090B">
        <w:rPr>
          <w:rFonts w:hint="eastAsia"/>
          <w:rtl/>
        </w:rPr>
        <w:t>–</w:t>
      </w:r>
      <w:r w:rsidR="00F6090B" w:rsidRPr="00914F70">
        <w:rPr>
          <w:rFonts w:hint="cs"/>
          <w:rtl/>
        </w:rPr>
        <w:t xml:space="preserve"> </w:t>
      </w:r>
      <w:r w:rsidRPr="00914F70">
        <w:rPr>
          <w:rFonts w:hint="cs"/>
          <w:rtl/>
        </w:rPr>
        <w:t>שיביא להם דבר ממשי שיוכלו לכוון אליו) ולא לעשות סמל מדעת</w:t>
      </w:r>
      <w:r w:rsidR="00722A5E">
        <w:rPr>
          <w:rFonts w:hint="cs"/>
          <w:rtl/>
        </w:rPr>
        <w:t>ם</w:t>
      </w:r>
      <w:r w:rsidRPr="00914F70">
        <w:rPr>
          <w:rFonts w:hint="cs"/>
          <w:rtl/>
        </w:rPr>
        <w:t xml:space="preserve">, ולקבוע מקום אליו יכוונו, ולא לבנות להם מזבח ולהעלות עליו קרבנות </w:t>
      </w:r>
      <w:r w:rsidR="00F6090B" w:rsidRPr="00914F70">
        <w:rPr>
          <w:rFonts w:hint="cs"/>
          <w:rtl/>
        </w:rPr>
        <w:t>(</w:t>
      </w:r>
      <w:r w:rsidR="00F6090B">
        <w:rPr>
          <w:rFonts w:hint="eastAsia"/>
          <w:rtl/>
        </w:rPr>
        <w:t>–</w:t>
      </w:r>
      <w:r w:rsidR="00F6090B" w:rsidRPr="00914F70">
        <w:rPr>
          <w:rFonts w:hint="cs"/>
          <w:rtl/>
        </w:rPr>
        <w:t xml:space="preserve"> </w:t>
      </w:r>
      <w:r w:rsidRPr="00914F70">
        <w:rPr>
          <w:rFonts w:hint="cs"/>
          <w:rtl/>
        </w:rPr>
        <w:t xml:space="preserve">לה'!)" "ולעומת זה, אותן התמונות שהתיר הא-לוה </w:t>
      </w:r>
      <w:r w:rsidRPr="00914F70">
        <w:rPr>
          <w:rtl/>
        </w:rPr>
        <w:t>–</w:t>
      </w:r>
      <w:r w:rsidRPr="00914F70">
        <w:rPr>
          <w:rFonts w:hint="cs"/>
          <w:rtl/>
        </w:rPr>
        <w:t xml:space="preserve"> הכרובים" </w:t>
      </w:r>
      <w:r w:rsidRPr="00914F70">
        <w:rPr>
          <w:rtl/>
        </w:rPr>
        <w:t>–</w:t>
      </w:r>
      <w:r w:rsidRPr="00914F70">
        <w:rPr>
          <w:rFonts w:hint="cs"/>
          <w:rtl/>
        </w:rPr>
        <w:t xml:space="preserve"> היו ראויות</w:t>
      </w:r>
      <w:r w:rsidRPr="00722A5E">
        <w:rPr>
          <w:rFonts w:hint="cs"/>
          <w:rtl/>
        </w:rPr>
        <w:t>.</w:t>
      </w:r>
      <w:r w:rsidR="00F6090B" w:rsidRPr="00722A5E">
        <w:rPr>
          <w:rFonts w:hint="cs"/>
          <w:rtl/>
        </w:rPr>
        <w:t xml:space="preserve"> </w:t>
      </w:r>
      <w:r w:rsidR="00F6090B" w:rsidRPr="00722A5E">
        <w:rPr>
          <w:rtl/>
        </w:rPr>
        <w:t>(</w:t>
      </w:r>
      <w:r w:rsidR="00722A5E">
        <w:rPr>
          <w:rFonts w:hint="cs"/>
          <w:rtl/>
        </w:rPr>
        <w:t xml:space="preserve">כל הציטוטים לקוחים מתוך דברי ריה"ל שהובאו בסעיף 2.) </w:t>
      </w:r>
    </w:p>
    <w:p w:rsidR="003320B1" w:rsidRPr="00914F70" w:rsidRDefault="003320B1" w:rsidP="00DB5719">
      <w:pPr>
        <w:rPr>
          <w:rtl/>
        </w:rPr>
      </w:pPr>
      <w:r w:rsidRPr="00914F70">
        <w:rPr>
          <w:rFonts w:hint="cs"/>
          <w:rtl/>
        </w:rPr>
        <w:t xml:space="preserve">הסבר זה מביא את מלך כוזר </w:t>
      </w:r>
      <w:r w:rsidR="00F6090B">
        <w:rPr>
          <w:rFonts w:hint="cs"/>
          <w:rtl/>
        </w:rPr>
        <w:t xml:space="preserve">בהמשך הדברים </w:t>
      </w:r>
      <w:r w:rsidRPr="00914F70">
        <w:rPr>
          <w:rFonts w:hint="cs"/>
          <w:rtl/>
        </w:rPr>
        <w:t>אל המסקנה שהיא אחת מאבני התשתית של ספר הכוזרי:</w:t>
      </w:r>
    </w:p>
    <w:p w:rsidR="003320B1" w:rsidRPr="00914F70" w:rsidRDefault="003320B1" w:rsidP="00FE3E4A">
      <w:pPr>
        <w:ind w:left="720" w:firstLine="0"/>
        <w:rPr>
          <w:rtl/>
        </w:rPr>
      </w:pPr>
      <w:r w:rsidRPr="00914F70">
        <w:rPr>
          <w:rFonts w:hint="cs"/>
          <w:rtl/>
        </w:rPr>
        <w:t>הנה חזקתני בדעה...</w:t>
      </w:r>
      <w:r w:rsidR="00F6090B">
        <w:rPr>
          <w:rFonts w:hint="cs"/>
          <w:rtl/>
        </w:rPr>
        <w:t xml:space="preserve"> </w:t>
      </w:r>
      <w:r w:rsidRPr="00914F70">
        <w:rPr>
          <w:rFonts w:hint="cs"/>
          <w:rtl/>
        </w:rPr>
        <w:t>כי אין האדם מגיע אל העניין הא-לוהי כי אם על ידי הצו הא-לוהי...</w:t>
      </w:r>
      <w:r w:rsidR="00F6090B">
        <w:rPr>
          <w:rFonts w:hint="cs"/>
          <w:rtl/>
        </w:rPr>
        <w:t xml:space="preserve"> </w:t>
      </w:r>
      <w:r w:rsidRPr="00914F70">
        <w:rPr>
          <w:rFonts w:hint="cs"/>
          <w:rtl/>
        </w:rPr>
        <w:t>על ידי מעשים אשר יצווה עליהם הא-לוה.</w:t>
      </w:r>
    </w:p>
    <w:p w:rsidR="003320B1" w:rsidRPr="00914F70" w:rsidRDefault="003320B1" w:rsidP="00B67EEE">
      <w:pPr>
        <w:rPr>
          <w:rtl/>
        </w:rPr>
      </w:pPr>
      <w:r w:rsidRPr="00914F70">
        <w:rPr>
          <w:rFonts w:hint="cs"/>
          <w:rtl/>
        </w:rPr>
        <w:t>חיזוק לדברי</w:t>
      </w:r>
      <w:r w:rsidR="00F6090B">
        <w:rPr>
          <w:rFonts w:hint="cs"/>
          <w:rtl/>
        </w:rPr>
        <w:t>ם אלה</w:t>
      </w:r>
      <w:r w:rsidRPr="00914F70">
        <w:rPr>
          <w:rFonts w:hint="cs"/>
          <w:rtl/>
        </w:rPr>
        <w:t xml:space="preserve"> ניתן להביא מדברי המכילתא</w:t>
      </w:r>
      <w:r w:rsidRPr="00914F70">
        <w:rPr>
          <w:vertAlign w:val="superscript"/>
          <w:rtl/>
        </w:rPr>
        <w:footnoteReference w:id="1"/>
      </w:r>
      <w:r w:rsidRPr="00914F70">
        <w:rPr>
          <w:rFonts w:hint="cs"/>
          <w:rtl/>
        </w:rPr>
        <w:t xml:space="preserve"> לפסוק (שמות כ', יט) "לֹא תַעֲשׂוּן אִתִּי אֱלֹהֵי כֶסֶף, וֵאלֹהֵי זָהָב לֹא תַעֲשׂוּ לָכֶם". </w:t>
      </w:r>
      <w:r w:rsidR="00F6090B">
        <w:rPr>
          <w:rFonts w:hint="cs"/>
          <w:rtl/>
        </w:rPr>
        <w:t>נביא את</w:t>
      </w:r>
      <w:r w:rsidR="00F6090B" w:rsidRPr="00914F70">
        <w:rPr>
          <w:rFonts w:hint="cs"/>
          <w:rtl/>
        </w:rPr>
        <w:t xml:space="preserve"> </w:t>
      </w:r>
      <w:r w:rsidRPr="00914F70">
        <w:rPr>
          <w:rFonts w:hint="cs"/>
          <w:rtl/>
        </w:rPr>
        <w:t>דברי המכילתא בניסוחו של רש"י על הפסוק:</w:t>
      </w:r>
    </w:p>
    <w:p w:rsidR="003320B1" w:rsidRPr="00914F70" w:rsidRDefault="00F6090B" w:rsidP="00722A5E">
      <w:pPr>
        <w:ind w:left="720" w:firstLine="2"/>
        <w:rPr>
          <w:rtl/>
        </w:rPr>
      </w:pPr>
      <w:r w:rsidRPr="00F6090B">
        <w:rPr>
          <w:rFonts w:hint="cs"/>
          <w:rtl/>
        </w:rPr>
        <w:t xml:space="preserve">לֹא תַעֲשׂוּן </w:t>
      </w:r>
      <w:r w:rsidRPr="00FE3E4A">
        <w:rPr>
          <w:rFonts w:hint="cs"/>
          <w:b/>
          <w:bCs/>
          <w:rtl/>
        </w:rPr>
        <w:t>אִתִּי</w:t>
      </w:r>
      <w:r w:rsidRPr="00F6090B">
        <w:rPr>
          <w:rFonts w:hint="cs"/>
          <w:rtl/>
        </w:rPr>
        <w:t xml:space="preserve"> אֱלֹהֵי כֶסֶף</w:t>
      </w:r>
      <w:r w:rsidRPr="00F6090B" w:rsidDel="00F6090B">
        <w:rPr>
          <w:rFonts w:hint="cs"/>
          <w:rtl/>
        </w:rPr>
        <w:t xml:space="preserve"> </w:t>
      </w:r>
      <w:r w:rsidR="003320B1" w:rsidRPr="00914F70">
        <w:rPr>
          <w:rtl/>
        </w:rPr>
        <w:t>–</w:t>
      </w:r>
      <w:r w:rsidR="003320B1" w:rsidRPr="00914F70">
        <w:rPr>
          <w:rFonts w:hint="cs"/>
          <w:rtl/>
        </w:rPr>
        <w:t xml:space="preserve"> בא להזהיר על הכרובים שאתה עושה </w:t>
      </w:r>
      <w:r>
        <w:rPr>
          <w:rFonts w:hint="cs"/>
          <w:rtl/>
        </w:rPr>
        <w:t>(</w:t>
      </w:r>
      <w:r>
        <w:rPr>
          <w:rFonts w:hint="eastAsia"/>
          <w:rtl/>
        </w:rPr>
        <w:t>– מזהב</w:t>
      </w:r>
      <w:r>
        <w:rPr>
          <w:rFonts w:hint="cs"/>
          <w:rtl/>
        </w:rPr>
        <w:t xml:space="preserve">) </w:t>
      </w:r>
      <w:r w:rsidR="003320B1" w:rsidRPr="00914F70">
        <w:rPr>
          <w:rFonts w:hint="cs"/>
          <w:b/>
          <w:bCs/>
          <w:rtl/>
        </w:rPr>
        <w:t>לע</w:t>
      </w:r>
      <w:r w:rsidR="00722A5E">
        <w:rPr>
          <w:rFonts w:hint="cs"/>
          <w:b/>
          <w:bCs/>
          <w:rtl/>
        </w:rPr>
        <w:t>מ</w:t>
      </w:r>
      <w:r w:rsidR="003320B1" w:rsidRPr="00914F70">
        <w:rPr>
          <w:rFonts w:hint="cs"/>
          <w:b/>
          <w:bCs/>
          <w:rtl/>
        </w:rPr>
        <w:t>וד אתי</w:t>
      </w:r>
      <w:r w:rsidR="003320B1" w:rsidRPr="00914F70">
        <w:rPr>
          <w:rFonts w:hint="cs"/>
          <w:rtl/>
        </w:rPr>
        <w:t xml:space="preserve"> </w:t>
      </w:r>
      <w:r w:rsidR="003320B1" w:rsidRPr="00914F70">
        <w:rPr>
          <w:rtl/>
        </w:rPr>
        <w:t>–</w:t>
      </w:r>
      <w:r w:rsidR="003320B1" w:rsidRPr="00914F70">
        <w:rPr>
          <w:rFonts w:hint="cs"/>
          <w:rtl/>
        </w:rPr>
        <w:t xml:space="preserve"> שלא יהיו של כסף. שאם שיניתם לעשותם של כסף </w:t>
      </w:r>
      <w:r w:rsidR="003320B1" w:rsidRPr="00914F70">
        <w:rPr>
          <w:rtl/>
        </w:rPr>
        <w:t>–</w:t>
      </w:r>
      <w:r w:rsidR="003320B1" w:rsidRPr="00914F70">
        <w:rPr>
          <w:rFonts w:hint="cs"/>
          <w:rtl/>
        </w:rPr>
        <w:t xml:space="preserve"> הרי הן לפני כאלוהות.</w:t>
      </w:r>
    </w:p>
    <w:p w:rsidR="003320B1" w:rsidRPr="00914F70" w:rsidRDefault="00F6090B" w:rsidP="00F6090B">
      <w:pPr>
        <w:ind w:left="720" w:firstLine="2"/>
        <w:rPr>
          <w:rtl/>
        </w:rPr>
      </w:pPr>
      <w:r w:rsidRPr="00F6090B">
        <w:rPr>
          <w:rFonts w:hint="cs"/>
          <w:rtl/>
        </w:rPr>
        <w:t xml:space="preserve">וֵאלֹהֵי זָהָב </w:t>
      </w:r>
      <w:r w:rsidR="003320B1" w:rsidRPr="00914F70">
        <w:rPr>
          <w:rtl/>
        </w:rPr>
        <w:t>–</w:t>
      </w:r>
      <w:r w:rsidR="003320B1" w:rsidRPr="00914F70">
        <w:rPr>
          <w:rFonts w:hint="cs"/>
          <w:rtl/>
        </w:rPr>
        <w:t xml:space="preserve"> בא להזהיר שלא יוסיף על שניים, שאם עשית ארבעה </w:t>
      </w:r>
      <w:r w:rsidR="003320B1" w:rsidRPr="00914F70">
        <w:rPr>
          <w:rtl/>
        </w:rPr>
        <w:t>–</w:t>
      </w:r>
      <w:r w:rsidR="003320B1" w:rsidRPr="00914F70">
        <w:rPr>
          <w:rFonts w:hint="cs"/>
          <w:rtl/>
        </w:rPr>
        <w:t xml:space="preserve"> הרי הם לפני כאלוהי זהב.</w:t>
      </w:r>
    </w:p>
    <w:p w:rsidR="003320B1" w:rsidRDefault="00F6090B" w:rsidP="00B67EEE">
      <w:pPr>
        <w:ind w:left="720" w:firstLine="2"/>
        <w:rPr>
          <w:rtl/>
        </w:rPr>
      </w:pPr>
      <w:r w:rsidRPr="00F6090B">
        <w:rPr>
          <w:rFonts w:hint="cs"/>
          <w:rtl/>
        </w:rPr>
        <w:t xml:space="preserve">לֹא תַעֲשׂוּ </w:t>
      </w:r>
      <w:r w:rsidRPr="00FE3E4A">
        <w:rPr>
          <w:rFonts w:hint="cs"/>
          <w:b/>
          <w:bCs/>
          <w:rtl/>
        </w:rPr>
        <w:t>לָכֶם</w:t>
      </w:r>
      <w:r w:rsidRPr="00F6090B" w:rsidDel="00F6090B">
        <w:rPr>
          <w:rFonts w:hint="cs"/>
          <w:rtl/>
        </w:rPr>
        <w:t xml:space="preserve"> </w:t>
      </w:r>
      <w:r w:rsidR="003320B1" w:rsidRPr="00914F70">
        <w:rPr>
          <w:rtl/>
        </w:rPr>
        <w:t>–</w:t>
      </w:r>
      <w:r w:rsidR="003320B1" w:rsidRPr="00914F70">
        <w:rPr>
          <w:rFonts w:hint="cs"/>
          <w:rtl/>
        </w:rPr>
        <w:t xml:space="preserve"> לא תאמר: הריני עושה כרובים בבתי כנסיות ובבתי מדרשות כדרך שאני עושה בבית עולמים, לכך נאמר '</w:t>
      </w:r>
      <w:r w:rsidRPr="00F6090B">
        <w:rPr>
          <w:rFonts w:hint="cs"/>
          <w:rtl/>
        </w:rPr>
        <w:t>לֹא תַעֲשׂוּ</w:t>
      </w:r>
      <w:r>
        <w:rPr>
          <w:rFonts w:hint="cs"/>
          <w:rtl/>
        </w:rPr>
        <w:t xml:space="preserve"> </w:t>
      </w:r>
      <w:r w:rsidR="003320B1" w:rsidRPr="00914F70">
        <w:rPr>
          <w:rFonts w:hint="cs"/>
          <w:b/>
          <w:bCs/>
          <w:rtl/>
        </w:rPr>
        <w:t>ל</w:t>
      </w:r>
      <w:r>
        <w:rPr>
          <w:rFonts w:hint="cs"/>
          <w:b/>
          <w:bCs/>
          <w:rtl/>
        </w:rPr>
        <w:t>ָ</w:t>
      </w:r>
      <w:r w:rsidR="003320B1" w:rsidRPr="00914F70">
        <w:rPr>
          <w:rFonts w:hint="cs"/>
          <w:b/>
          <w:bCs/>
          <w:rtl/>
        </w:rPr>
        <w:t>כ</w:t>
      </w:r>
      <w:r>
        <w:rPr>
          <w:rFonts w:hint="cs"/>
          <w:b/>
          <w:bCs/>
          <w:rtl/>
        </w:rPr>
        <w:t>ֶ</w:t>
      </w:r>
      <w:r w:rsidR="003320B1" w:rsidRPr="00914F70">
        <w:rPr>
          <w:rFonts w:hint="cs"/>
          <w:b/>
          <w:bCs/>
          <w:rtl/>
        </w:rPr>
        <w:t>ם</w:t>
      </w:r>
      <w:r w:rsidR="003320B1" w:rsidRPr="00914F70">
        <w:rPr>
          <w:rFonts w:hint="cs"/>
          <w:rtl/>
        </w:rPr>
        <w:t>'.</w:t>
      </w:r>
    </w:p>
    <w:p w:rsidR="00722A5E" w:rsidRPr="00914F70" w:rsidRDefault="00722A5E" w:rsidP="00B67EEE">
      <w:pPr>
        <w:ind w:left="720" w:firstLine="2"/>
        <w:rPr>
          <w:rtl/>
        </w:rPr>
      </w:pPr>
    </w:p>
    <w:p w:rsidR="003320B1" w:rsidRPr="00914F70" w:rsidRDefault="003320B1" w:rsidP="00DB5719">
      <w:pPr>
        <w:rPr>
          <w:rtl/>
        </w:rPr>
      </w:pPr>
      <w:r w:rsidRPr="00914F70">
        <w:rPr>
          <w:rFonts w:hint="cs"/>
          <w:rtl/>
        </w:rPr>
        <w:t>אולם בדברי המפרשים החדשים נמצאות תשובות אחרות, מהותיות, המבחינות הבחנה עקרונית בין הכרובים ובין העגל. הנה תשובתו של קאסוטו</w:t>
      </w:r>
      <w:r w:rsidRPr="00914F70">
        <w:rPr>
          <w:vertAlign w:val="superscript"/>
          <w:rtl/>
        </w:rPr>
        <w:footnoteReference w:id="2"/>
      </w:r>
      <w:r w:rsidRPr="00914F70">
        <w:rPr>
          <w:rFonts w:hint="cs"/>
          <w:rtl/>
        </w:rPr>
        <w:t>:</w:t>
      </w:r>
    </w:p>
    <w:p w:rsidR="003320B1" w:rsidRPr="00914F70" w:rsidRDefault="003320B1" w:rsidP="00DB5719">
      <w:pPr>
        <w:ind w:left="720" w:firstLine="2"/>
        <w:rPr>
          <w:rtl/>
        </w:rPr>
      </w:pPr>
      <w:r w:rsidRPr="00914F70">
        <w:rPr>
          <w:rFonts w:hint="cs"/>
          <w:rtl/>
        </w:rPr>
        <w:t>מדוע ציוותה התורה מצד אחד לעשות כרובים במשכן, ומצד שני חשבה את מעשה העגל לעוון פלילי? על שאלה זו יש להשיב, שלמרות הדמיון שבין שני הדברים, הבדל עיקרי מפריד ביניהם. לפי עשרת הדיברות אסור לעשות פסל וכל תמונה אשר בשמים ממעל ואשר בארץ מתחת ואשר במים מתחת לארץ. ותמונת השו</w:t>
      </w:r>
      <w:r w:rsidR="00F6090B">
        <w:rPr>
          <w:rFonts w:hint="cs"/>
          <w:rtl/>
        </w:rPr>
        <w:t>ר</w:t>
      </w:r>
      <w:r w:rsidRPr="00914F70">
        <w:rPr>
          <w:rFonts w:hint="cs"/>
          <w:rtl/>
        </w:rPr>
        <w:t>, אחד מבעלי החיים אשר בארץ, נכללת באיסור זה; ואילו הכרובים, יצירות דמיוניות שאינן לא בשמים ולא בארץ ולא במים, אינם נכללים בו. וסיבה של הבחנה זו ברורה: מי שרואה את תמונת הכרובים, ויודע שהם יצירות דמיוניות, מבין בקלות שאינם אלא סמל, ולפיכך אינו עלול לטעות ולייחס להם אופי א</w:t>
      </w:r>
      <w:r w:rsidR="00F6090B">
        <w:rPr>
          <w:rFonts w:hint="cs"/>
          <w:rtl/>
        </w:rPr>
        <w:t>-</w:t>
      </w:r>
      <w:r w:rsidRPr="00914F70">
        <w:rPr>
          <w:rFonts w:hint="cs"/>
          <w:rtl/>
        </w:rPr>
        <w:t xml:space="preserve">לוהי ממש, ואילו מי שרואה תמונת שור, ויודע שיש כמה שוורים בעולם, והם יצורים בעלי עצמה כה אדירה וכוח כה כביר של פוריות, שהעמים האלילים ראו בהם תכונות </w:t>
      </w:r>
      <w:r w:rsidRPr="00914F70">
        <w:rPr>
          <w:rFonts w:hint="cs"/>
          <w:rtl/>
        </w:rPr>
        <w:lastRenderedPageBreak/>
        <w:t>אלוהיות (הכנענים היו מכנים את אבי האלים שלהם בכינוי שור), עלול הוא לטעות ולייחס לאותה התמונה ואף לשוורים החיים אופי אל</w:t>
      </w:r>
      <w:r w:rsidR="00F6090B">
        <w:rPr>
          <w:rFonts w:hint="cs"/>
          <w:rtl/>
        </w:rPr>
        <w:t>ו</w:t>
      </w:r>
      <w:r w:rsidRPr="00914F70">
        <w:rPr>
          <w:rFonts w:hint="cs"/>
          <w:rtl/>
        </w:rPr>
        <w:t>הי ולעבדם כאלים.</w:t>
      </w:r>
      <w:r w:rsidRPr="00914F70">
        <w:rPr>
          <w:vertAlign w:val="superscript"/>
          <w:rtl/>
        </w:rPr>
        <w:footnoteReference w:id="3"/>
      </w:r>
    </w:p>
    <w:p w:rsidR="003320B1" w:rsidRPr="00914F70" w:rsidRDefault="003320B1" w:rsidP="00B67EEE">
      <w:pPr>
        <w:rPr>
          <w:rtl/>
        </w:rPr>
      </w:pPr>
      <w:r w:rsidRPr="00914F70">
        <w:rPr>
          <w:rFonts w:hint="cs"/>
          <w:rtl/>
        </w:rPr>
        <w:t xml:space="preserve">גרינץ (ראה </w:t>
      </w:r>
      <w:r w:rsidR="00F6090B">
        <w:rPr>
          <w:rFonts w:hint="cs"/>
          <w:rtl/>
        </w:rPr>
        <w:t xml:space="preserve">סעיף 3 </w:t>
      </w:r>
      <w:r w:rsidRPr="00914F70">
        <w:rPr>
          <w:rFonts w:hint="cs"/>
          <w:rtl/>
        </w:rPr>
        <w:t xml:space="preserve">הערה </w:t>
      </w:r>
      <w:r w:rsidR="00F6090B">
        <w:rPr>
          <w:rFonts w:hint="cs"/>
          <w:rtl/>
        </w:rPr>
        <w:t>18</w:t>
      </w:r>
      <w:r w:rsidRPr="00914F70">
        <w:rPr>
          <w:rFonts w:hint="cs"/>
          <w:rtl/>
        </w:rPr>
        <w:t xml:space="preserve">) </w:t>
      </w:r>
      <w:r w:rsidR="00F6090B">
        <w:rPr>
          <w:rFonts w:hint="cs"/>
          <w:rtl/>
        </w:rPr>
        <w:t>מוצא</w:t>
      </w:r>
      <w:r w:rsidRPr="00914F70">
        <w:rPr>
          <w:rFonts w:hint="cs"/>
          <w:rtl/>
        </w:rPr>
        <w:t xml:space="preserve"> הבדל עקרוני </w:t>
      </w:r>
      <w:r w:rsidR="00722A5E">
        <w:rPr>
          <w:rFonts w:hint="cs"/>
          <w:rtl/>
        </w:rPr>
        <w:t xml:space="preserve">אחר </w:t>
      </w:r>
      <w:r w:rsidRPr="00914F70">
        <w:rPr>
          <w:rFonts w:hint="cs"/>
          <w:rtl/>
        </w:rPr>
        <w:t xml:space="preserve">בין </w:t>
      </w:r>
      <w:r w:rsidR="00F6090B">
        <w:rPr>
          <w:rFonts w:hint="cs"/>
          <w:rtl/>
        </w:rPr>
        <w:t xml:space="preserve">עבודת </w:t>
      </w:r>
      <w:r w:rsidRPr="00914F70">
        <w:rPr>
          <w:rFonts w:hint="cs"/>
          <w:rtl/>
        </w:rPr>
        <w:t>העגל ל</w:t>
      </w:r>
      <w:r w:rsidR="00F6090B">
        <w:rPr>
          <w:rFonts w:hint="cs"/>
          <w:rtl/>
        </w:rPr>
        <w:t xml:space="preserve">עבודת </w:t>
      </w:r>
      <w:r w:rsidRPr="00914F70">
        <w:rPr>
          <w:rFonts w:hint="cs"/>
          <w:rtl/>
        </w:rPr>
        <w:t xml:space="preserve">כרובים: </w:t>
      </w:r>
    </w:p>
    <w:p w:rsidR="003320B1" w:rsidRPr="00914F70" w:rsidRDefault="003320B1" w:rsidP="00B67EEE">
      <w:pPr>
        <w:ind w:left="720" w:firstLine="2"/>
        <w:rPr>
          <w:rtl/>
        </w:rPr>
      </w:pPr>
      <w:r w:rsidRPr="00914F70">
        <w:rPr>
          <w:rFonts w:hint="cs"/>
          <w:rtl/>
        </w:rPr>
        <w:t xml:space="preserve">שלא ככרובים, היו ניצבים </w:t>
      </w:r>
      <w:r w:rsidR="00F6090B" w:rsidRPr="00914F70">
        <w:rPr>
          <w:rFonts w:hint="cs"/>
          <w:rtl/>
        </w:rPr>
        <w:t>(</w:t>
      </w:r>
      <w:r w:rsidR="00F6090B">
        <w:rPr>
          <w:rFonts w:hint="eastAsia"/>
          <w:rtl/>
        </w:rPr>
        <w:t>–</w:t>
      </w:r>
      <w:r w:rsidR="00F6090B" w:rsidRPr="00914F70">
        <w:rPr>
          <w:rFonts w:hint="cs"/>
          <w:rtl/>
        </w:rPr>
        <w:t xml:space="preserve"> </w:t>
      </w:r>
      <w:r w:rsidRPr="00914F70">
        <w:rPr>
          <w:rFonts w:hint="cs"/>
          <w:rtl/>
        </w:rPr>
        <w:t xml:space="preserve">עגלי ירבעם) ככל הנראה במקום פומבי, וכל אדם היה עשוי לגשת אליהם ולנשקם </w:t>
      </w:r>
      <w:r w:rsidRPr="00914F70">
        <w:rPr>
          <w:rtl/>
        </w:rPr>
        <w:t>–</w:t>
      </w:r>
      <w:r w:rsidRPr="00914F70">
        <w:rPr>
          <w:rFonts w:hint="cs"/>
          <w:rtl/>
        </w:rPr>
        <w:t xml:space="preserve"> עיין הושע י"ג, ב "זֹבְחֵי אָדָם עֲגָלִים יִשָּׁקוּן".</w:t>
      </w:r>
    </w:p>
    <w:p w:rsidR="003320B1" w:rsidRPr="00914F70" w:rsidRDefault="003320B1" w:rsidP="00B67EEE">
      <w:pPr>
        <w:rPr>
          <w:rtl/>
        </w:rPr>
      </w:pPr>
      <w:r w:rsidRPr="00914F70">
        <w:rPr>
          <w:rFonts w:hint="cs"/>
          <w:rtl/>
        </w:rPr>
        <w:t>הבדל זה נראה בעינינו חשוב: הכרובים היו מוצנעים במקום ששום אדם לא יכול היה לראותם (וכך אף בשעת מסע המשכן), ו</w:t>
      </w:r>
      <w:r w:rsidR="00F6090B">
        <w:rPr>
          <w:rFonts w:hint="cs"/>
          <w:rtl/>
        </w:rPr>
        <w:t xml:space="preserve">אילו </w:t>
      </w:r>
      <w:r w:rsidRPr="00914F70">
        <w:rPr>
          <w:rFonts w:hint="cs"/>
          <w:rtl/>
        </w:rPr>
        <w:t>הפולחן היומיומי</w:t>
      </w:r>
      <w:r w:rsidR="00F6090B">
        <w:rPr>
          <w:rFonts w:hint="cs"/>
          <w:rtl/>
        </w:rPr>
        <w:t xml:space="preserve"> במשכן</w:t>
      </w:r>
      <w:r w:rsidRPr="00914F70">
        <w:rPr>
          <w:rFonts w:hint="cs"/>
          <w:rtl/>
        </w:rPr>
        <w:t xml:space="preserve"> </w:t>
      </w:r>
      <w:r w:rsidRPr="00914F70">
        <w:rPr>
          <w:rtl/>
        </w:rPr>
        <w:t>–</w:t>
      </w:r>
      <w:r w:rsidRPr="00914F70">
        <w:rPr>
          <w:rFonts w:hint="cs"/>
          <w:rtl/>
        </w:rPr>
        <w:t xml:space="preserve"> הקרבנות</w:t>
      </w:r>
      <w:r w:rsidR="00F6090B">
        <w:rPr>
          <w:rFonts w:hint="cs"/>
          <w:rtl/>
        </w:rPr>
        <w:t xml:space="preserve"> – נעשו</w:t>
      </w:r>
      <w:r w:rsidRPr="00914F70">
        <w:rPr>
          <w:rFonts w:hint="cs"/>
          <w:rtl/>
        </w:rPr>
        <w:t xml:space="preserve"> על גבי מזבח העולה</w:t>
      </w:r>
      <w:r w:rsidR="00722A5E">
        <w:rPr>
          <w:rFonts w:hint="cs"/>
          <w:rtl/>
        </w:rPr>
        <w:t xml:space="preserve"> שבחצר המשכן</w:t>
      </w:r>
      <w:r w:rsidRPr="00914F70">
        <w:rPr>
          <w:rFonts w:hint="cs"/>
          <w:rtl/>
        </w:rPr>
        <w:t xml:space="preserve">, </w:t>
      </w:r>
      <w:r w:rsidR="00F6090B">
        <w:rPr>
          <w:rFonts w:hint="cs"/>
          <w:rtl/>
        </w:rPr>
        <w:t>ו</w:t>
      </w:r>
      <w:r w:rsidRPr="00914F70">
        <w:rPr>
          <w:rFonts w:hint="cs"/>
          <w:rtl/>
        </w:rPr>
        <w:t>לא בזיקה</w:t>
      </w:r>
      <w:r w:rsidR="00722A5E">
        <w:rPr>
          <w:rFonts w:hint="cs"/>
          <w:rtl/>
        </w:rPr>
        <w:t xml:space="preserve"> גלויה</w:t>
      </w:r>
      <w:r w:rsidRPr="00914F70">
        <w:rPr>
          <w:rFonts w:hint="cs"/>
          <w:rtl/>
        </w:rPr>
        <w:t xml:space="preserve"> ל</w:t>
      </w:r>
      <w:r w:rsidR="00F6090B">
        <w:rPr>
          <w:rFonts w:hint="cs"/>
          <w:rtl/>
        </w:rPr>
        <w:t>כרובים</w:t>
      </w:r>
      <w:r w:rsidRPr="00914F70">
        <w:rPr>
          <w:rFonts w:hint="cs"/>
          <w:rtl/>
        </w:rPr>
        <w:t xml:space="preserve">. לעומת זאת, הן העגל במדבר והן עגליו של ירבעם היו גלויים לעין כול, והפולחן </w:t>
      </w:r>
      <w:r w:rsidR="00F6090B">
        <w:rPr>
          <w:rFonts w:hint="cs"/>
          <w:rtl/>
        </w:rPr>
        <w:t xml:space="preserve">נעשה בזיקה גלויה </w:t>
      </w:r>
      <w:r w:rsidRPr="00914F70">
        <w:rPr>
          <w:rFonts w:hint="cs"/>
          <w:rtl/>
        </w:rPr>
        <w:t>אליהם:</w:t>
      </w:r>
    </w:p>
    <w:p w:rsidR="003320B1" w:rsidRPr="00914F70" w:rsidRDefault="003320B1" w:rsidP="00FE3E4A">
      <w:pPr>
        <w:spacing w:after="0"/>
        <w:rPr>
          <w:rtl/>
        </w:rPr>
      </w:pPr>
      <w:r w:rsidRPr="00914F70">
        <w:rPr>
          <w:rFonts w:hint="cs"/>
          <w:rtl/>
        </w:rPr>
        <w:tab/>
        <w:t>שמות ל"ב, ה</w:t>
      </w:r>
      <w:r w:rsidRPr="00914F70">
        <w:rPr>
          <w:rFonts w:hint="cs"/>
          <w:rtl/>
        </w:rPr>
        <w:tab/>
        <w:t xml:space="preserve">וַיַּרְא אַהֲרֹן וַיִּבֶן מִזְבֵּחַ </w:t>
      </w:r>
      <w:r w:rsidRPr="00914F70">
        <w:rPr>
          <w:rFonts w:hint="cs"/>
          <w:b/>
          <w:bCs/>
          <w:rtl/>
        </w:rPr>
        <w:t>לְפָנָיו</w:t>
      </w:r>
      <w:r w:rsidRPr="00914F70">
        <w:rPr>
          <w:rFonts w:hint="cs"/>
          <w:rtl/>
        </w:rPr>
        <w:t xml:space="preserve"> </w:t>
      </w:r>
    </w:p>
    <w:p w:rsidR="003320B1" w:rsidRPr="00914F70" w:rsidRDefault="003320B1" w:rsidP="00DB5719">
      <w:pPr>
        <w:ind w:left="1440" w:firstLine="720"/>
        <w:rPr>
          <w:rtl/>
        </w:rPr>
      </w:pPr>
      <w:r w:rsidRPr="00914F70">
        <w:rPr>
          <w:rFonts w:hint="cs"/>
          <w:rtl/>
        </w:rPr>
        <w:t>וַיִּקְרָא אַהֲרֹן וַיֹּאמַר: חַג לַה</w:t>
      </w:r>
      <w:r w:rsidRPr="00914F70">
        <w:rPr>
          <w:rtl/>
        </w:rPr>
        <w:t>'</w:t>
      </w:r>
      <w:r w:rsidRPr="00914F70">
        <w:rPr>
          <w:rFonts w:hint="cs"/>
          <w:rtl/>
        </w:rPr>
        <w:t xml:space="preserve"> מָחָר.</w:t>
      </w:r>
    </w:p>
    <w:p w:rsidR="003320B1" w:rsidRDefault="003320B1">
      <w:pPr>
        <w:rPr>
          <w:rtl/>
        </w:rPr>
      </w:pPr>
      <w:r w:rsidRPr="00914F70">
        <w:rPr>
          <w:rFonts w:hint="cs"/>
          <w:rtl/>
        </w:rPr>
        <w:tab/>
        <w:t>מל"א י"ב, לב</w:t>
      </w:r>
      <w:r w:rsidRPr="00914F70">
        <w:rPr>
          <w:rFonts w:hint="cs"/>
          <w:rtl/>
        </w:rPr>
        <w:tab/>
        <w:t>...</w:t>
      </w:r>
      <w:r w:rsidR="00F6090B">
        <w:rPr>
          <w:rFonts w:hint="cs"/>
          <w:rtl/>
        </w:rPr>
        <w:t xml:space="preserve"> </w:t>
      </w:r>
      <w:r w:rsidRPr="00914F70">
        <w:rPr>
          <w:rFonts w:hint="cs"/>
          <w:rtl/>
        </w:rPr>
        <w:t xml:space="preserve">כֵּן עָשָׂה בְּבֵית אֵל </w:t>
      </w:r>
      <w:r w:rsidRPr="00722A5E">
        <w:rPr>
          <w:rFonts w:hint="cs"/>
          <w:b/>
          <w:bCs/>
          <w:rtl/>
        </w:rPr>
        <w:t>לְזַבֵּחַ לָעֲגָלִים אֲשֶׁר עָשָׂה</w:t>
      </w:r>
      <w:r w:rsidR="00F6090B">
        <w:rPr>
          <w:rFonts w:hint="cs"/>
          <w:rtl/>
        </w:rPr>
        <w:t>.</w:t>
      </w:r>
    </w:p>
    <w:p w:rsidR="00722A5E" w:rsidRDefault="00722A5E">
      <w:pPr>
        <w:rPr>
          <w:rtl/>
        </w:rPr>
      </w:pPr>
    </w:p>
    <w:p w:rsidR="00183580" w:rsidRDefault="00414632" w:rsidP="00722A5E">
      <w:pPr>
        <w:pStyle w:val="3"/>
        <w:rPr>
          <w:rtl/>
        </w:rPr>
      </w:pPr>
      <w:r>
        <w:rPr>
          <w:rFonts w:hint="cs"/>
          <w:rtl/>
        </w:rPr>
        <w:t>5</w:t>
      </w:r>
      <w:r w:rsidR="00183580">
        <w:rPr>
          <w:rFonts w:hint="cs"/>
          <w:rtl/>
        </w:rPr>
        <w:t>.</w:t>
      </w:r>
      <w:r w:rsidR="00EE0C40">
        <w:rPr>
          <w:rFonts w:hint="cs"/>
          <w:rtl/>
        </w:rPr>
        <w:t xml:space="preserve"> הרפורמה של ירבעם – חזרה לשלב שלפני המשכן</w:t>
      </w:r>
    </w:p>
    <w:p w:rsidR="00183580" w:rsidRDefault="00183580" w:rsidP="00722A5E">
      <w:pPr>
        <w:rPr>
          <w:rtl/>
        </w:rPr>
      </w:pPr>
      <w:r>
        <w:rPr>
          <w:rFonts w:hint="cs"/>
          <w:rtl/>
        </w:rPr>
        <w:t>'חטאות ירבעם' נידונו מזוית ראיה מיוחדת במאמרו של פרופסור י"מ גרינץ ז"ל 'הרפורמה הראשונה בישראל'</w:t>
      </w:r>
      <w:r w:rsidR="00722A5E">
        <w:rPr>
          <w:rFonts w:hint="cs"/>
          <w:rtl/>
        </w:rPr>
        <w:t>, ונביא בזאת את עיקר דבריו.</w:t>
      </w:r>
      <w:r>
        <w:rPr>
          <w:rStyle w:val="a9"/>
          <w:rtl/>
        </w:rPr>
        <w:footnoteReference w:id="4"/>
      </w:r>
      <w:r>
        <w:rPr>
          <w:rFonts w:hint="cs"/>
          <w:rtl/>
        </w:rPr>
        <w:t xml:space="preserve"> מאמרו </w:t>
      </w:r>
      <w:r w:rsidR="00722A5E">
        <w:rPr>
          <w:rFonts w:hint="cs"/>
          <w:rtl/>
        </w:rPr>
        <w:t xml:space="preserve">של גרינץ </w:t>
      </w:r>
      <w:r>
        <w:rPr>
          <w:rFonts w:hint="cs"/>
          <w:rtl/>
        </w:rPr>
        <w:t>פותח בקביעה:</w:t>
      </w:r>
    </w:p>
    <w:p w:rsidR="00183580" w:rsidRDefault="00183580" w:rsidP="00183580">
      <w:pPr>
        <w:rPr>
          <w:rtl/>
        </w:rPr>
      </w:pPr>
      <w:r>
        <w:rPr>
          <w:rFonts w:hint="cs"/>
          <w:rtl/>
        </w:rPr>
        <w:tab/>
        <w:t>יש בהם, בתיקוניו של ירבעם משום שיטה שלמה של רפורמציה דתית, וראוי לעמוד עליה.</w:t>
      </w:r>
    </w:p>
    <w:p w:rsidR="00183580" w:rsidRDefault="00183580" w:rsidP="00722A5E">
      <w:pPr>
        <w:ind w:left="720" w:firstLine="0"/>
        <w:rPr>
          <w:rtl/>
        </w:rPr>
      </w:pPr>
      <w:r>
        <w:rPr>
          <w:rFonts w:hint="cs"/>
          <w:rtl/>
        </w:rPr>
        <w:t>רפורמציה דתית...</w:t>
      </w:r>
      <w:r w:rsidR="00B31493">
        <w:rPr>
          <w:rFonts w:hint="cs"/>
          <w:rtl/>
        </w:rPr>
        <w:t xml:space="preserve"> </w:t>
      </w:r>
      <w:r>
        <w:rPr>
          <w:rFonts w:hint="cs"/>
          <w:rtl/>
        </w:rPr>
        <w:t>באה לעולם מ</w:t>
      </w:r>
      <w:r w:rsidR="00722A5E">
        <w:rPr>
          <w:rFonts w:hint="cs"/>
          <w:rtl/>
        </w:rPr>
        <w:t>תוך</w:t>
      </w:r>
      <w:r>
        <w:rPr>
          <w:rFonts w:hint="cs"/>
          <w:rtl/>
        </w:rPr>
        <w:t xml:space="preserve"> בקשת תיקון לעולם ערכים שנפגם, ששוב אין הוא מקיים כהווייתן </w:t>
      </w:r>
      <w:r w:rsidR="00DB4438">
        <w:rPr>
          <w:rFonts w:hint="cs"/>
          <w:rtl/>
        </w:rPr>
        <w:t xml:space="preserve">תביעות </w:t>
      </w:r>
      <w:r>
        <w:rPr>
          <w:rFonts w:hint="cs"/>
          <w:rtl/>
        </w:rPr>
        <w:t>ראשונות של עצמו</w:t>
      </w:r>
      <w:r w:rsidR="00DB4438">
        <w:rPr>
          <w:rFonts w:hint="cs"/>
          <w:rtl/>
        </w:rPr>
        <w:t>, שעה שהונחו יסודותיו עם יציאתו לעולם...</w:t>
      </w:r>
      <w:r w:rsidR="00722A5E">
        <w:rPr>
          <w:rStyle w:val="a9"/>
          <w:rtl/>
        </w:rPr>
        <w:footnoteReference w:id="5"/>
      </w:r>
    </w:p>
    <w:p w:rsidR="00DB4438" w:rsidRDefault="00DB4438" w:rsidP="00B67EEE">
      <w:pPr>
        <w:ind w:left="720" w:firstLine="0"/>
        <w:rPr>
          <w:rtl/>
        </w:rPr>
      </w:pPr>
      <w:r>
        <w:rPr>
          <w:rFonts w:hint="cs"/>
          <w:rtl/>
        </w:rPr>
        <w:t>הרפורמציות המפורסמות בהיסטוריה של אירופה בימי הביניים, אף על פי שאין להכחיש את המניע הדתי והמוסרי שפעל בהן...</w:t>
      </w:r>
      <w:r w:rsidR="00B31493">
        <w:rPr>
          <w:rFonts w:hint="cs"/>
          <w:rtl/>
        </w:rPr>
        <w:t xml:space="preserve"> </w:t>
      </w:r>
      <w:r>
        <w:rPr>
          <w:rFonts w:hint="cs"/>
          <w:rtl/>
        </w:rPr>
        <w:t>זכו למה שזכו בתוקף גלגולי פוליטיקה ואינטרסים מעשיים מאוד...</w:t>
      </w:r>
      <w:r w:rsidR="00B31493">
        <w:rPr>
          <w:rFonts w:hint="cs"/>
          <w:rtl/>
        </w:rPr>
        <w:t xml:space="preserve"> </w:t>
      </w:r>
      <w:r>
        <w:rPr>
          <w:rFonts w:hint="cs"/>
          <w:rtl/>
        </w:rPr>
        <w:t xml:space="preserve">וגם במקרה דנן </w:t>
      </w:r>
      <w:r w:rsidR="00B31493">
        <w:rPr>
          <w:rFonts w:hint="cs"/>
          <w:rtl/>
        </w:rPr>
        <w:t>(</w:t>
      </w:r>
      <w:r w:rsidR="00B31493">
        <w:rPr>
          <w:rFonts w:hint="eastAsia"/>
          <w:rtl/>
        </w:rPr>
        <w:t>–</w:t>
      </w:r>
      <w:r w:rsidR="00B31493">
        <w:rPr>
          <w:rFonts w:hint="cs"/>
          <w:rtl/>
        </w:rPr>
        <w:t xml:space="preserve"> </w:t>
      </w:r>
      <w:r>
        <w:rPr>
          <w:rFonts w:hint="cs"/>
          <w:rtl/>
        </w:rPr>
        <w:t xml:space="preserve">הרפורמה של ירבעם): הצד הפוליטי הריאלי ויצר ההתנשאות השבטית </w:t>
      </w:r>
      <w:r w:rsidR="00B31493">
        <w:rPr>
          <w:rFonts w:hint="cs"/>
          <w:rtl/>
        </w:rPr>
        <w:t>(</w:t>
      </w:r>
      <w:r w:rsidR="00B31493">
        <w:rPr>
          <w:rFonts w:hint="eastAsia"/>
          <w:rtl/>
        </w:rPr>
        <w:t>–</w:t>
      </w:r>
      <w:r w:rsidR="00B31493">
        <w:rPr>
          <w:rFonts w:hint="cs"/>
          <w:rtl/>
        </w:rPr>
        <w:t xml:space="preserve"> </w:t>
      </w:r>
      <w:r>
        <w:rPr>
          <w:rFonts w:hint="cs"/>
          <w:rtl/>
        </w:rPr>
        <w:t xml:space="preserve">של שבט אפרים), התובעת לעצמה הגמוניה ואינה מוחלת על כבודה </w:t>
      </w:r>
      <w:r>
        <w:rPr>
          <w:rtl/>
        </w:rPr>
        <w:t>–</w:t>
      </w:r>
      <w:r>
        <w:rPr>
          <w:rFonts w:hint="cs"/>
          <w:rtl/>
        </w:rPr>
        <w:t xml:space="preserve"> גלויים לעין.</w:t>
      </w:r>
    </w:p>
    <w:p w:rsidR="00DB4438" w:rsidRDefault="00DB4438" w:rsidP="00E555F4">
      <w:pPr>
        <w:ind w:left="720" w:firstLine="0"/>
        <w:rPr>
          <w:rtl/>
        </w:rPr>
      </w:pPr>
      <w:r>
        <w:rPr>
          <w:rFonts w:hint="cs"/>
          <w:rtl/>
        </w:rPr>
        <w:lastRenderedPageBreak/>
        <w:t xml:space="preserve">פחות </w:t>
      </w:r>
      <w:r w:rsidR="00B31493">
        <w:rPr>
          <w:rFonts w:hint="cs"/>
          <w:rtl/>
        </w:rPr>
        <w:t>מזה (</w:t>
      </w:r>
      <w:r w:rsidR="00B31493">
        <w:rPr>
          <w:rFonts w:hint="eastAsia"/>
          <w:rtl/>
        </w:rPr>
        <w:t>–</w:t>
      </w:r>
      <w:r w:rsidR="00B31493">
        <w:rPr>
          <w:rFonts w:hint="cs"/>
          <w:rtl/>
        </w:rPr>
        <w:t xml:space="preserve"> </w:t>
      </w:r>
      <w:r>
        <w:rPr>
          <w:rFonts w:hint="cs"/>
          <w:rtl/>
        </w:rPr>
        <w:t>מן הצד הפוליטי במעשי ירבעם) נתפרשה הבחינה הדתית: מה ראה ירבעם, שנתעורר לפרישה, ל</w:t>
      </w:r>
      <w:r w:rsidR="00E555F4">
        <w:rPr>
          <w:rFonts w:hint="cs"/>
          <w:rtl/>
        </w:rPr>
        <w:t>בדילה</w:t>
      </w:r>
      <w:r>
        <w:rPr>
          <w:rFonts w:hint="cs"/>
          <w:rtl/>
        </w:rPr>
        <w:t xml:space="preserve"> על ידי נביא...</w:t>
      </w:r>
      <w:r w:rsidR="00B31493">
        <w:rPr>
          <w:rFonts w:hint="cs"/>
          <w:rtl/>
        </w:rPr>
        <w:t xml:space="preserve"> </w:t>
      </w:r>
      <w:r>
        <w:rPr>
          <w:rFonts w:hint="cs"/>
          <w:rtl/>
        </w:rPr>
        <w:t xml:space="preserve">לעמוד ולעשות </w:t>
      </w:r>
      <w:r w:rsidRPr="00722A5E">
        <w:rPr>
          <w:rFonts w:hint="cs"/>
          <w:rtl/>
        </w:rPr>
        <w:t>תועה</w:t>
      </w:r>
      <w:r w:rsidR="00722A5E">
        <w:rPr>
          <w:rFonts w:hint="cs"/>
          <w:rtl/>
        </w:rPr>
        <w:t xml:space="preserve"> (</w:t>
      </w:r>
      <w:r w:rsidR="00722A5E">
        <w:rPr>
          <w:rFonts w:hint="eastAsia"/>
          <w:rtl/>
        </w:rPr>
        <w:t>–</w:t>
      </w:r>
      <w:r w:rsidR="00722A5E">
        <w:rPr>
          <w:rFonts w:hint="cs"/>
          <w:rtl/>
        </w:rPr>
        <w:t xml:space="preserve"> </w:t>
      </w:r>
      <w:r w:rsidR="00722A5E">
        <w:rPr>
          <w:rFonts w:hint="eastAsia"/>
          <w:rtl/>
        </w:rPr>
        <w:t>דבר מגונה</w:t>
      </w:r>
      <w:r w:rsidR="00722A5E">
        <w:rPr>
          <w:rFonts w:hint="cs"/>
          <w:rtl/>
        </w:rPr>
        <w:t>)</w:t>
      </w:r>
      <w:r w:rsidRPr="00722A5E">
        <w:rPr>
          <w:rFonts w:hint="cs"/>
          <w:rtl/>
        </w:rPr>
        <w:t xml:space="preserve"> ב</w:t>
      </w:r>
      <w:r>
        <w:rPr>
          <w:rFonts w:hint="cs"/>
          <w:rtl/>
        </w:rPr>
        <w:t>רשות הדת, על אפו ועל חמתו של אותו נביא (י"</w:t>
      </w:r>
      <w:r w:rsidR="00C91DE7">
        <w:rPr>
          <w:rFonts w:hint="cs"/>
          <w:rtl/>
        </w:rPr>
        <w:t>ד</w:t>
      </w:r>
      <w:r>
        <w:rPr>
          <w:rFonts w:hint="cs"/>
          <w:rtl/>
        </w:rPr>
        <w:t>, ז</w:t>
      </w:r>
      <w:r>
        <w:rPr>
          <w:rFonts w:hint="cs"/>
        </w:rPr>
        <w:sym w:font="Symbol" w:char="F02D"/>
      </w:r>
      <w:r>
        <w:rPr>
          <w:rFonts w:hint="cs"/>
          <w:rtl/>
        </w:rPr>
        <w:t>ט)...</w:t>
      </w:r>
      <w:r w:rsidR="00C91DE7">
        <w:rPr>
          <w:rFonts w:hint="cs"/>
          <w:rtl/>
        </w:rPr>
        <w:t xml:space="preserve"> </w:t>
      </w:r>
      <w:r>
        <w:rPr>
          <w:rFonts w:hint="cs"/>
          <w:rtl/>
        </w:rPr>
        <w:t>מה ראה...</w:t>
      </w:r>
      <w:r w:rsidR="00C91DE7">
        <w:rPr>
          <w:rFonts w:hint="cs"/>
          <w:rtl/>
        </w:rPr>
        <w:t xml:space="preserve"> </w:t>
      </w:r>
      <w:r>
        <w:rPr>
          <w:rFonts w:hint="cs"/>
          <w:rtl/>
        </w:rPr>
        <w:t>שלא נסתפק בבניין מקדש כנגד מקדש, ודיו?</w:t>
      </w:r>
    </w:p>
    <w:p w:rsidR="00DB4438" w:rsidRDefault="00DB4438" w:rsidP="00B67EEE">
      <w:pPr>
        <w:rPr>
          <w:rtl/>
        </w:rPr>
      </w:pPr>
      <w:r>
        <w:rPr>
          <w:rFonts w:hint="cs"/>
          <w:rtl/>
        </w:rPr>
        <w:t xml:space="preserve">לדעת גרינץ, </w:t>
      </w:r>
      <w:r w:rsidR="00C91DE7">
        <w:rPr>
          <w:rFonts w:hint="cs"/>
          <w:rtl/>
        </w:rPr>
        <w:t xml:space="preserve">המהפכה הדתית </w:t>
      </w:r>
      <w:r>
        <w:rPr>
          <w:rFonts w:hint="cs"/>
          <w:rtl/>
        </w:rPr>
        <w:t>של ירבעם הייתה חזרה אל האמונה הקדומה בישראל, זו שנהגה בקרבם עוד לפני משה</w:t>
      </w:r>
      <w:r w:rsidR="00E01D0C">
        <w:rPr>
          <w:rFonts w:hint="cs"/>
          <w:rtl/>
        </w:rPr>
        <w:t xml:space="preserve">. </w:t>
      </w:r>
      <w:r w:rsidR="00C91DE7">
        <w:rPr>
          <w:rFonts w:hint="cs"/>
          <w:rtl/>
        </w:rPr>
        <w:t xml:space="preserve">ראשיתה </w:t>
      </w:r>
      <w:r w:rsidR="00E01D0C">
        <w:rPr>
          <w:rFonts w:hint="cs"/>
          <w:rtl/>
        </w:rPr>
        <w:t xml:space="preserve">של אמונה קדומה זו </w:t>
      </w:r>
      <w:r>
        <w:rPr>
          <w:rFonts w:hint="cs"/>
          <w:rtl/>
        </w:rPr>
        <w:t xml:space="preserve">בתקופת האבות, </w:t>
      </w:r>
      <w:r w:rsidR="00C91DE7">
        <w:rPr>
          <w:rFonts w:hint="cs"/>
          <w:rtl/>
        </w:rPr>
        <w:t>המשכה</w:t>
      </w:r>
      <w:r>
        <w:rPr>
          <w:rFonts w:hint="cs"/>
          <w:rtl/>
        </w:rPr>
        <w:t xml:space="preserve"> </w:t>
      </w:r>
      <w:r w:rsidR="00C91DE7">
        <w:rPr>
          <w:rFonts w:hint="cs"/>
          <w:rtl/>
        </w:rPr>
        <w:t>ב</w:t>
      </w:r>
      <w:r>
        <w:rPr>
          <w:rFonts w:hint="cs"/>
          <w:rtl/>
        </w:rPr>
        <w:t>תקופת גלותם במצרים ו</w:t>
      </w:r>
      <w:r w:rsidR="00C91DE7">
        <w:rPr>
          <w:rFonts w:hint="cs"/>
          <w:rtl/>
        </w:rPr>
        <w:t>סופה</w:t>
      </w:r>
      <w:r>
        <w:rPr>
          <w:rFonts w:hint="cs"/>
          <w:rtl/>
        </w:rPr>
        <w:t xml:space="preserve"> </w:t>
      </w:r>
      <w:r w:rsidR="00C91DE7">
        <w:rPr>
          <w:rFonts w:hint="cs"/>
          <w:rtl/>
        </w:rPr>
        <w:t>ב</w:t>
      </w:r>
      <w:r>
        <w:rPr>
          <w:rFonts w:hint="cs"/>
          <w:rtl/>
        </w:rPr>
        <w:t>שלבים הראשונים שלאחר יציאת מצרים</w:t>
      </w:r>
      <w:r w:rsidR="00C91DE7">
        <w:rPr>
          <w:rFonts w:hint="cs"/>
          <w:rtl/>
        </w:rPr>
        <w:t>. אמונה זו הייתה נחלתו של העם</w:t>
      </w:r>
      <w:r w:rsidR="00E555F4">
        <w:rPr>
          <w:rFonts w:hint="cs"/>
          <w:rtl/>
        </w:rPr>
        <w:t xml:space="preserve"> עוד</w:t>
      </w:r>
      <w:r>
        <w:rPr>
          <w:rFonts w:hint="cs"/>
          <w:rtl/>
        </w:rPr>
        <w:t xml:space="preserve"> בטרם ירד משה מהר סיני עם הציווי על עשיית המשכן שבו הארון והכרובים אשר עליו. בתקופה</w:t>
      </w:r>
      <w:r w:rsidR="00C91DE7">
        <w:rPr>
          <w:rFonts w:hint="cs"/>
          <w:rtl/>
        </w:rPr>
        <w:t xml:space="preserve"> קדומה</w:t>
      </w:r>
      <w:r>
        <w:rPr>
          <w:rFonts w:hint="cs"/>
          <w:rtl/>
        </w:rPr>
        <w:t xml:space="preserve"> זו שימש השור (</w:t>
      </w:r>
      <w:r w:rsidR="00C91DE7">
        <w:rPr>
          <w:rFonts w:hint="eastAsia"/>
          <w:rtl/>
        </w:rPr>
        <w:t>–</w:t>
      </w:r>
      <w:r>
        <w:rPr>
          <w:rFonts w:hint="cs"/>
          <w:rtl/>
        </w:rPr>
        <w:t xml:space="preserve"> העגל) סמל דתי מקובל בקרב ישראל למרכבת הא-ל, ומוצאו של סמל זה בא אליהם דווקא מעמים ששכנו בצפון </w:t>
      </w:r>
      <w:r>
        <w:rPr>
          <w:rtl/>
        </w:rPr>
        <w:t>–</w:t>
      </w:r>
      <w:r>
        <w:rPr>
          <w:rFonts w:hint="cs"/>
          <w:rtl/>
        </w:rPr>
        <w:t xml:space="preserve"> בסוריה ובארץ כנען. עבודת הקרבנות הייתה נתונה אז בידי הבכורות, הם 'נ</w:t>
      </w:r>
      <w:r w:rsidR="00C91DE7">
        <w:rPr>
          <w:rFonts w:hint="cs"/>
          <w:rtl/>
        </w:rPr>
        <w:t>ַ</w:t>
      </w:r>
      <w:r>
        <w:rPr>
          <w:rFonts w:hint="cs"/>
          <w:rtl/>
        </w:rPr>
        <w:t>ע</w:t>
      </w:r>
      <w:r w:rsidR="00C91DE7">
        <w:rPr>
          <w:rFonts w:hint="cs"/>
          <w:rtl/>
        </w:rPr>
        <w:t>ֲ</w:t>
      </w:r>
      <w:r>
        <w:rPr>
          <w:rFonts w:hint="cs"/>
          <w:rtl/>
        </w:rPr>
        <w:t>ר</w:t>
      </w:r>
      <w:r w:rsidR="00C91DE7">
        <w:rPr>
          <w:rFonts w:hint="cs"/>
          <w:rtl/>
        </w:rPr>
        <w:t>ֵ</w:t>
      </w:r>
      <w:r>
        <w:rPr>
          <w:rFonts w:hint="cs"/>
          <w:rtl/>
        </w:rPr>
        <w:t>י ב</w:t>
      </w:r>
      <w:r w:rsidR="00C91DE7">
        <w:rPr>
          <w:rFonts w:hint="cs"/>
          <w:rtl/>
        </w:rPr>
        <w:t>ְּ</w:t>
      </w:r>
      <w:r>
        <w:rPr>
          <w:rFonts w:hint="cs"/>
          <w:rtl/>
        </w:rPr>
        <w:t>נ</w:t>
      </w:r>
      <w:r w:rsidR="00C91DE7">
        <w:rPr>
          <w:rFonts w:hint="cs"/>
          <w:rtl/>
        </w:rPr>
        <w:t>ֵ</w:t>
      </w:r>
      <w:r>
        <w:rPr>
          <w:rFonts w:hint="cs"/>
          <w:rtl/>
        </w:rPr>
        <w:t>י י</w:t>
      </w:r>
      <w:r w:rsidR="00C91DE7">
        <w:rPr>
          <w:rFonts w:hint="cs"/>
          <w:rtl/>
        </w:rPr>
        <w:t>ִ</w:t>
      </w:r>
      <w:r>
        <w:rPr>
          <w:rFonts w:hint="cs"/>
          <w:rtl/>
        </w:rPr>
        <w:t>ש</w:t>
      </w:r>
      <w:r w:rsidR="00C91DE7">
        <w:rPr>
          <w:rFonts w:hint="cs"/>
          <w:rtl/>
        </w:rPr>
        <w:t>ְׂ</w:t>
      </w:r>
      <w:r>
        <w:rPr>
          <w:rFonts w:hint="cs"/>
          <w:rtl/>
        </w:rPr>
        <w:t>ר</w:t>
      </w:r>
      <w:r w:rsidR="00C91DE7">
        <w:rPr>
          <w:rFonts w:hint="cs"/>
          <w:rtl/>
        </w:rPr>
        <w:t>ָ</w:t>
      </w:r>
      <w:r>
        <w:rPr>
          <w:rFonts w:hint="cs"/>
          <w:rtl/>
        </w:rPr>
        <w:t>א</w:t>
      </w:r>
      <w:r w:rsidR="00C91DE7">
        <w:rPr>
          <w:rFonts w:hint="cs"/>
          <w:rtl/>
        </w:rPr>
        <w:t>ֵ</w:t>
      </w:r>
      <w:r>
        <w:rPr>
          <w:rFonts w:hint="cs"/>
          <w:rtl/>
        </w:rPr>
        <w:t>ל' (שמות כ"ד, ה)</w:t>
      </w:r>
      <w:r w:rsidR="00E01D0C">
        <w:rPr>
          <w:rFonts w:hint="cs"/>
          <w:rtl/>
        </w:rPr>
        <w:t>,</w:t>
      </w:r>
      <w:r>
        <w:rPr>
          <w:rFonts w:hint="cs"/>
          <w:rtl/>
        </w:rPr>
        <w:t xml:space="preserve"> והם </w:t>
      </w:r>
      <w:r w:rsidR="00C91DE7">
        <w:rPr>
          <w:rFonts w:hint="cs"/>
          <w:rtl/>
        </w:rPr>
        <w:t>ששימשו כ</w:t>
      </w:r>
      <w:r>
        <w:rPr>
          <w:rFonts w:hint="cs"/>
          <w:rtl/>
        </w:rPr>
        <w:t>'</w:t>
      </w:r>
      <w:r w:rsidR="00C91DE7" w:rsidRPr="00C91DE7">
        <w:rPr>
          <w:rFonts w:hint="cs"/>
          <w:rtl/>
        </w:rPr>
        <w:t>כֹּהֲנִים הַנִּגָּשִׁים אֶל</w:t>
      </w:r>
      <w:r w:rsidR="00C91DE7">
        <w:rPr>
          <w:rFonts w:hint="cs"/>
          <w:rtl/>
        </w:rPr>
        <w:t xml:space="preserve"> </w:t>
      </w:r>
      <w:r>
        <w:rPr>
          <w:rFonts w:hint="cs"/>
          <w:rtl/>
        </w:rPr>
        <w:t>ה'</w:t>
      </w:r>
      <w:r w:rsidRPr="00FE3E4A">
        <w:rPr>
          <w:spacing w:val="20"/>
          <w:rtl/>
        </w:rPr>
        <w:t>'</w:t>
      </w:r>
      <w:r>
        <w:rPr>
          <w:rFonts w:hint="cs"/>
          <w:rtl/>
        </w:rPr>
        <w:t xml:space="preserve"> בעת מעמד הר סיני (שם י"ט, כב</w:t>
      </w:r>
      <w:r>
        <w:rPr>
          <w:rFonts w:hint="cs"/>
        </w:rPr>
        <w:sym w:font="Symbol" w:char="F02D"/>
      </w:r>
      <w:r>
        <w:rPr>
          <w:rFonts w:hint="cs"/>
          <w:rtl/>
        </w:rPr>
        <w:t>כד).</w:t>
      </w:r>
    </w:p>
    <w:p w:rsidR="00DB4438" w:rsidRDefault="00E01D0C" w:rsidP="00E555F4">
      <w:pPr>
        <w:rPr>
          <w:rtl/>
        </w:rPr>
      </w:pPr>
      <w:r>
        <w:rPr>
          <w:rFonts w:hint="cs"/>
          <w:rtl/>
        </w:rPr>
        <w:t>לאחר מע</w:t>
      </w:r>
      <w:r w:rsidR="00E555F4">
        <w:rPr>
          <w:rFonts w:hint="cs"/>
          <w:rtl/>
        </w:rPr>
        <w:t>מד הר סיני</w:t>
      </w:r>
      <w:r>
        <w:rPr>
          <w:rFonts w:hint="cs"/>
          <w:rtl/>
        </w:rPr>
        <w:t xml:space="preserve">, </w:t>
      </w:r>
      <w:r w:rsidR="000D42BD">
        <w:rPr>
          <w:rFonts w:hint="cs"/>
          <w:rtl/>
        </w:rPr>
        <w:t xml:space="preserve">מתחיל שלב חדש בעבודת ה': </w:t>
      </w:r>
      <w:r w:rsidR="00DB4438">
        <w:rPr>
          <w:rFonts w:hint="cs"/>
          <w:rtl/>
        </w:rPr>
        <w:t xml:space="preserve">משה </w:t>
      </w:r>
      <w:r w:rsidR="000D42BD">
        <w:rPr>
          <w:rFonts w:hint="cs"/>
          <w:rtl/>
        </w:rPr>
        <w:t xml:space="preserve">יורד </w:t>
      </w:r>
      <w:r w:rsidR="00DB4438">
        <w:rPr>
          <w:rFonts w:hint="cs"/>
          <w:rtl/>
        </w:rPr>
        <w:t xml:space="preserve">מהר סיני עם סמל חדש להשראת שכינה בישראל </w:t>
      </w:r>
      <w:r w:rsidR="00DB4438">
        <w:rPr>
          <w:rtl/>
        </w:rPr>
        <w:t>–</w:t>
      </w:r>
      <w:r w:rsidR="00DB4438">
        <w:rPr>
          <w:rFonts w:hint="cs"/>
          <w:rtl/>
        </w:rPr>
        <w:t xml:space="preserve"> הארון והכרובים </w:t>
      </w:r>
      <w:r>
        <w:rPr>
          <w:rFonts w:hint="cs"/>
          <w:rtl/>
        </w:rPr>
        <w:t>ב</w:t>
      </w:r>
      <w:r w:rsidR="00DB4438">
        <w:rPr>
          <w:rFonts w:hint="cs"/>
          <w:rtl/>
        </w:rPr>
        <w:t>מקום העגל.</w:t>
      </w:r>
      <w:r>
        <w:rPr>
          <w:rFonts w:hint="cs"/>
          <w:rtl/>
        </w:rPr>
        <w:t xml:space="preserve"> </w:t>
      </w:r>
      <w:r w:rsidR="00DB4438">
        <w:rPr>
          <w:rFonts w:hint="cs"/>
          <w:rtl/>
        </w:rPr>
        <w:t xml:space="preserve">בעקבות מעשה העגל מוחלפים </w:t>
      </w:r>
      <w:r>
        <w:rPr>
          <w:rFonts w:hint="cs"/>
          <w:rtl/>
        </w:rPr>
        <w:t xml:space="preserve">גם </w:t>
      </w:r>
      <w:r w:rsidR="00DB4438">
        <w:rPr>
          <w:rFonts w:hint="cs"/>
          <w:rtl/>
        </w:rPr>
        <w:t>הבכורות בלוויים.</w:t>
      </w:r>
    </w:p>
    <w:p w:rsidR="00DB4438" w:rsidRDefault="00DB4438" w:rsidP="00E555F4">
      <w:pPr>
        <w:rPr>
          <w:rtl/>
        </w:rPr>
      </w:pPr>
      <w:r>
        <w:rPr>
          <w:rFonts w:hint="cs"/>
          <w:rtl/>
        </w:rPr>
        <w:t>האם המקדש שבנה שלמה בירושלים היה המשך נאמן של משכן משה במדבר ושל משכן שילה שחרב</w:t>
      </w:r>
      <w:r w:rsidR="00E555F4">
        <w:rPr>
          <w:rFonts w:hint="cs"/>
          <w:rtl/>
        </w:rPr>
        <w:t>,</w:t>
      </w:r>
      <w:r w:rsidR="000D42BD">
        <w:rPr>
          <w:rFonts w:hint="cs"/>
          <w:rtl/>
        </w:rPr>
        <w:t xml:space="preserve"> או שמא זהו שלב חדש בהתפתחות של עבודת ה' בישראל?</w:t>
      </w:r>
      <w:r>
        <w:rPr>
          <w:rFonts w:hint="cs"/>
          <w:rtl/>
        </w:rPr>
        <w:t xml:space="preserve"> ירושלים עצמה היא עיר יבוסית שנכבשה בידי דוד, וקדושתה לא נודעה בעבר. המקדש שבנה שלמה כבר אינו דומה למשכן, לא במבנהו המפואר, לא בסדרי העבודה של ש</w:t>
      </w:r>
      <w:r w:rsidR="000D42BD">
        <w:rPr>
          <w:rFonts w:hint="cs"/>
          <w:rtl/>
        </w:rPr>
        <w:t>ל ה</w:t>
      </w:r>
      <w:r>
        <w:rPr>
          <w:rFonts w:hint="cs"/>
          <w:rtl/>
        </w:rPr>
        <w:t xml:space="preserve">לוויים שנשתנו בו שינוי יסודי, והעיקר: </w:t>
      </w:r>
      <w:r w:rsidR="002E1A12">
        <w:rPr>
          <w:rFonts w:hint="cs"/>
          <w:rtl/>
        </w:rPr>
        <w:t>אף הכרובים אינם אותם כרובים (מל"א ו', כג</w:t>
      </w:r>
      <w:r w:rsidR="002E1A12">
        <w:rPr>
          <w:rFonts w:hint="cs"/>
        </w:rPr>
        <w:sym w:font="Symbol" w:char="F02D"/>
      </w:r>
      <w:r w:rsidR="002E1A12">
        <w:rPr>
          <w:rFonts w:hint="cs"/>
          <w:rtl/>
        </w:rPr>
        <w:t>כח).</w:t>
      </w:r>
      <w:r w:rsidR="000D42BD">
        <w:rPr>
          <w:rFonts w:hint="cs"/>
          <w:rtl/>
        </w:rPr>
        <w:t xml:space="preserve"> </w:t>
      </w:r>
      <w:r w:rsidR="002E1A12">
        <w:rPr>
          <w:rFonts w:hint="cs"/>
          <w:rtl/>
        </w:rPr>
        <w:t>במצב דברים זה:</w:t>
      </w:r>
      <w:r w:rsidR="002E1A12">
        <w:rPr>
          <w:rStyle w:val="a9"/>
          <w:rtl/>
        </w:rPr>
        <w:footnoteReference w:id="6"/>
      </w:r>
    </w:p>
    <w:p w:rsidR="002E1A12" w:rsidRDefault="002E1A12" w:rsidP="00DB4438">
      <w:pPr>
        <w:rPr>
          <w:rtl/>
        </w:rPr>
      </w:pPr>
      <w:r>
        <w:rPr>
          <w:rFonts w:hint="cs"/>
          <w:rtl/>
        </w:rPr>
        <w:tab/>
        <w:t>החליט ירבעם על דרך חדשה, שתהא בה חזרה לימים שלפני ייסוד המשכן ואביזריו...</w:t>
      </w:r>
    </w:p>
    <w:p w:rsidR="000D42BD" w:rsidRDefault="002E1A12" w:rsidP="00B67EEE">
      <w:pPr>
        <w:ind w:left="720" w:firstLine="0"/>
        <w:rPr>
          <w:rtl/>
        </w:rPr>
      </w:pPr>
      <w:r>
        <w:rPr>
          <w:rFonts w:hint="cs"/>
          <w:rtl/>
        </w:rPr>
        <w:t>ב</w:t>
      </w:r>
      <w:r w:rsidR="000D42BD">
        <w:rPr>
          <w:rFonts w:hint="cs"/>
          <w:rtl/>
        </w:rPr>
        <w:t>ב</w:t>
      </w:r>
      <w:r>
        <w:rPr>
          <w:rFonts w:hint="cs"/>
          <w:rtl/>
        </w:rPr>
        <w:t>מות שבנה ירבעם בבית אל ובדן הוא מחדש שוב, מאז דור המדבר, את העגל כסמל לכוח אלוהי שעל</w:t>
      </w:r>
      <w:r w:rsidR="000D42BD">
        <w:rPr>
          <w:rFonts w:hint="cs"/>
          <w:rtl/>
        </w:rPr>
        <w:t>י</w:t>
      </w:r>
      <w:r>
        <w:rPr>
          <w:rFonts w:hint="cs"/>
          <w:rtl/>
        </w:rPr>
        <w:t>ו מופיעה</w:t>
      </w:r>
      <w:r w:rsidR="000D42BD">
        <w:rPr>
          <w:rFonts w:hint="cs"/>
          <w:rtl/>
        </w:rPr>
        <w:t xml:space="preserve"> </w:t>
      </w:r>
      <w:r>
        <w:rPr>
          <w:rFonts w:hint="cs"/>
          <w:rtl/>
        </w:rPr>
        <w:t>האלוהות...</w:t>
      </w:r>
    </w:p>
    <w:p w:rsidR="002E1A12" w:rsidRDefault="002E1A12" w:rsidP="00E555F4">
      <w:pPr>
        <w:ind w:left="720" w:firstLine="0"/>
        <w:rPr>
          <w:rtl/>
        </w:rPr>
      </w:pPr>
      <w:r>
        <w:rPr>
          <w:rFonts w:hint="cs"/>
          <w:rtl/>
        </w:rPr>
        <w:t xml:space="preserve">ירבעם קורא לשני בניו: נדב (מל"א ט"ו, כח </w:t>
      </w:r>
      <w:r>
        <w:rPr>
          <w:rtl/>
        </w:rPr>
        <w:t>–</w:t>
      </w:r>
      <w:r>
        <w:rPr>
          <w:rFonts w:hint="cs"/>
          <w:rtl/>
        </w:rPr>
        <w:t xml:space="preserve"> הוא שמלך אחרי ירבעם) ואביה (שם י"ד, א ואילך). שני שמות אלו אינם אלא שני שמות בני אהרן הראשונים נדב ואביהוא,</w:t>
      </w:r>
      <w:r>
        <w:rPr>
          <w:rStyle w:val="a9"/>
          <w:rtl/>
        </w:rPr>
        <w:footnoteReference w:id="7"/>
      </w:r>
      <w:r>
        <w:rPr>
          <w:rFonts w:hint="cs"/>
          <w:rtl/>
        </w:rPr>
        <w:t xml:space="preserve"> שמתו קודם הקדשתם ככהנים למשכן, ב</w:t>
      </w:r>
      <w:r w:rsidR="000D42BD">
        <w:rPr>
          <w:rFonts w:hint="cs"/>
          <w:rtl/>
        </w:rPr>
        <w:t>י</w:t>
      </w:r>
      <w:r>
        <w:rPr>
          <w:rFonts w:hint="cs"/>
          <w:rtl/>
        </w:rPr>
        <w:t>ום השמיני למילואים. עצם הדבר שירבעם קרא את שני בניו בשמם של בני אהרן הראשונים דווקא, אבל פסל את הכהנים מבני אהרן החיים (בניהם של אלעזר ואיתמר) ואת הלוויים כאחת...</w:t>
      </w:r>
      <w:r w:rsidR="00010E0F">
        <w:rPr>
          <w:rFonts w:hint="cs"/>
          <w:rtl/>
        </w:rPr>
        <w:t xml:space="preserve"> </w:t>
      </w:r>
      <w:r>
        <w:rPr>
          <w:rFonts w:hint="cs"/>
          <w:rtl/>
        </w:rPr>
        <w:t>טעון ביאור...</w:t>
      </w:r>
      <w:r w:rsidR="00010E0F">
        <w:rPr>
          <w:rFonts w:hint="cs"/>
          <w:rtl/>
        </w:rPr>
        <w:t xml:space="preserve"> </w:t>
      </w:r>
      <w:r>
        <w:rPr>
          <w:rFonts w:hint="cs"/>
          <w:rtl/>
        </w:rPr>
        <w:t>מה שגרם לזה גרם לזה, והוא שגרם גם שירבעם חזר והגיע לעגל הקדמון שמלפני היות הכרובים.</w:t>
      </w:r>
    </w:p>
    <w:p w:rsidR="002E1A12" w:rsidRDefault="002E1A12" w:rsidP="00E555F4">
      <w:pPr>
        <w:ind w:left="720" w:firstLine="0"/>
        <w:rPr>
          <w:rtl/>
        </w:rPr>
      </w:pPr>
      <w:r>
        <w:rPr>
          <w:rFonts w:hint="cs"/>
          <w:rtl/>
        </w:rPr>
        <w:t xml:space="preserve">לפני ייסוד המשכן עדיין היו בני אהרן הראשונים נדב ואביהוא משמשים בכהונה יחד עם </w:t>
      </w:r>
      <w:r w:rsidR="00010E0F" w:rsidRPr="00010E0F">
        <w:rPr>
          <w:rFonts w:hint="cs"/>
          <w:rtl/>
        </w:rPr>
        <w:t xml:space="preserve">'נַעֲרֵי בְּנֵי יִשְׂרָאֵל' </w:t>
      </w:r>
      <w:r>
        <w:rPr>
          <w:rFonts w:hint="cs"/>
          <w:rtl/>
        </w:rPr>
        <w:t>(שמות כ"ד, ה); ועדיין אין ללוויים מעמד כלשהו של קדושה, ורק הבכורות מכל השבטים מוקדשים</w:t>
      </w:r>
      <w:r w:rsidR="00E555F4">
        <w:rPr>
          <w:rFonts w:hint="cs"/>
          <w:rtl/>
        </w:rPr>
        <w:t xml:space="preserve"> ל</w:t>
      </w:r>
      <w:r>
        <w:rPr>
          <w:rFonts w:hint="cs"/>
          <w:rtl/>
        </w:rPr>
        <w:t>כהונה...</w:t>
      </w:r>
      <w:r w:rsidR="00010E0F">
        <w:rPr>
          <w:rFonts w:hint="cs"/>
          <w:rtl/>
        </w:rPr>
        <w:t xml:space="preserve"> </w:t>
      </w:r>
      <w:r>
        <w:rPr>
          <w:rFonts w:hint="cs"/>
          <w:rtl/>
        </w:rPr>
        <w:t xml:space="preserve">בחירת בני לוי כל עיקרה לא באה אלא מחמת מעשה העגל </w:t>
      </w:r>
      <w:r w:rsidR="00010E0F">
        <w:rPr>
          <w:rFonts w:hint="cs"/>
          <w:rtl/>
        </w:rPr>
        <w:t>(</w:t>
      </w:r>
      <w:r w:rsidR="00010E0F">
        <w:rPr>
          <w:rFonts w:hint="eastAsia"/>
          <w:rtl/>
        </w:rPr>
        <w:t>–</w:t>
      </w:r>
      <w:r w:rsidR="00010E0F">
        <w:rPr>
          <w:rFonts w:hint="cs"/>
          <w:rtl/>
        </w:rPr>
        <w:t xml:space="preserve"> </w:t>
      </w:r>
      <w:r>
        <w:rPr>
          <w:rFonts w:hint="cs"/>
          <w:rtl/>
        </w:rPr>
        <w:t xml:space="preserve">ועם 'החייאת' מעשה העגל אין </w:t>
      </w:r>
      <w:r w:rsidR="00010E0F">
        <w:rPr>
          <w:rFonts w:hint="cs"/>
          <w:rtl/>
        </w:rPr>
        <w:t xml:space="preserve">עוד </w:t>
      </w:r>
      <w:r>
        <w:rPr>
          <w:rFonts w:hint="cs"/>
          <w:rtl/>
        </w:rPr>
        <w:t xml:space="preserve">טעם בהמשך שירותם של הלוויים). </w:t>
      </w:r>
    </w:p>
    <w:p w:rsidR="002E1A12" w:rsidRDefault="002E1A12" w:rsidP="00FE3E4A">
      <w:pPr>
        <w:ind w:left="720" w:firstLine="0"/>
        <w:rPr>
          <w:rtl/>
        </w:rPr>
      </w:pPr>
      <w:r>
        <w:rPr>
          <w:rFonts w:hint="cs"/>
          <w:rtl/>
        </w:rPr>
        <w:t>ירבעם חוזר ומקדש את בית אל, שנתקדשה בשעתה על ידי יעקב, שראה בה את 'ש</w:t>
      </w:r>
      <w:r w:rsidR="00010E0F">
        <w:rPr>
          <w:rFonts w:hint="cs"/>
          <w:rtl/>
        </w:rPr>
        <w:t>ַׁ</w:t>
      </w:r>
      <w:r>
        <w:rPr>
          <w:rFonts w:hint="cs"/>
          <w:rtl/>
        </w:rPr>
        <w:t>ע</w:t>
      </w:r>
      <w:r w:rsidR="00010E0F">
        <w:rPr>
          <w:rFonts w:hint="cs"/>
          <w:rtl/>
        </w:rPr>
        <w:t>ַ</w:t>
      </w:r>
      <w:r>
        <w:rPr>
          <w:rFonts w:hint="cs"/>
          <w:rtl/>
        </w:rPr>
        <w:t>ר</w:t>
      </w:r>
      <w:r w:rsidR="00010E0F">
        <w:rPr>
          <w:rFonts w:hint="cs"/>
          <w:rtl/>
        </w:rPr>
        <w:t xml:space="preserve"> </w:t>
      </w:r>
      <w:r>
        <w:rPr>
          <w:rFonts w:hint="cs"/>
          <w:rtl/>
        </w:rPr>
        <w:t>ה</w:t>
      </w:r>
      <w:r w:rsidR="00010E0F">
        <w:rPr>
          <w:rFonts w:hint="cs"/>
          <w:rtl/>
        </w:rPr>
        <w:t>ַ</w:t>
      </w:r>
      <w:r>
        <w:rPr>
          <w:rFonts w:hint="cs"/>
          <w:rtl/>
        </w:rPr>
        <w:t>ש</w:t>
      </w:r>
      <w:r w:rsidR="00010E0F">
        <w:rPr>
          <w:rFonts w:hint="cs"/>
          <w:rtl/>
        </w:rPr>
        <w:t>ָּׁ</w:t>
      </w:r>
      <w:r>
        <w:rPr>
          <w:rFonts w:hint="cs"/>
          <w:rtl/>
        </w:rPr>
        <w:t>מ</w:t>
      </w:r>
      <w:r w:rsidR="00010E0F">
        <w:rPr>
          <w:rFonts w:hint="cs"/>
          <w:rtl/>
        </w:rPr>
        <w:t>ָ</w:t>
      </w:r>
      <w:r>
        <w:rPr>
          <w:rFonts w:hint="cs"/>
          <w:rtl/>
        </w:rPr>
        <w:t>י</w:t>
      </w:r>
      <w:r w:rsidR="00010E0F">
        <w:rPr>
          <w:rFonts w:hint="cs"/>
          <w:rtl/>
        </w:rPr>
        <w:t>ִ</w:t>
      </w:r>
      <w:r>
        <w:rPr>
          <w:rFonts w:hint="cs"/>
          <w:rtl/>
        </w:rPr>
        <w:t>ם', שמלאכים עולים ויורדים בו, ושבה קיבל את שמו 'ישראל'.</w:t>
      </w:r>
    </w:p>
    <w:p w:rsidR="002E1A12" w:rsidRDefault="002E1A12" w:rsidP="00FE3E4A">
      <w:pPr>
        <w:ind w:left="720" w:firstLine="0"/>
        <w:rPr>
          <w:rtl/>
        </w:rPr>
      </w:pPr>
      <w:r>
        <w:rPr>
          <w:rFonts w:hint="cs"/>
          <w:rtl/>
        </w:rPr>
        <w:t>גם לדן הייתה זכות קדומה: בה (</w:t>
      </w:r>
      <w:r w:rsidR="00010E0F">
        <w:rPr>
          <w:rFonts w:hint="eastAsia"/>
          <w:rtl/>
        </w:rPr>
        <w:t>–</w:t>
      </w:r>
      <w:r>
        <w:rPr>
          <w:rFonts w:hint="cs"/>
          <w:rtl/>
        </w:rPr>
        <w:t xml:space="preserve"> במקדש שבט דן שבו עמד פסל מיכה) ש</w:t>
      </w:r>
      <w:r w:rsidR="00010E0F">
        <w:rPr>
          <w:rFonts w:hint="cs"/>
          <w:rtl/>
        </w:rPr>
        <w:t>י</w:t>
      </w:r>
      <w:r>
        <w:rPr>
          <w:rFonts w:hint="cs"/>
          <w:rtl/>
        </w:rPr>
        <w:t>רת נכדו של משה (שופטים י"ח, ל</w:t>
      </w:r>
      <w:r>
        <w:rPr>
          <w:rFonts w:hint="cs"/>
        </w:rPr>
        <w:sym w:font="Symbol" w:char="F02D"/>
      </w:r>
      <w:r>
        <w:rPr>
          <w:rFonts w:hint="cs"/>
          <w:rtl/>
        </w:rPr>
        <w:t>לא). העגל אמנם היה לזרא למשה, שהביא במקומו את הכרובים. אולם חשיבות הכרובים מימי משה הייתה בהיצמדם לכפורת הארון שבו לוחות הברית, ומביניהם נגלה ה'. כעת (</w:t>
      </w:r>
      <w:r w:rsidR="00EE0C40">
        <w:rPr>
          <w:rFonts w:hint="eastAsia"/>
          <w:rtl/>
        </w:rPr>
        <w:t>–</w:t>
      </w:r>
      <w:r>
        <w:rPr>
          <w:rFonts w:hint="cs"/>
          <w:rtl/>
        </w:rPr>
        <w:t xml:space="preserve"> במקדש שלמה), כשניתק הקשר בין הארון לכרובים, גם חשיבות ראשונה זו לא הייתה</w:t>
      </w:r>
      <w:r w:rsidR="00EE0C40">
        <w:rPr>
          <w:rFonts w:hint="cs"/>
          <w:rtl/>
        </w:rPr>
        <w:t xml:space="preserve"> (</w:t>
      </w:r>
      <w:r w:rsidR="00EE0C40">
        <w:rPr>
          <w:rFonts w:hint="eastAsia"/>
          <w:rtl/>
        </w:rPr>
        <w:t>–לכרובים</w:t>
      </w:r>
      <w:r w:rsidR="00EE0C40">
        <w:rPr>
          <w:rFonts w:hint="cs"/>
          <w:rtl/>
        </w:rPr>
        <w:t>)</w:t>
      </w:r>
      <w:r>
        <w:rPr>
          <w:rFonts w:hint="cs"/>
          <w:rtl/>
        </w:rPr>
        <w:t xml:space="preserve">. </w:t>
      </w:r>
      <w:r w:rsidR="005E66E0">
        <w:rPr>
          <w:rFonts w:hint="cs"/>
          <w:rtl/>
        </w:rPr>
        <w:t xml:space="preserve">ובאין לוחות ביד ירבעם, לא הייתה תכלית לחזור לדימוי זה דווקא. הוא חוזר אפוא לסמל הקדמון שמלפני היות כרובים </w:t>
      </w:r>
      <w:r w:rsidR="005E66E0">
        <w:rPr>
          <w:rtl/>
        </w:rPr>
        <w:t>–</w:t>
      </w:r>
      <w:r w:rsidR="005E66E0">
        <w:rPr>
          <w:rFonts w:hint="cs"/>
          <w:rtl/>
        </w:rPr>
        <w:t xml:space="preserve"> לעגל. ובמקום כהנים מ</w:t>
      </w:r>
      <w:r w:rsidR="00EE0C40">
        <w:rPr>
          <w:rFonts w:hint="cs"/>
          <w:rtl/>
        </w:rPr>
        <w:t>ב</w:t>
      </w:r>
      <w:r w:rsidR="005E66E0">
        <w:rPr>
          <w:rFonts w:hint="cs"/>
          <w:rtl/>
        </w:rPr>
        <w:t>ני לוי, הוא מקים 'כ</w:t>
      </w:r>
      <w:r w:rsidR="00EE0C40">
        <w:rPr>
          <w:rFonts w:hint="cs"/>
          <w:rtl/>
        </w:rPr>
        <w:t>ֹּ</w:t>
      </w:r>
      <w:r w:rsidR="005E66E0">
        <w:rPr>
          <w:rFonts w:hint="cs"/>
          <w:rtl/>
        </w:rPr>
        <w:t>ה</w:t>
      </w:r>
      <w:r w:rsidR="00EE0C40">
        <w:rPr>
          <w:rFonts w:hint="cs"/>
          <w:rtl/>
        </w:rPr>
        <w:t>ֲ</w:t>
      </w:r>
      <w:r w:rsidR="005E66E0">
        <w:rPr>
          <w:rFonts w:hint="cs"/>
          <w:rtl/>
        </w:rPr>
        <w:t>נ</w:t>
      </w:r>
      <w:r w:rsidR="00EE0C40">
        <w:rPr>
          <w:rFonts w:hint="cs"/>
          <w:rtl/>
        </w:rPr>
        <w:t>ִ</w:t>
      </w:r>
      <w:r w:rsidR="005E66E0">
        <w:rPr>
          <w:rFonts w:hint="cs"/>
          <w:rtl/>
        </w:rPr>
        <w:t>ים מ</w:t>
      </w:r>
      <w:r w:rsidR="00EE0C40">
        <w:rPr>
          <w:rFonts w:hint="cs"/>
          <w:rtl/>
        </w:rPr>
        <w:t>ִ</w:t>
      </w:r>
      <w:r w:rsidR="005E66E0">
        <w:rPr>
          <w:rFonts w:hint="cs"/>
          <w:rtl/>
        </w:rPr>
        <w:t>ק</w:t>
      </w:r>
      <w:r w:rsidR="00EE0C40">
        <w:rPr>
          <w:rFonts w:hint="cs"/>
          <w:rtl/>
        </w:rPr>
        <w:t>ְ</w:t>
      </w:r>
      <w:r w:rsidR="005E66E0">
        <w:rPr>
          <w:rFonts w:hint="cs"/>
          <w:rtl/>
        </w:rPr>
        <w:t>צו</w:t>
      </w:r>
      <w:r w:rsidR="00EE0C40">
        <w:rPr>
          <w:rFonts w:hint="cs"/>
          <w:rtl/>
        </w:rPr>
        <w:t>ֹ</w:t>
      </w:r>
      <w:r w:rsidR="005E66E0">
        <w:rPr>
          <w:rFonts w:hint="cs"/>
          <w:rtl/>
        </w:rPr>
        <w:t>ת ה</w:t>
      </w:r>
      <w:r w:rsidR="00EE0C40">
        <w:rPr>
          <w:rFonts w:hint="cs"/>
          <w:rtl/>
        </w:rPr>
        <w:t>ָ</w:t>
      </w:r>
      <w:r w:rsidR="005E66E0">
        <w:rPr>
          <w:rFonts w:hint="cs"/>
          <w:rtl/>
        </w:rPr>
        <w:t>ע</w:t>
      </w:r>
      <w:r w:rsidR="00EE0C40">
        <w:rPr>
          <w:rFonts w:hint="cs"/>
          <w:rtl/>
        </w:rPr>
        <w:t>ָ</w:t>
      </w:r>
      <w:r w:rsidR="005E66E0">
        <w:rPr>
          <w:rFonts w:hint="cs"/>
          <w:rtl/>
        </w:rPr>
        <w:t>ם'...</w:t>
      </w:r>
    </w:p>
    <w:p w:rsidR="005E66E0" w:rsidRDefault="005E66E0" w:rsidP="00E555F4">
      <w:pPr>
        <w:ind w:left="720" w:firstLine="0"/>
        <w:rPr>
          <w:rtl/>
        </w:rPr>
      </w:pPr>
      <w:r>
        <w:rPr>
          <w:rFonts w:hint="cs"/>
          <w:rtl/>
        </w:rPr>
        <w:t xml:space="preserve">מעשי ירבעם הם מערכת שלמה מכוונת נגד הקיים בירושלים </w:t>
      </w:r>
      <w:r w:rsidR="00E555F4">
        <w:rPr>
          <w:rFonts w:hint="cs"/>
          <w:rtl/>
        </w:rPr>
        <w:t>ה</w:t>
      </w:r>
      <w:r>
        <w:rPr>
          <w:rFonts w:hint="cs"/>
          <w:rtl/>
        </w:rPr>
        <w:t>ט</w:t>
      </w:r>
      <w:r w:rsidR="00E555F4">
        <w:rPr>
          <w:rFonts w:hint="cs"/>
          <w:rtl/>
        </w:rPr>
        <w:t>ו</w:t>
      </w:r>
      <w:r>
        <w:rPr>
          <w:rFonts w:hint="cs"/>
          <w:rtl/>
        </w:rPr>
        <w:t>ענ</w:t>
      </w:r>
      <w:r w:rsidR="00E555F4">
        <w:rPr>
          <w:rFonts w:hint="cs"/>
          <w:rtl/>
        </w:rPr>
        <w:t>ת</w:t>
      </w:r>
      <w:r>
        <w:rPr>
          <w:rFonts w:hint="cs"/>
          <w:rtl/>
        </w:rPr>
        <w:t xml:space="preserve"> להמשך </w:t>
      </w:r>
      <w:r>
        <w:rPr>
          <w:rtl/>
        </w:rPr>
        <w:t>–</w:t>
      </w:r>
      <w:r>
        <w:rPr>
          <w:rFonts w:hint="cs"/>
          <w:rtl/>
        </w:rPr>
        <w:t xml:space="preserve"> גם תוך שינוי לצורכי הזמן </w:t>
      </w:r>
      <w:r>
        <w:rPr>
          <w:rtl/>
        </w:rPr>
        <w:t>–</w:t>
      </w:r>
      <w:r>
        <w:rPr>
          <w:rFonts w:hint="cs"/>
          <w:rtl/>
        </w:rPr>
        <w:t xml:space="preserve"> למשכן הקדום במדבר ובשילה. ירבעם ביטל כל זאת וחזר, אם לתקופת האבות, אם לתקופה הקודמת לייסוד הכ</w:t>
      </w:r>
      <w:r w:rsidR="00E555F4">
        <w:rPr>
          <w:rFonts w:hint="cs"/>
          <w:rtl/>
        </w:rPr>
        <w:t>ה</w:t>
      </w:r>
      <w:r>
        <w:rPr>
          <w:rFonts w:hint="cs"/>
          <w:rtl/>
        </w:rPr>
        <w:t>ונה של בית אלעזר ואיתמר.</w:t>
      </w:r>
    </w:p>
    <w:p w:rsidR="005E66E0" w:rsidRDefault="005E66E0" w:rsidP="002E1A12">
      <w:pPr>
        <w:ind w:left="720" w:firstLine="0"/>
        <w:rPr>
          <w:rtl/>
        </w:rPr>
      </w:pPr>
      <w:r>
        <w:rPr>
          <w:rFonts w:hint="cs"/>
          <w:rtl/>
        </w:rPr>
        <w:lastRenderedPageBreak/>
        <w:t>כדרך הרפורמה הקראית שעקרה את המשנה והתלמוד, כדרך הרפורמות האחרות, שעקרו בניינים שלמים שמן האמצע, אף הרפורמה של ירבעם עקרה שיטין שנשתנו מנתינתם הראשונה, ונ</w:t>
      </w:r>
      <w:r w:rsidR="00EE0C40">
        <w:rPr>
          <w:rFonts w:hint="cs"/>
          <w:rtl/>
        </w:rPr>
        <w:t>י</w:t>
      </w:r>
      <w:r>
        <w:rPr>
          <w:rFonts w:hint="cs"/>
          <w:rtl/>
        </w:rPr>
        <w:t>סתה לחזור לימים ולמעשים מחוץ לשיטת ההמשך, ואחזה בחלקים מגושמים מדורות קודמים.</w:t>
      </w:r>
    </w:p>
    <w:p w:rsidR="00867348" w:rsidRPr="002E1A12" w:rsidRDefault="00867348" w:rsidP="002E1A12">
      <w:pPr>
        <w:ind w:left="720" w:firstLine="0"/>
        <w:rPr>
          <w:rtl/>
        </w:rPr>
      </w:pPr>
    </w:p>
    <w:p w:rsidR="00414632" w:rsidRDefault="00414632" w:rsidP="00E555F4">
      <w:pPr>
        <w:pStyle w:val="3"/>
        <w:rPr>
          <w:rtl/>
        </w:rPr>
      </w:pPr>
      <w:r>
        <w:rPr>
          <w:rFonts w:hint="cs"/>
          <w:rtl/>
        </w:rPr>
        <w:t xml:space="preserve">6. </w:t>
      </w:r>
      <w:r w:rsidR="00E555F4">
        <w:rPr>
          <w:rFonts w:hint="cs"/>
          <w:rtl/>
        </w:rPr>
        <w:t>פסוקים המציגים</w:t>
      </w:r>
      <w:r>
        <w:rPr>
          <w:rFonts w:hint="cs"/>
          <w:rtl/>
        </w:rPr>
        <w:t xml:space="preserve"> את עבודת העגל כעבודה זרה</w:t>
      </w:r>
    </w:p>
    <w:p w:rsidR="00414632" w:rsidRDefault="00414632" w:rsidP="00E555F4">
      <w:pPr>
        <w:rPr>
          <w:rtl/>
        </w:rPr>
      </w:pPr>
      <w:r>
        <w:rPr>
          <w:rFonts w:hint="cs"/>
          <w:rtl/>
        </w:rPr>
        <w:t>כנגד התפיסות השונות שהצגנו בסעיפים הקודמים (סעיפים 2–</w:t>
      </w:r>
      <w:r w:rsidR="00617C47">
        <w:rPr>
          <w:rFonts w:hint="cs"/>
          <w:rtl/>
        </w:rPr>
        <w:t>5</w:t>
      </w:r>
      <w:r>
        <w:rPr>
          <w:rFonts w:hint="cs"/>
          <w:rtl/>
        </w:rPr>
        <w:t xml:space="preserve">), כי העגלים </w:t>
      </w:r>
      <w:r w:rsidR="00E555F4">
        <w:rPr>
          <w:rFonts w:hint="cs"/>
          <w:rtl/>
        </w:rPr>
        <w:t xml:space="preserve">במדבר ובממלכת ישראל </w:t>
      </w:r>
      <w:r>
        <w:rPr>
          <w:rFonts w:hint="cs"/>
          <w:rtl/>
        </w:rPr>
        <w:t xml:space="preserve">לא היו פולחן עבודה זרה אלא פולחן לא-לוהי ישראל, </w:t>
      </w:r>
      <w:r w:rsidR="00E555F4">
        <w:rPr>
          <w:rFonts w:hint="cs"/>
          <w:rtl/>
        </w:rPr>
        <w:t>חייבים</w:t>
      </w:r>
      <w:r w:rsidR="00617C47">
        <w:rPr>
          <w:rFonts w:hint="cs"/>
          <w:rtl/>
        </w:rPr>
        <w:t xml:space="preserve"> להתייחס ל</w:t>
      </w:r>
      <w:r>
        <w:rPr>
          <w:rFonts w:hint="cs"/>
          <w:rtl/>
        </w:rPr>
        <w:t>פסוקים מפורשים, הן בפרשת העגל במדבר והן בנוגע לעגלים שעשה ירבעם, שמציגים את הפולחן הקשור בעגלים כ</w:t>
      </w:r>
      <w:r w:rsidRPr="00FE3E4A">
        <w:rPr>
          <w:rFonts w:hint="cs"/>
          <w:b/>
          <w:bCs/>
          <w:rtl/>
        </w:rPr>
        <w:t>פולחן</w:t>
      </w:r>
      <w:r w:rsidRPr="00FE3E4A">
        <w:rPr>
          <w:b/>
          <w:bCs/>
          <w:rtl/>
        </w:rPr>
        <w:t xml:space="preserve"> </w:t>
      </w:r>
      <w:r w:rsidRPr="00FE3E4A">
        <w:rPr>
          <w:rFonts w:hint="cs"/>
          <w:b/>
          <w:bCs/>
          <w:rtl/>
        </w:rPr>
        <w:t>לעבודה</w:t>
      </w:r>
      <w:r w:rsidRPr="00FE3E4A">
        <w:rPr>
          <w:b/>
          <w:bCs/>
          <w:rtl/>
        </w:rPr>
        <w:t xml:space="preserve"> </w:t>
      </w:r>
      <w:r w:rsidRPr="00FE3E4A">
        <w:rPr>
          <w:rFonts w:hint="cs"/>
          <w:b/>
          <w:bCs/>
          <w:rtl/>
        </w:rPr>
        <w:t>זרה</w:t>
      </w:r>
      <w:r>
        <w:rPr>
          <w:rFonts w:hint="cs"/>
          <w:b/>
          <w:bCs/>
          <w:rtl/>
        </w:rPr>
        <w:t xml:space="preserve">. </w:t>
      </w:r>
      <w:r>
        <w:rPr>
          <w:rFonts w:hint="cs"/>
          <w:rtl/>
        </w:rPr>
        <w:t xml:space="preserve">בסעיף זה </w:t>
      </w:r>
      <w:r w:rsidRPr="00FE3E4A">
        <w:rPr>
          <w:rFonts w:hint="cs"/>
          <w:rtl/>
        </w:rPr>
        <w:t>נביא</w:t>
      </w:r>
      <w:r w:rsidRPr="00FE3E4A">
        <w:rPr>
          <w:rtl/>
        </w:rPr>
        <w:t xml:space="preserve"> </w:t>
      </w:r>
      <w:r w:rsidRPr="00FE3E4A">
        <w:rPr>
          <w:rFonts w:hint="cs"/>
          <w:rtl/>
        </w:rPr>
        <w:t>את</w:t>
      </w:r>
      <w:r w:rsidRPr="00FE3E4A">
        <w:rPr>
          <w:rtl/>
        </w:rPr>
        <w:t xml:space="preserve"> </w:t>
      </w:r>
      <w:r w:rsidRPr="00FE3E4A">
        <w:rPr>
          <w:rFonts w:hint="cs"/>
          <w:rtl/>
        </w:rPr>
        <w:t>הפסוקים</w:t>
      </w:r>
      <w:r w:rsidRPr="00FE3E4A">
        <w:rPr>
          <w:rtl/>
        </w:rPr>
        <w:t xml:space="preserve"> </w:t>
      </w:r>
      <w:r w:rsidRPr="00FE3E4A">
        <w:rPr>
          <w:rFonts w:hint="cs"/>
          <w:rtl/>
        </w:rPr>
        <w:t>הללו</w:t>
      </w:r>
      <w:r>
        <w:rPr>
          <w:rFonts w:hint="cs"/>
          <w:rtl/>
        </w:rPr>
        <w:t xml:space="preserve">, ולאחר מכן ננסה להסביר כיצד אפשר ליישבם עם התפיסות שהצגנו </w:t>
      </w:r>
      <w:r w:rsidR="00617C47">
        <w:rPr>
          <w:rFonts w:hint="cs"/>
          <w:rtl/>
        </w:rPr>
        <w:t>בסעיפים הקודמים</w:t>
      </w:r>
      <w:r>
        <w:rPr>
          <w:rFonts w:hint="cs"/>
          <w:rtl/>
        </w:rPr>
        <w:t xml:space="preserve">. </w:t>
      </w:r>
    </w:p>
    <w:p w:rsidR="00414632" w:rsidRDefault="00414632" w:rsidP="00FE3E4A">
      <w:pPr>
        <w:rPr>
          <w:rtl/>
        </w:rPr>
      </w:pPr>
      <w:r>
        <w:rPr>
          <w:rFonts w:hint="cs"/>
          <w:rtl/>
        </w:rPr>
        <w:t>כך אומר ה' למשה בשמות ל"ב:</w:t>
      </w:r>
    </w:p>
    <w:p w:rsidR="00414632" w:rsidRDefault="00414632" w:rsidP="00FE3E4A">
      <w:pPr>
        <w:spacing w:after="0"/>
        <w:rPr>
          <w:rtl/>
        </w:rPr>
      </w:pPr>
      <w:r>
        <w:rPr>
          <w:rFonts w:hint="cs"/>
          <w:rtl/>
        </w:rPr>
        <w:tab/>
      </w:r>
      <w:r>
        <w:rPr>
          <w:rFonts w:hint="cs"/>
          <w:rtl/>
        </w:rPr>
        <w:tab/>
        <w:t>ז</w:t>
      </w:r>
      <w:r>
        <w:rPr>
          <w:rFonts w:hint="cs"/>
        </w:rPr>
        <w:sym w:font="Symbol" w:char="F02D"/>
      </w:r>
      <w:r>
        <w:rPr>
          <w:rFonts w:hint="cs"/>
          <w:rtl/>
        </w:rPr>
        <w:t>ח</w:t>
      </w:r>
      <w:r>
        <w:rPr>
          <w:rFonts w:hint="cs"/>
          <w:rtl/>
        </w:rPr>
        <w:tab/>
      </w:r>
      <w:r w:rsidRPr="00B26E02">
        <w:rPr>
          <w:rFonts w:hint="cs"/>
          <w:rtl/>
        </w:rPr>
        <w:t xml:space="preserve">לֶךְ רֵד כִּי שִׁחֵת עַמְּךָ </w:t>
      </w:r>
      <w:r>
        <w:rPr>
          <w:rFonts w:hint="cs"/>
          <w:rtl/>
        </w:rPr>
        <w:t>...</w:t>
      </w:r>
      <w:r w:rsidRPr="00B26E02">
        <w:rPr>
          <w:rFonts w:hint="cs"/>
          <w:rtl/>
        </w:rPr>
        <w:t xml:space="preserve">עָשׂוּ לָהֶם עֵגֶל מַסֵּכָה </w:t>
      </w:r>
    </w:p>
    <w:p w:rsidR="00414632" w:rsidRDefault="00414632" w:rsidP="00414632">
      <w:pPr>
        <w:ind w:left="1440" w:firstLine="720"/>
        <w:rPr>
          <w:rtl/>
        </w:rPr>
      </w:pPr>
      <w:r w:rsidRPr="00B26E02">
        <w:rPr>
          <w:rFonts w:hint="cs"/>
          <w:rtl/>
        </w:rPr>
        <w:t xml:space="preserve">וַיִּשְׁתַּחֲווּ </w:t>
      </w:r>
      <w:r w:rsidRPr="00B26E02">
        <w:rPr>
          <w:rFonts w:hint="cs"/>
          <w:b/>
          <w:bCs/>
          <w:rtl/>
        </w:rPr>
        <w:t>לוֹ</w:t>
      </w:r>
      <w:r>
        <w:rPr>
          <w:rFonts w:hint="cs"/>
          <w:rtl/>
        </w:rPr>
        <w:t>,</w:t>
      </w:r>
      <w:r w:rsidRPr="00B26E02">
        <w:rPr>
          <w:rFonts w:hint="cs"/>
          <w:rtl/>
        </w:rPr>
        <w:t xml:space="preserve"> וַיִּזְבְּחוּ </w:t>
      </w:r>
      <w:r w:rsidRPr="00B26E02">
        <w:rPr>
          <w:rFonts w:hint="cs"/>
          <w:b/>
          <w:bCs/>
          <w:rtl/>
        </w:rPr>
        <w:t>לוֹ</w:t>
      </w:r>
      <w:r>
        <w:rPr>
          <w:rFonts w:hint="cs"/>
          <w:rtl/>
        </w:rPr>
        <w:t>...</w:t>
      </w:r>
    </w:p>
    <w:p w:rsidR="00414632" w:rsidRDefault="00414632" w:rsidP="00414632">
      <w:pPr>
        <w:rPr>
          <w:rtl/>
        </w:rPr>
      </w:pPr>
      <w:r>
        <w:rPr>
          <w:rFonts w:hint="cs"/>
          <w:rtl/>
        </w:rPr>
        <w:t>ומשה עצמו אומר שם בתפילתו לה':</w:t>
      </w:r>
    </w:p>
    <w:p w:rsidR="00414632" w:rsidRPr="00F6090B" w:rsidRDefault="00414632" w:rsidP="00B67EEE">
      <w:pPr>
        <w:rPr>
          <w:rtl/>
        </w:rPr>
      </w:pPr>
      <w:r>
        <w:rPr>
          <w:rFonts w:hint="cs"/>
          <w:rtl/>
        </w:rPr>
        <w:tab/>
      </w:r>
      <w:r>
        <w:rPr>
          <w:rFonts w:hint="cs"/>
          <w:rtl/>
        </w:rPr>
        <w:tab/>
        <w:t>לא</w:t>
      </w:r>
      <w:r>
        <w:rPr>
          <w:rFonts w:hint="cs"/>
          <w:rtl/>
        </w:rPr>
        <w:tab/>
      </w:r>
      <w:r w:rsidRPr="00B26E02">
        <w:rPr>
          <w:rFonts w:hint="cs"/>
          <w:rtl/>
        </w:rPr>
        <w:t>אָנָּא</w:t>
      </w:r>
      <w:r>
        <w:rPr>
          <w:rFonts w:hint="cs"/>
          <w:rtl/>
        </w:rPr>
        <w:t>,</w:t>
      </w:r>
      <w:r w:rsidRPr="00B26E02">
        <w:rPr>
          <w:rFonts w:hint="cs"/>
          <w:rtl/>
        </w:rPr>
        <w:t xml:space="preserve"> חָטָא הָעָם הַזֶּה חֲטָאָה גְדֹלָה</w:t>
      </w:r>
      <w:r>
        <w:rPr>
          <w:rFonts w:hint="cs"/>
          <w:rtl/>
        </w:rPr>
        <w:t>,</w:t>
      </w:r>
      <w:r w:rsidRPr="00B26E02">
        <w:rPr>
          <w:rFonts w:hint="cs"/>
          <w:rtl/>
        </w:rPr>
        <w:t xml:space="preserve"> וַיַּעֲשׂוּ לָהֶם </w:t>
      </w:r>
      <w:r w:rsidRPr="00B26E02">
        <w:rPr>
          <w:rFonts w:hint="cs"/>
          <w:b/>
          <w:bCs/>
          <w:rtl/>
        </w:rPr>
        <w:t>אֱלֹהֵי זָהָב</w:t>
      </w:r>
      <w:r w:rsidRPr="00FE3E4A">
        <w:rPr>
          <w:rtl/>
        </w:rPr>
        <w:t>.</w:t>
      </w:r>
    </w:p>
    <w:p w:rsidR="00414632" w:rsidRDefault="00414632" w:rsidP="00414632">
      <w:pPr>
        <w:rPr>
          <w:rtl/>
        </w:rPr>
      </w:pPr>
      <w:r>
        <w:rPr>
          <w:rFonts w:hint="cs"/>
          <w:rtl/>
        </w:rPr>
        <w:t>בתהילים ק"ו מתואר מעשה העגל במילים אלו:</w:t>
      </w:r>
    </w:p>
    <w:p w:rsidR="00414632" w:rsidRPr="00F6090B" w:rsidRDefault="00414632" w:rsidP="00FE3E4A">
      <w:pPr>
        <w:spacing w:after="0"/>
        <w:rPr>
          <w:rtl/>
        </w:rPr>
      </w:pPr>
      <w:r>
        <w:rPr>
          <w:rFonts w:hint="cs"/>
          <w:rtl/>
        </w:rPr>
        <w:tab/>
      </w:r>
      <w:r>
        <w:rPr>
          <w:rFonts w:hint="cs"/>
          <w:rtl/>
        </w:rPr>
        <w:tab/>
        <w:t>יט</w:t>
      </w:r>
      <w:r>
        <w:rPr>
          <w:rFonts w:hint="cs"/>
          <w:rtl/>
        </w:rPr>
        <w:tab/>
      </w:r>
      <w:r w:rsidRPr="00B26E02">
        <w:rPr>
          <w:rFonts w:hint="cs"/>
        </w:rPr>
        <w:t> </w:t>
      </w:r>
      <w:r w:rsidRPr="00B26E02">
        <w:rPr>
          <w:rFonts w:hint="cs"/>
          <w:rtl/>
        </w:rPr>
        <w:t xml:space="preserve">יַעֲשׂוּ עֵגֶל בְּחֹרֵב </w:t>
      </w:r>
      <w:r>
        <w:rPr>
          <w:rFonts w:hint="cs"/>
          <w:rtl/>
        </w:rPr>
        <w:tab/>
      </w:r>
      <w:r>
        <w:rPr>
          <w:rFonts w:hint="cs"/>
          <w:rtl/>
        </w:rPr>
        <w:tab/>
      </w:r>
      <w:r w:rsidRPr="00B26E02">
        <w:rPr>
          <w:rFonts w:hint="cs"/>
          <w:b/>
          <w:bCs/>
          <w:rtl/>
        </w:rPr>
        <w:t>וַיִּשְׁתַּחֲווּ לְמַסֵּכָה</w:t>
      </w:r>
      <w:r w:rsidRPr="00FE3E4A">
        <w:rPr>
          <w:rtl/>
        </w:rPr>
        <w:t>.</w:t>
      </w:r>
    </w:p>
    <w:p w:rsidR="00414632" w:rsidRDefault="00414632" w:rsidP="00B67EEE">
      <w:pPr>
        <w:rPr>
          <w:rtl/>
        </w:rPr>
      </w:pPr>
      <w:r>
        <w:rPr>
          <w:rFonts w:hint="cs"/>
          <w:rtl/>
        </w:rPr>
        <w:tab/>
      </w:r>
      <w:r>
        <w:rPr>
          <w:rFonts w:hint="cs"/>
          <w:rtl/>
        </w:rPr>
        <w:tab/>
        <w:t>כ</w:t>
      </w:r>
      <w:r>
        <w:rPr>
          <w:rFonts w:hint="cs"/>
          <w:rtl/>
        </w:rPr>
        <w:tab/>
      </w:r>
      <w:r w:rsidRPr="00E803FB">
        <w:rPr>
          <w:rFonts w:hint="cs"/>
          <w:b/>
          <w:bCs/>
          <w:rtl/>
        </w:rPr>
        <w:t xml:space="preserve">וַיָּמִירוּ אֶת כְּבוֹדָם </w:t>
      </w:r>
      <w:r>
        <w:rPr>
          <w:rFonts w:hint="cs"/>
          <w:b/>
          <w:bCs/>
          <w:rtl/>
        </w:rPr>
        <w:tab/>
      </w:r>
      <w:r>
        <w:rPr>
          <w:rFonts w:hint="cs"/>
          <w:b/>
          <w:bCs/>
          <w:rtl/>
        </w:rPr>
        <w:tab/>
      </w:r>
      <w:r w:rsidRPr="00E803FB">
        <w:rPr>
          <w:rFonts w:hint="cs"/>
          <w:b/>
          <w:bCs/>
          <w:rtl/>
        </w:rPr>
        <w:t>בְּתַבְנִית שׁוֹר אֹכֵל עֵשֶׂב</w:t>
      </w:r>
      <w:r w:rsidRPr="00FE3E4A">
        <w:rPr>
          <w:rtl/>
        </w:rPr>
        <w:t>.</w:t>
      </w:r>
    </w:p>
    <w:p w:rsidR="00E555F4" w:rsidRPr="00F6090B" w:rsidRDefault="00E555F4" w:rsidP="00B67EEE">
      <w:pPr>
        <w:rPr>
          <w:rtl/>
        </w:rPr>
      </w:pPr>
    </w:p>
    <w:p w:rsidR="00414632" w:rsidRPr="00B26E02" w:rsidRDefault="00414632" w:rsidP="00FE3E4A">
      <w:pPr>
        <w:rPr>
          <w:rtl/>
        </w:rPr>
      </w:pPr>
      <w:r>
        <w:rPr>
          <w:rFonts w:hint="cs"/>
          <w:rtl/>
        </w:rPr>
        <w:t>אף בנוגע לעגלים שעשה ירבעם, במלכים א, אנו מוצאים לשונות המתארים את פולחנם כעבודה זרה:</w:t>
      </w:r>
    </w:p>
    <w:p w:rsidR="00414632" w:rsidRDefault="00414632" w:rsidP="00FE3E4A">
      <w:pPr>
        <w:ind w:firstLine="720"/>
      </w:pPr>
      <w:r>
        <w:rPr>
          <w:rFonts w:hint="cs"/>
          <w:rtl/>
        </w:rPr>
        <w:t>י"ב, לב</w:t>
      </w:r>
      <w:r>
        <w:rPr>
          <w:rFonts w:hint="cs"/>
          <w:rtl/>
        </w:rPr>
        <w:tab/>
      </w:r>
      <w:r>
        <w:rPr>
          <w:rFonts w:hint="cs"/>
          <w:rtl/>
        </w:rPr>
        <w:tab/>
      </w:r>
      <w:r w:rsidRPr="00E803FB">
        <w:rPr>
          <w:rFonts w:hint="cs"/>
          <w:rtl/>
        </w:rPr>
        <w:t>כֵּן עָשָׂה בְּבֵית אֵל</w:t>
      </w:r>
      <w:r>
        <w:rPr>
          <w:rFonts w:hint="cs"/>
          <w:rtl/>
        </w:rPr>
        <w:t>,</w:t>
      </w:r>
      <w:r w:rsidRPr="00E803FB">
        <w:rPr>
          <w:rFonts w:hint="cs"/>
          <w:rtl/>
        </w:rPr>
        <w:t xml:space="preserve"> </w:t>
      </w:r>
      <w:r w:rsidRPr="00E803FB">
        <w:rPr>
          <w:rFonts w:hint="cs"/>
          <w:b/>
          <w:bCs/>
          <w:rtl/>
        </w:rPr>
        <w:t>לְזַבֵּחַ לָעֲגָלִים</w:t>
      </w:r>
      <w:r w:rsidRPr="00E803FB">
        <w:rPr>
          <w:rFonts w:hint="cs"/>
          <w:rtl/>
        </w:rPr>
        <w:t xml:space="preserve"> אֲשֶׁר עָשָׂה</w:t>
      </w:r>
      <w:r>
        <w:rPr>
          <w:rFonts w:hint="cs"/>
          <w:rtl/>
        </w:rPr>
        <w:t>.</w:t>
      </w:r>
    </w:p>
    <w:p w:rsidR="00414632" w:rsidRDefault="00414632" w:rsidP="00414632">
      <w:pPr>
        <w:rPr>
          <w:rtl/>
        </w:rPr>
      </w:pPr>
      <w:r>
        <w:rPr>
          <w:rFonts w:hint="cs"/>
          <w:rtl/>
        </w:rPr>
        <w:t>ואחיה השילוני מאשים את ירבעם:</w:t>
      </w:r>
    </w:p>
    <w:p w:rsidR="00414632" w:rsidRDefault="00414632" w:rsidP="00FE3E4A">
      <w:pPr>
        <w:spacing w:after="0"/>
        <w:rPr>
          <w:rtl/>
        </w:rPr>
      </w:pPr>
      <w:r>
        <w:rPr>
          <w:rFonts w:hint="cs"/>
          <w:rtl/>
        </w:rPr>
        <w:tab/>
        <w:t>י"ד, ט</w:t>
      </w:r>
      <w:r>
        <w:rPr>
          <w:rFonts w:hint="cs"/>
          <w:rtl/>
        </w:rPr>
        <w:tab/>
      </w:r>
      <w:r>
        <w:rPr>
          <w:rFonts w:hint="cs"/>
          <w:rtl/>
        </w:rPr>
        <w:tab/>
      </w:r>
      <w:r w:rsidRPr="00E803FB">
        <w:rPr>
          <w:rFonts w:hint="cs"/>
          <w:rtl/>
        </w:rPr>
        <w:t xml:space="preserve">וַתָּרַע לַעֲשׂוֹת מִכֹּל אֲשֶׁר הָיוּ לְפָנֶיךָ </w:t>
      </w:r>
    </w:p>
    <w:p w:rsidR="00414632" w:rsidRDefault="00414632" w:rsidP="00FE3E4A">
      <w:pPr>
        <w:spacing w:after="0"/>
        <w:ind w:left="1440" w:firstLine="720"/>
        <w:rPr>
          <w:rtl/>
        </w:rPr>
      </w:pPr>
      <w:r w:rsidRPr="00E803FB">
        <w:rPr>
          <w:rFonts w:hint="cs"/>
          <w:rtl/>
        </w:rPr>
        <w:t xml:space="preserve">וַתֵּלֶךְ וַתַּעֲשֶׂה לְּךָ </w:t>
      </w:r>
      <w:r w:rsidRPr="00E803FB">
        <w:rPr>
          <w:rFonts w:hint="cs"/>
          <w:b/>
          <w:bCs/>
          <w:rtl/>
        </w:rPr>
        <w:t>אֱלֹהִים אֲחֵרִים</w:t>
      </w:r>
      <w:r w:rsidRPr="00E803FB">
        <w:rPr>
          <w:rFonts w:hint="cs"/>
          <w:rtl/>
        </w:rPr>
        <w:t xml:space="preserve"> וּמַסֵּכוֹת לְהַכְעִיסֵנִי </w:t>
      </w:r>
    </w:p>
    <w:p w:rsidR="00414632" w:rsidRDefault="00414632" w:rsidP="00B67EEE">
      <w:pPr>
        <w:ind w:left="1440" w:firstLine="720"/>
        <w:rPr>
          <w:rtl/>
        </w:rPr>
      </w:pPr>
      <w:r w:rsidRPr="00E803FB">
        <w:rPr>
          <w:rFonts w:hint="cs"/>
          <w:rtl/>
        </w:rPr>
        <w:t>וְאֹתִי הִשְׁלַכְתָּ אַחֲרֵי גַוֶּךָ</w:t>
      </w:r>
      <w:r>
        <w:rPr>
          <w:rFonts w:hint="cs"/>
          <w:rtl/>
        </w:rPr>
        <w:t>.</w:t>
      </w:r>
    </w:p>
    <w:p w:rsidR="00414632" w:rsidRDefault="00414632" w:rsidP="00B67EEE">
      <w:pPr>
        <w:rPr>
          <w:rtl/>
        </w:rPr>
      </w:pPr>
      <w:r>
        <w:rPr>
          <w:rFonts w:hint="cs"/>
          <w:rtl/>
        </w:rPr>
        <w:t>במלכים ב מנומק חורבן ממלכת ישראל בחטאי עבודה זרה שונים, ומעשה העגלים 'בלוע' ביניהם:</w:t>
      </w:r>
    </w:p>
    <w:p w:rsidR="00414632" w:rsidRDefault="00414632" w:rsidP="00FE3E4A">
      <w:pPr>
        <w:spacing w:after="0"/>
        <w:rPr>
          <w:rtl/>
        </w:rPr>
      </w:pPr>
      <w:r>
        <w:rPr>
          <w:rFonts w:hint="cs"/>
          <w:rtl/>
        </w:rPr>
        <w:tab/>
        <w:t>י"ז, טז</w:t>
      </w:r>
      <w:r>
        <w:rPr>
          <w:rFonts w:hint="cs"/>
          <w:rtl/>
        </w:rPr>
        <w:tab/>
      </w:r>
      <w:r>
        <w:rPr>
          <w:rFonts w:hint="cs"/>
          <w:rtl/>
        </w:rPr>
        <w:tab/>
      </w:r>
      <w:r w:rsidRPr="00E803FB">
        <w:rPr>
          <w:rFonts w:hint="cs"/>
          <w:rtl/>
        </w:rPr>
        <w:t>וַיַּעַזְבוּ אֶת כָּל מִצְו</w:t>
      </w:r>
      <w:r w:rsidRPr="00E803FB">
        <w:rPr>
          <w:rFonts w:ascii="Arial" w:hAnsi="Arial" w:cs="Arial" w:hint="cs"/>
          <w:rtl/>
        </w:rPr>
        <w:t>‍</w:t>
      </w:r>
      <w:r w:rsidRPr="00E803FB">
        <w:rPr>
          <w:rFonts w:hint="cs"/>
          <w:rtl/>
        </w:rPr>
        <w:t>ֹת ה</w:t>
      </w:r>
      <w:r>
        <w:rPr>
          <w:rFonts w:hint="cs"/>
          <w:rtl/>
        </w:rPr>
        <w:t>'</w:t>
      </w:r>
      <w:r w:rsidRPr="00E803FB">
        <w:rPr>
          <w:rFonts w:hint="cs"/>
          <w:rtl/>
        </w:rPr>
        <w:t xml:space="preserve"> א</w:t>
      </w:r>
      <w:r>
        <w:rPr>
          <w:rFonts w:hint="cs"/>
          <w:rtl/>
        </w:rPr>
        <w:t>-</w:t>
      </w:r>
      <w:r w:rsidRPr="00E803FB">
        <w:rPr>
          <w:rFonts w:hint="cs"/>
          <w:rtl/>
        </w:rPr>
        <w:t xml:space="preserve">ֱלֹהֵיהֶם </w:t>
      </w:r>
    </w:p>
    <w:p w:rsidR="00414632" w:rsidRDefault="00414632" w:rsidP="00FE3E4A">
      <w:pPr>
        <w:spacing w:after="0"/>
        <w:ind w:left="1440" w:firstLine="720"/>
        <w:rPr>
          <w:rtl/>
        </w:rPr>
      </w:pPr>
      <w:r w:rsidRPr="00E803FB">
        <w:rPr>
          <w:rFonts w:hint="cs"/>
          <w:rtl/>
        </w:rPr>
        <w:t>וַיַּעֲשׂוּ לָהֶם מַסֵּכָה</w:t>
      </w:r>
      <w:r w:rsidRPr="00E803FB">
        <w:rPr>
          <w:rFonts w:hint="cs"/>
        </w:rPr>
        <w:t> </w:t>
      </w:r>
      <w:r>
        <w:rPr>
          <w:rFonts w:hint="cs"/>
          <w:rtl/>
        </w:rPr>
        <w:t>שְׁנֵי</w:t>
      </w:r>
      <w:r w:rsidRPr="00E803FB">
        <w:rPr>
          <w:rFonts w:hint="cs"/>
          <w:rtl/>
        </w:rPr>
        <w:t xml:space="preserve"> עֲגָלִים</w:t>
      </w:r>
      <w:r>
        <w:rPr>
          <w:rFonts w:hint="cs"/>
          <w:rtl/>
        </w:rPr>
        <w:t>,</w:t>
      </w:r>
      <w:r w:rsidRPr="00E803FB">
        <w:rPr>
          <w:rFonts w:hint="cs"/>
          <w:rtl/>
        </w:rPr>
        <w:t xml:space="preserve"> וַיַּעֲשׂוּ אֲשֵׁירָה </w:t>
      </w:r>
    </w:p>
    <w:p w:rsidR="00414632" w:rsidRPr="00F6090B" w:rsidRDefault="00414632" w:rsidP="00B67EEE">
      <w:pPr>
        <w:ind w:left="1440" w:firstLine="720"/>
        <w:rPr>
          <w:rtl/>
        </w:rPr>
      </w:pPr>
      <w:r w:rsidRPr="00E803FB">
        <w:rPr>
          <w:rFonts w:hint="cs"/>
          <w:rtl/>
        </w:rPr>
        <w:t>וַיִּשְׁתַּחֲווּ לְכָל צְבָא הַשָּׁמַיִם</w:t>
      </w:r>
      <w:r>
        <w:rPr>
          <w:rFonts w:hint="cs"/>
          <w:rtl/>
        </w:rPr>
        <w:t>,</w:t>
      </w:r>
      <w:r w:rsidRPr="00E803FB">
        <w:rPr>
          <w:rFonts w:hint="cs"/>
          <w:rtl/>
        </w:rPr>
        <w:t xml:space="preserve"> וַיַּעַבְדוּ אֶת הַבָּעַל</w:t>
      </w:r>
      <w:r>
        <w:rPr>
          <w:rFonts w:hint="cs"/>
          <w:rtl/>
        </w:rPr>
        <w:t>.</w:t>
      </w:r>
    </w:p>
    <w:p w:rsidR="00414632" w:rsidRDefault="00414632" w:rsidP="00B67EEE">
      <w:pPr>
        <w:rPr>
          <w:rtl/>
        </w:rPr>
      </w:pPr>
      <w:r>
        <w:rPr>
          <w:rFonts w:hint="cs"/>
          <w:rtl/>
        </w:rPr>
        <w:t xml:space="preserve">אף בספר דברי הימים ב נשמעת הערכה מעין זאת לעגלי ירבעם, כחלק מהמסופר שם על תנועת הכהנים והלוויים לעזוב את ממלכת ירבעם ולהתיישב ביהודה: </w:t>
      </w:r>
    </w:p>
    <w:p w:rsidR="00414632" w:rsidRPr="00FC5F30" w:rsidRDefault="00414632" w:rsidP="00FE3E4A">
      <w:pPr>
        <w:spacing w:after="0"/>
        <w:ind w:firstLine="720"/>
        <w:rPr>
          <w:rtl/>
        </w:rPr>
      </w:pPr>
      <w:r>
        <w:rPr>
          <w:rFonts w:hint="cs"/>
          <w:rtl/>
        </w:rPr>
        <w:t>י"א, יד</w:t>
      </w:r>
      <w:r>
        <w:rPr>
          <w:rFonts w:hint="cs"/>
        </w:rPr>
        <w:sym w:font="Symbol" w:char="F02D"/>
      </w:r>
      <w:r>
        <w:rPr>
          <w:rFonts w:hint="cs"/>
          <w:rtl/>
        </w:rPr>
        <w:t xml:space="preserve">טו </w:t>
      </w:r>
      <w:r>
        <w:rPr>
          <w:rFonts w:hint="cs"/>
          <w:rtl/>
        </w:rPr>
        <w:tab/>
      </w:r>
      <w:r w:rsidRPr="00FC5F30">
        <w:rPr>
          <w:rFonts w:hint="cs"/>
          <w:rtl/>
        </w:rPr>
        <w:t>וַיֵּלְכוּ לִיהוּדָה וְלִירוּשָׁלָ</w:t>
      </w:r>
      <w:r w:rsidRPr="00FC5F30">
        <w:rPr>
          <w:rFonts w:ascii="Arial" w:hAnsi="Arial" w:cs="Arial" w:hint="cs"/>
          <w:rtl/>
        </w:rPr>
        <w:t>‍</w:t>
      </w:r>
      <w:r w:rsidRPr="00FC5F30">
        <w:rPr>
          <w:rFonts w:hint="cs"/>
          <w:rtl/>
        </w:rPr>
        <w:t>ִם כִּי הִזְנִיחָם יָרָבְעָם וּבָנָיו מִכַּהֵן לַ</w:t>
      </w:r>
      <w:r>
        <w:rPr>
          <w:rFonts w:hint="cs"/>
          <w:rtl/>
        </w:rPr>
        <w:t>ה'.</w:t>
      </w:r>
    </w:p>
    <w:p w:rsidR="00414632" w:rsidRPr="00F6090B" w:rsidRDefault="00414632" w:rsidP="00B67EEE">
      <w:pPr>
        <w:ind w:left="1440" w:firstLine="720"/>
        <w:rPr>
          <w:rtl/>
        </w:rPr>
      </w:pPr>
      <w:r w:rsidRPr="00FC5F30">
        <w:rPr>
          <w:rFonts w:hint="cs"/>
          <w:rtl/>
        </w:rPr>
        <w:t xml:space="preserve">וַיַּעֲמֶד לוֹ כֹּהֲנִים לַבָּמוֹת </w:t>
      </w:r>
      <w:r w:rsidRPr="00FC5F30">
        <w:rPr>
          <w:rFonts w:hint="cs"/>
          <w:b/>
          <w:bCs/>
          <w:rtl/>
        </w:rPr>
        <w:t>וְלַשְּׂעִירִים וְלָעֲגָלִים</w:t>
      </w:r>
      <w:r w:rsidRPr="00FC5F30">
        <w:rPr>
          <w:rFonts w:hint="cs"/>
          <w:rtl/>
        </w:rPr>
        <w:t xml:space="preserve"> אֲשֶׁר עָשָׂה</w:t>
      </w:r>
      <w:r>
        <w:rPr>
          <w:rFonts w:hint="cs"/>
          <w:rtl/>
        </w:rPr>
        <w:t>.</w:t>
      </w:r>
    </w:p>
    <w:p w:rsidR="00414632" w:rsidRDefault="00414632" w:rsidP="00E555F4">
      <w:pPr>
        <w:rPr>
          <w:rtl/>
        </w:rPr>
      </w:pPr>
      <w:r>
        <w:rPr>
          <w:rFonts w:hint="cs"/>
          <w:rtl/>
        </w:rPr>
        <w:t xml:space="preserve">וכך אומר שם אביה בן רחבעם בנאום הקטרוג שלו </w:t>
      </w:r>
      <w:r w:rsidR="00E555F4">
        <w:rPr>
          <w:rFonts w:hint="cs"/>
          <w:rtl/>
        </w:rPr>
        <w:t xml:space="preserve">שנשא בהר צמריים כנגד </w:t>
      </w:r>
      <w:r>
        <w:rPr>
          <w:rFonts w:hint="cs"/>
          <w:rtl/>
        </w:rPr>
        <w:t>ממלכת ירבעם:</w:t>
      </w:r>
    </w:p>
    <w:p w:rsidR="00414632" w:rsidRPr="00F6090B" w:rsidRDefault="00414632" w:rsidP="00FE3E4A">
      <w:pPr>
        <w:spacing w:after="0"/>
      </w:pPr>
      <w:r>
        <w:rPr>
          <w:rFonts w:hint="cs"/>
          <w:rtl/>
        </w:rPr>
        <w:tab/>
        <w:t>י"ג, ח</w:t>
      </w:r>
      <w:r>
        <w:rPr>
          <w:rFonts w:hint="cs"/>
        </w:rPr>
        <w:sym w:font="Symbol" w:char="F02D"/>
      </w:r>
      <w:r>
        <w:rPr>
          <w:rFonts w:hint="cs"/>
          <w:rtl/>
        </w:rPr>
        <w:t>ט</w:t>
      </w:r>
      <w:r>
        <w:rPr>
          <w:rFonts w:hint="cs"/>
          <w:rtl/>
        </w:rPr>
        <w:tab/>
      </w:r>
      <w:r>
        <w:rPr>
          <w:rFonts w:hint="cs"/>
          <w:rtl/>
        </w:rPr>
        <w:tab/>
      </w:r>
      <w:r w:rsidRPr="00FC5F30">
        <w:rPr>
          <w:rFonts w:hint="cs"/>
          <w:rtl/>
        </w:rPr>
        <w:t xml:space="preserve">וְעִמָּכֶם עֶגְלֵי זָהָב אֲשֶׁר עָשָׂה לָכֶם יָרָבְעָם </w:t>
      </w:r>
      <w:r w:rsidRPr="00FC5F30">
        <w:rPr>
          <w:rFonts w:hint="cs"/>
          <w:b/>
          <w:bCs/>
          <w:rtl/>
        </w:rPr>
        <w:t>לֵאלֹהִים</w:t>
      </w:r>
      <w:r w:rsidRPr="00FE3E4A">
        <w:rPr>
          <w:rtl/>
        </w:rPr>
        <w:t>.</w:t>
      </w:r>
    </w:p>
    <w:p w:rsidR="00414632" w:rsidRDefault="00414632" w:rsidP="00FE3E4A">
      <w:pPr>
        <w:spacing w:after="0"/>
        <w:ind w:left="1440" w:firstLine="720"/>
        <w:rPr>
          <w:rtl/>
        </w:rPr>
      </w:pPr>
      <w:r w:rsidRPr="00FC5F30">
        <w:rPr>
          <w:rFonts w:hint="cs"/>
          <w:rtl/>
        </w:rPr>
        <w:t>הֲלֹא הִדַּחְתֶּם אֶת כֹּהֲנֵי ה</w:t>
      </w:r>
      <w:r>
        <w:rPr>
          <w:rFonts w:hint="cs"/>
          <w:rtl/>
        </w:rPr>
        <w:t>'...</w:t>
      </w:r>
    </w:p>
    <w:p w:rsidR="00414632" w:rsidRDefault="00414632" w:rsidP="00FE3E4A">
      <w:pPr>
        <w:spacing w:after="0"/>
        <w:ind w:left="1440" w:firstLine="720"/>
        <w:rPr>
          <w:rtl/>
        </w:rPr>
      </w:pPr>
      <w:r w:rsidRPr="00FC5F30">
        <w:rPr>
          <w:rFonts w:hint="cs"/>
          <w:rtl/>
        </w:rPr>
        <w:t xml:space="preserve">וַתַּעֲשׂוּ לָכֶם כֹּהֲנִים כְּעַמֵּי הָאֲרָצוֹת </w:t>
      </w:r>
    </w:p>
    <w:p w:rsidR="00414632" w:rsidRDefault="00414632" w:rsidP="00B67EEE">
      <w:pPr>
        <w:ind w:left="1440" w:firstLine="720"/>
      </w:pPr>
      <w:r w:rsidRPr="00FC5F30">
        <w:rPr>
          <w:rFonts w:hint="cs"/>
          <w:rtl/>
        </w:rPr>
        <w:t>כָּל הַבָּא לְמַלֵּא יָדוֹ</w:t>
      </w:r>
      <w:r>
        <w:rPr>
          <w:rFonts w:hint="cs"/>
          <w:rtl/>
        </w:rPr>
        <w:t>...</w:t>
      </w:r>
      <w:r w:rsidRPr="00FC5F30">
        <w:rPr>
          <w:rFonts w:hint="cs"/>
          <w:rtl/>
        </w:rPr>
        <w:t xml:space="preserve">וְהָיָה כֹהֵן </w:t>
      </w:r>
      <w:r w:rsidRPr="00FC5F30">
        <w:rPr>
          <w:rFonts w:hint="cs"/>
          <w:b/>
          <w:bCs/>
          <w:rtl/>
        </w:rPr>
        <w:t>לְלֹא אֱלֹהִים</w:t>
      </w:r>
      <w:r w:rsidRPr="00FE3E4A">
        <w:rPr>
          <w:rtl/>
        </w:rPr>
        <w:t>.</w:t>
      </w:r>
    </w:p>
    <w:p w:rsidR="00414632" w:rsidRDefault="00414632" w:rsidP="00414632">
      <w:pPr>
        <w:rPr>
          <w:rtl/>
        </w:rPr>
      </w:pPr>
    </w:p>
    <w:p w:rsidR="00414632" w:rsidRDefault="00863A2F" w:rsidP="00863A2F">
      <w:pPr>
        <w:rPr>
          <w:rtl/>
        </w:rPr>
      </w:pPr>
      <w:r>
        <w:rPr>
          <w:rFonts w:hint="cs"/>
          <w:rtl/>
        </w:rPr>
        <w:t>ב</w:t>
      </w:r>
      <w:r w:rsidR="00414632">
        <w:rPr>
          <w:rFonts w:hint="cs"/>
          <w:rtl/>
        </w:rPr>
        <w:t xml:space="preserve">כל הפסוקים הללו </w:t>
      </w:r>
      <w:r>
        <w:rPr>
          <w:rFonts w:hint="cs"/>
          <w:rtl/>
        </w:rPr>
        <w:t>מוצגת</w:t>
      </w:r>
      <w:r w:rsidR="00414632">
        <w:rPr>
          <w:rFonts w:hint="cs"/>
          <w:rtl/>
        </w:rPr>
        <w:t xml:space="preserve"> עבודת העגלים כעבודה זרה. אלא שגם התפיסה שביססנו בסעיפים הקודמים, כי העגלים כוונו לעבודת ה', מסתמכת על פסוקים אח</w:t>
      </w:r>
      <w:r>
        <w:rPr>
          <w:rFonts w:hint="cs"/>
          <w:rtl/>
        </w:rPr>
        <w:t>ד</w:t>
      </w:r>
      <w:r w:rsidR="00414632">
        <w:rPr>
          <w:rFonts w:hint="cs"/>
          <w:rtl/>
        </w:rPr>
        <w:t>ים, ונמצא שלפנינו מעין סתירה בין כתובים שונים.</w:t>
      </w:r>
    </w:p>
    <w:p w:rsidR="00414632" w:rsidRDefault="00414632" w:rsidP="00414632">
      <w:pPr>
        <w:rPr>
          <w:rtl/>
        </w:rPr>
      </w:pPr>
    </w:p>
    <w:p w:rsidR="00414632" w:rsidRDefault="00414632" w:rsidP="00863A2F">
      <w:pPr>
        <w:rPr>
          <w:rtl/>
        </w:rPr>
      </w:pPr>
      <w:r>
        <w:rPr>
          <w:rFonts w:hint="cs"/>
          <w:rtl/>
        </w:rPr>
        <w:t xml:space="preserve">קאסוטו בפירושו לספר שמות פתר סתירה זו בכך שהבחין בין כוונת אהרן בעשיית העגל על פי בקשת העם לבין כוונת ההמון בעבודת העגל שנעשתה בפועל. בהמשך </w:t>
      </w:r>
      <w:r w:rsidRPr="00863A2F">
        <w:rPr>
          <w:rFonts w:hint="cs"/>
          <w:rtl/>
        </w:rPr>
        <w:t>דבריו שצוטטו</w:t>
      </w:r>
      <w:r w:rsidRPr="00863A2F">
        <w:rPr>
          <w:rtl/>
        </w:rPr>
        <w:t xml:space="preserve"> </w:t>
      </w:r>
      <w:r w:rsidRPr="00863A2F">
        <w:rPr>
          <w:rFonts w:hint="cs"/>
          <w:rtl/>
        </w:rPr>
        <w:t>בסעיף</w:t>
      </w:r>
      <w:r w:rsidRPr="00863A2F">
        <w:rPr>
          <w:rtl/>
        </w:rPr>
        <w:t xml:space="preserve"> </w:t>
      </w:r>
      <w:r w:rsidR="00863A2F" w:rsidRPr="00863A2F">
        <w:rPr>
          <w:rFonts w:hint="cs"/>
          <w:rtl/>
        </w:rPr>
        <w:t>4</w:t>
      </w:r>
      <w:r w:rsidRPr="00863A2F">
        <w:rPr>
          <w:rFonts w:hint="cs"/>
          <w:rtl/>
        </w:rPr>
        <w:t xml:space="preserve"> הוא כותב:</w:t>
      </w:r>
    </w:p>
    <w:p w:rsidR="00414632" w:rsidRDefault="00414632" w:rsidP="00414632">
      <w:pPr>
        <w:ind w:left="720" w:firstLine="0"/>
        <w:rPr>
          <w:rtl/>
        </w:rPr>
      </w:pPr>
      <w:r>
        <w:rPr>
          <w:rFonts w:hint="cs"/>
          <w:rtl/>
        </w:rPr>
        <w:t xml:space="preserve">לפי כוונת הכתוב, דעתו של אהרן כשעשה את העגל לא הייתה אלא לעשות כיסא ריק לא-לוהות, כעין כיסא הכרובים שבאותו הזמן נצטווה משה בהר סיני לעשותו... הוא חשב שהאיסור שבעשרת הדברות היה רק להשתחוות לפסילים ולעבדם... ולא שם לב לדבר, שאיסור עשייתם, הנאמר במפורש בפני עצמו, היה מעין סייג, כדי שלא יבוא המון העם לידי טעות ולידי השתחווייה ועבודה... אהרן חטא בזה, שלא שם לב לצורך הסייג ולאפשרות של </w:t>
      </w:r>
      <w:r w:rsidRPr="00FE3E4A">
        <w:rPr>
          <w:rFonts w:hint="cs"/>
          <w:b/>
          <w:bCs/>
          <w:rtl/>
        </w:rPr>
        <w:t>טעות</w:t>
      </w:r>
      <w:r w:rsidRPr="00FE3E4A">
        <w:rPr>
          <w:b/>
          <w:bCs/>
          <w:rtl/>
        </w:rPr>
        <w:t xml:space="preserve"> </w:t>
      </w:r>
      <w:r w:rsidRPr="00FE3E4A">
        <w:rPr>
          <w:rFonts w:hint="cs"/>
          <w:b/>
          <w:bCs/>
          <w:rtl/>
        </w:rPr>
        <w:t>מצד</w:t>
      </w:r>
      <w:r w:rsidRPr="00FE3E4A">
        <w:rPr>
          <w:b/>
          <w:bCs/>
          <w:rtl/>
        </w:rPr>
        <w:t xml:space="preserve"> </w:t>
      </w:r>
      <w:r w:rsidRPr="00FE3E4A">
        <w:rPr>
          <w:rFonts w:hint="cs"/>
          <w:b/>
          <w:bCs/>
          <w:rtl/>
        </w:rPr>
        <w:t>המון</w:t>
      </w:r>
      <w:r w:rsidRPr="00FE3E4A">
        <w:rPr>
          <w:b/>
          <w:bCs/>
          <w:rtl/>
        </w:rPr>
        <w:t xml:space="preserve"> </w:t>
      </w:r>
      <w:r w:rsidRPr="00FE3E4A">
        <w:rPr>
          <w:rFonts w:hint="cs"/>
          <w:b/>
          <w:bCs/>
          <w:rtl/>
        </w:rPr>
        <w:t>העם</w:t>
      </w:r>
      <w:r w:rsidRPr="00FE3E4A">
        <w:rPr>
          <w:b/>
          <w:bCs/>
          <w:rtl/>
        </w:rPr>
        <w:t>,</w:t>
      </w:r>
      <w:r>
        <w:rPr>
          <w:rFonts w:hint="cs"/>
          <w:rtl/>
        </w:rPr>
        <w:t xml:space="preserve"> </w:t>
      </w:r>
      <w:r>
        <w:rPr>
          <w:rFonts w:hint="cs"/>
          <w:b/>
          <w:bCs/>
          <w:rtl/>
        </w:rPr>
        <w:t>טעות שאירעה כשראה העם את העגל ועשה מה שעשה.</w:t>
      </w:r>
    </w:p>
    <w:p w:rsidR="00414632" w:rsidRDefault="00414632" w:rsidP="00863A2F">
      <w:pPr>
        <w:rPr>
          <w:rtl/>
        </w:rPr>
      </w:pPr>
      <w:r w:rsidRPr="00863A2F">
        <w:rPr>
          <w:rFonts w:hint="cs"/>
          <w:rtl/>
        </w:rPr>
        <w:t>בגוף</w:t>
      </w:r>
      <w:r w:rsidRPr="00863A2F">
        <w:rPr>
          <w:rtl/>
        </w:rPr>
        <w:t xml:space="preserve"> </w:t>
      </w:r>
      <w:r w:rsidRPr="00863A2F">
        <w:rPr>
          <w:rFonts w:hint="cs"/>
          <w:rtl/>
        </w:rPr>
        <w:t>פירושו</w:t>
      </w:r>
      <w:r w:rsidRPr="00863A2F">
        <w:rPr>
          <w:rtl/>
        </w:rPr>
        <w:t xml:space="preserve"> </w:t>
      </w:r>
      <w:r w:rsidRPr="00863A2F">
        <w:rPr>
          <w:rFonts w:hint="cs"/>
          <w:rtl/>
        </w:rPr>
        <w:t>לפרשה הוא כותב על פסוק ד:</w:t>
      </w:r>
    </w:p>
    <w:p w:rsidR="00414632" w:rsidRDefault="00414632" w:rsidP="00414632">
      <w:pPr>
        <w:ind w:left="720" w:firstLine="2"/>
        <w:rPr>
          <w:rtl/>
        </w:rPr>
      </w:pPr>
      <w:r>
        <w:rPr>
          <w:rFonts w:hint="cs"/>
          <w:rtl/>
        </w:rPr>
        <w:t>אף על פי שלא התכוון אהרן אלא להמציא לעם מעין סמל מוחשי, מעין כיסא ריק כאמור, טעה העם אחרי התמונה המוחשית, והתייחס אליה כאל אלוהות ממש...הם ראו בעגל סמל של ה' וסברו שראוי סמל זה עצמו לכבוד אלוהי, וכאילו שיתפו את העגל לה', ומכאן הריבוי ("</w:t>
      </w:r>
      <w:r w:rsidRPr="00C86A4F">
        <w:rPr>
          <w:rFonts w:hint="cs"/>
          <w:rtl/>
        </w:rPr>
        <w:t>אֵלֶּה אֱלֹהֶיךָ</w:t>
      </w:r>
      <w:r>
        <w:rPr>
          <w:rFonts w:hint="cs"/>
          <w:rtl/>
        </w:rPr>
        <w:t>...").</w:t>
      </w:r>
    </w:p>
    <w:p w:rsidR="00414632" w:rsidRDefault="00414632" w:rsidP="00414632">
      <w:pPr>
        <w:rPr>
          <w:rtl/>
        </w:rPr>
      </w:pPr>
      <w:r>
        <w:rPr>
          <w:rFonts w:hint="cs"/>
          <w:rtl/>
        </w:rPr>
        <w:t xml:space="preserve">ובביאורו לפסוק ח הוא כותב: </w:t>
      </w:r>
    </w:p>
    <w:p w:rsidR="00414632" w:rsidRDefault="00414632" w:rsidP="00B67EEE">
      <w:pPr>
        <w:ind w:left="720" w:firstLine="2"/>
        <w:rPr>
          <w:rtl/>
        </w:rPr>
      </w:pPr>
      <w:r>
        <w:rPr>
          <w:rFonts w:hint="cs"/>
          <w:rtl/>
        </w:rPr>
        <w:t xml:space="preserve">'עָשׂוּ לָהֶם עֵגֶל מַסֵּכָה' </w:t>
      </w:r>
      <w:r>
        <w:rPr>
          <w:rtl/>
        </w:rPr>
        <w:t>–</w:t>
      </w:r>
      <w:r>
        <w:rPr>
          <w:rFonts w:hint="cs"/>
          <w:rtl/>
        </w:rPr>
        <w:t xml:space="preserve"> ודבר זה כשהוא לעצמו לא היה עדיין עוון חמור, אלא שהם הוסיפו '</w:t>
      </w:r>
      <w:r w:rsidRPr="00F6090B">
        <w:rPr>
          <w:rtl/>
        </w:rPr>
        <w:t>וַיִּשְׁתַּחֲווּ</w:t>
      </w:r>
      <w:r>
        <w:rPr>
          <w:rFonts w:hint="cs"/>
          <w:rtl/>
        </w:rPr>
        <w:t xml:space="preserve"> </w:t>
      </w:r>
      <w:r w:rsidRPr="00F6090B">
        <w:rPr>
          <w:rtl/>
        </w:rPr>
        <w:t>לוֹ</w:t>
      </w:r>
      <w:r>
        <w:rPr>
          <w:rtl/>
        </w:rPr>
        <w:t xml:space="preserve"> וַיִּזְבְּחוּ</w:t>
      </w:r>
      <w:r>
        <w:rPr>
          <w:rFonts w:hint="cs"/>
          <w:rtl/>
        </w:rPr>
        <w:t xml:space="preserve"> </w:t>
      </w:r>
      <w:r w:rsidRPr="00F6090B">
        <w:rPr>
          <w:rtl/>
        </w:rPr>
        <w:t>לוֹ</w:t>
      </w:r>
      <w:r>
        <w:rPr>
          <w:rFonts w:hint="cs"/>
          <w:rtl/>
        </w:rPr>
        <w:t xml:space="preserve">' </w:t>
      </w:r>
      <w:r>
        <w:rPr>
          <w:rtl/>
        </w:rPr>
        <w:t>–</w:t>
      </w:r>
      <w:r>
        <w:rPr>
          <w:rFonts w:hint="cs"/>
          <w:rtl/>
        </w:rPr>
        <w:t xml:space="preserve"> כמעשי העמים האליליים.</w:t>
      </w:r>
    </w:p>
    <w:p w:rsidR="00414632" w:rsidRDefault="00414632" w:rsidP="00B67EEE">
      <w:pPr>
        <w:rPr>
          <w:rtl/>
        </w:rPr>
      </w:pPr>
      <w:r>
        <w:rPr>
          <w:rFonts w:hint="cs"/>
          <w:rtl/>
        </w:rPr>
        <w:t xml:space="preserve">בנוגע לעגלי ירבעם, כתב אולברייט דברים דומים, וכבר הבאנו את דבריו בהערה </w:t>
      </w:r>
      <w:r w:rsidRPr="00863A2F">
        <w:rPr>
          <w:rtl/>
        </w:rPr>
        <w:t>3</w:t>
      </w:r>
      <w:r>
        <w:rPr>
          <w:rFonts w:hint="cs"/>
          <w:rtl/>
        </w:rPr>
        <w:t>, אלא שהוא ראה את קלקול ההמון בזיהוי פולחן העגל עם פולחנים כנעניים.</w:t>
      </w:r>
    </w:p>
    <w:p w:rsidR="00414632" w:rsidRPr="00487EF6" w:rsidRDefault="00414632" w:rsidP="00487EF6">
      <w:pPr>
        <w:rPr>
          <w:rtl/>
        </w:rPr>
      </w:pPr>
      <w:r>
        <w:rPr>
          <w:rFonts w:hint="cs"/>
          <w:rtl/>
        </w:rPr>
        <w:t xml:space="preserve">במה שנוגע לעגלי ירבעם </w:t>
      </w:r>
      <w:r>
        <w:rPr>
          <w:rtl/>
        </w:rPr>
        <w:t>–</w:t>
      </w:r>
      <w:r>
        <w:rPr>
          <w:rFonts w:hint="cs"/>
          <w:rtl/>
        </w:rPr>
        <w:t xml:space="preserve"> הבחנה זו </w:t>
      </w:r>
      <w:r w:rsidR="00863A2F">
        <w:rPr>
          <w:rFonts w:hint="cs"/>
          <w:rtl/>
        </w:rPr>
        <w:t>בין כוונת ירבעם לכוונת המון העם אינה אפשרית</w:t>
      </w:r>
      <w:r>
        <w:rPr>
          <w:rFonts w:hint="cs"/>
          <w:rtl/>
        </w:rPr>
        <w:t xml:space="preserve">: רוב הפסוקים המתארים את </w:t>
      </w:r>
      <w:r w:rsidRPr="00487EF6">
        <w:rPr>
          <w:rFonts w:hint="cs"/>
          <w:rtl/>
        </w:rPr>
        <w:t xml:space="preserve">פולחן העגלים כעבודה זרה </w:t>
      </w:r>
      <w:r w:rsidRPr="00487EF6">
        <w:rPr>
          <w:rtl/>
        </w:rPr>
        <w:t>–</w:t>
      </w:r>
      <w:r w:rsidRPr="00487EF6">
        <w:rPr>
          <w:rFonts w:hint="cs"/>
          <w:rtl/>
        </w:rPr>
        <w:t xml:space="preserve"> מייחסים זאת לירבעם בעצמו.</w:t>
      </w:r>
      <w:r w:rsidR="00863A2F" w:rsidRPr="00487EF6">
        <w:rPr>
          <w:rFonts w:hint="cs"/>
          <w:rtl/>
        </w:rPr>
        <w:t xml:space="preserve"> ואם יטען הטוען שירבעם (בניגוד לאהרן) אכן התכוון לעבודה זרה, הרי כבר הוכחנו </w:t>
      </w:r>
      <w:r w:rsidR="00863A2F" w:rsidRPr="00487EF6">
        <w:rPr>
          <w:rtl/>
        </w:rPr>
        <w:t>(</w:t>
      </w:r>
      <w:r w:rsidR="00863A2F" w:rsidRPr="00487EF6">
        <w:rPr>
          <w:rFonts w:hint="cs"/>
          <w:rtl/>
        </w:rPr>
        <w:t>בסוף</w:t>
      </w:r>
      <w:r w:rsidR="00863A2F" w:rsidRPr="00487EF6">
        <w:rPr>
          <w:rtl/>
        </w:rPr>
        <w:t xml:space="preserve"> </w:t>
      </w:r>
      <w:r w:rsidR="00863A2F" w:rsidRPr="00487EF6">
        <w:rPr>
          <w:rFonts w:hint="cs"/>
          <w:rtl/>
        </w:rPr>
        <w:t>סעיף</w:t>
      </w:r>
      <w:r w:rsidR="00863A2F" w:rsidRPr="00487EF6">
        <w:rPr>
          <w:rtl/>
        </w:rPr>
        <w:t xml:space="preserve"> 2) </w:t>
      </w:r>
      <w:r w:rsidR="00487EF6" w:rsidRPr="00487EF6">
        <w:rPr>
          <w:rFonts w:hint="cs"/>
          <w:rtl/>
        </w:rPr>
        <w:t xml:space="preserve">כי דבר זה לא ייתכן: </w:t>
      </w:r>
      <w:r w:rsidR="00863A2F" w:rsidRPr="00487EF6">
        <w:rPr>
          <w:rFonts w:hint="cs"/>
          <w:rtl/>
        </w:rPr>
        <w:t>חלק מפסוקים אלו</w:t>
      </w:r>
      <w:r w:rsidR="00487EF6" w:rsidRPr="00487EF6">
        <w:rPr>
          <w:rFonts w:hint="cs"/>
          <w:rtl/>
        </w:rPr>
        <w:t xml:space="preserve"> המאשימים, כביכול, את ירבעם בחטא עבודה זרה</w:t>
      </w:r>
      <w:r w:rsidRPr="00487EF6">
        <w:rPr>
          <w:rtl/>
        </w:rPr>
        <w:t xml:space="preserve"> (</w:t>
      </w:r>
      <w:r w:rsidRPr="00487EF6">
        <w:rPr>
          <w:rFonts w:hint="cs"/>
          <w:rtl/>
        </w:rPr>
        <w:t>הפסוק</w:t>
      </w:r>
      <w:r w:rsidRPr="00487EF6">
        <w:rPr>
          <w:rtl/>
        </w:rPr>
        <w:t xml:space="preserve"> </w:t>
      </w:r>
      <w:r w:rsidRPr="00487EF6">
        <w:rPr>
          <w:rFonts w:hint="cs"/>
          <w:rtl/>
        </w:rPr>
        <w:t>במלכים</w:t>
      </w:r>
      <w:r w:rsidRPr="00487EF6">
        <w:rPr>
          <w:rtl/>
        </w:rPr>
        <w:t xml:space="preserve"> </w:t>
      </w:r>
      <w:r w:rsidR="00863A2F" w:rsidRPr="00487EF6">
        <w:rPr>
          <w:rFonts w:hint="cs"/>
          <w:rtl/>
        </w:rPr>
        <w:t xml:space="preserve">א </w:t>
      </w:r>
      <w:r w:rsidRPr="00487EF6">
        <w:rPr>
          <w:rFonts w:hint="cs"/>
          <w:rtl/>
        </w:rPr>
        <w:t>י</w:t>
      </w:r>
      <w:r w:rsidRPr="00487EF6">
        <w:rPr>
          <w:rtl/>
        </w:rPr>
        <w:t>"</w:t>
      </w:r>
      <w:r w:rsidRPr="00487EF6">
        <w:rPr>
          <w:rFonts w:hint="cs"/>
          <w:rtl/>
        </w:rPr>
        <w:t>ב</w:t>
      </w:r>
      <w:r w:rsidRPr="00487EF6">
        <w:rPr>
          <w:rtl/>
        </w:rPr>
        <w:t xml:space="preserve">, </w:t>
      </w:r>
      <w:r w:rsidRPr="00487EF6">
        <w:rPr>
          <w:rFonts w:hint="cs"/>
          <w:rtl/>
        </w:rPr>
        <w:t>לב</w:t>
      </w:r>
      <w:r w:rsidRPr="00487EF6">
        <w:rPr>
          <w:rtl/>
        </w:rPr>
        <w:t xml:space="preserve"> </w:t>
      </w:r>
      <w:r w:rsidRPr="00487EF6">
        <w:rPr>
          <w:rFonts w:hint="cs"/>
          <w:rtl/>
        </w:rPr>
        <w:t>ושני</w:t>
      </w:r>
      <w:r w:rsidRPr="00487EF6">
        <w:rPr>
          <w:rtl/>
        </w:rPr>
        <w:t xml:space="preserve"> </w:t>
      </w:r>
      <w:r w:rsidRPr="00487EF6">
        <w:rPr>
          <w:rFonts w:hint="cs"/>
          <w:rtl/>
        </w:rPr>
        <w:t>הפסוקים</w:t>
      </w:r>
      <w:r w:rsidRPr="00487EF6">
        <w:rPr>
          <w:rtl/>
        </w:rPr>
        <w:t xml:space="preserve"> </w:t>
      </w:r>
      <w:r w:rsidRPr="00487EF6">
        <w:rPr>
          <w:rFonts w:hint="cs"/>
          <w:rtl/>
        </w:rPr>
        <w:t>שהובאו</w:t>
      </w:r>
      <w:r w:rsidRPr="00487EF6">
        <w:rPr>
          <w:rtl/>
        </w:rPr>
        <w:t xml:space="preserve"> </w:t>
      </w:r>
      <w:r w:rsidRPr="00487EF6">
        <w:rPr>
          <w:rFonts w:hint="cs"/>
          <w:rtl/>
        </w:rPr>
        <w:t>מדברי</w:t>
      </w:r>
      <w:r w:rsidRPr="00487EF6">
        <w:rPr>
          <w:rtl/>
        </w:rPr>
        <w:t xml:space="preserve"> </w:t>
      </w:r>
      <w:r w:rsidRPr="00487EF6">
        <w:rPr>
          <w:rFonts w:hint="cs"/>
          <w:rtl/>
        </w:rPr>
        <w:t>הימים</w:t>
      </w:r>
      <w:r w:rsidRPr="00487EF6">
        <w:rPr>
          <w:rtl/>
        </w:rPr>
        <w:t>)</w:t>
      </w:r>
      <w:r w:rsidR="00487EF6" w:rsidRPr="00487EF6">
        <w:rPr>
          <w:rFonts w:hint="cs"/>
          <w:rtl/>
        </w:rPr>
        <w:t>,</w:t>
      </w:r>
      <w:r w:rsidRPr="00487EF6">
        <w:rPr>
          <w:rtl/>
        </w:rPr>
        <w:t xml:space="preserve"> </w:t>
      </w:r>
      <w:r w:rsidRPr="00487EF6">
        <w:rPr>
          <w:rFonts w:hint="cs"/>
          <w:rtl/>
        </w:rPr>
        <w:t>כורכים</w:t>
      </w:r>
      <w:r w:rsidRPr="00487EF6">
        <w:rPr>
          <w:rtl/>
        </w:rPr>
        <w:t xml:space="preserve"> </w:t>
      </w:r>
      <w:r w:rsidRPr="00487EF6">
        <w:rPr>
          <w:rFonts w:hint="cs"/>
          <w:rtl/>
        </w:rPr>
        <w:t>כאחת</w:t>
      </w:r>
      <w:r w:rsidRPr="00487EF6">
        <w:rPr>
          <w:rtl/>
        </w:rPr>
        <w:t xml:space="preserve"> </w:t>
      </w:r>
      <w:r w:rsidRPr="00487EF6">
        <w:rPr>
          <w:rFonts w:hint="cs"/>
          <w:rtl/>
        </w:rPr>
        <w:t>את</w:t>
      </w:r>
      <w:r w:rsidRPr="00487EF6">
        <w:rPr>
          <w:rtl/>
        </w:rPr>
        <w:t xml:space="preserve"> </w:t>
      </w:r>
      <w:r w:rsidRPr="00487EF6">
        <w:rPr>
          <w:rFonts w:hint="cs"/>
          <w:rtl/>
        </w:rPr>
        <w:t>האשמת</w:t>
      </w:r>
      <w:r w:rsidRPr="00487EF6">
        <w:rPr>
          <w:rtl/>
        </w:rPr>
        <w:t xml:space="preserve"> </w:t>
      </w:r>
      <w:r w:rsidRPr="00487EF6">
        <w:rPr>
          <w:rFonts w:hint="cs"/>
          <w:rtl/>
        </w:rPr>
        <w:t>ירבעם</w:t>
      </w:r>
      <w:r w:rsidRPr="00487EF6">
        <w:rPr>
          <w:rtl/>
        </w:rPr>
        <w:t xml:space="preserve"> </w:t>
      </w:r>
      <w:r w:rsidRPr="00487EF6">
        <w:rPr>
          <w:rFonts w:hint="cs"/>
          <w:rtl/>
        </w:rPr>
        <w:t>בעשיית</w:t>
      </w:r>
      <w:r w:rsidRPr="00487EF6">
        <w:rPr>
          <w:rtl/>
        </w:rPr>
        <w:t xml:space="preserve"> </w:t>
      </w:r>
      <w:r w:rsidRPr="00487EF6">
        <w:rPr>
          <w:rFonts w:hint="cs"/>
          <w:rtl/>
        </w:rPr>
        <w:t>העגלים</w:t>
      </w:r>
      <w:r w:rsidRPr="00487EF6">
        <w:rPr>
          <w:rtl/>
        </w:rPr>
        <w:t xml:space="preserve"> </w:t>
      </w:r>
      <w:r w:rsidRPr="00487EF6">
        <w:rPr>
          <w:rFonts w:hint="cs"/>
          <w:rtl/>
        </w:rPr>
        <w:t>לעבודה</w:t>
      </w:r>
      <w:r w:rsidRPr="00487EF6">
        <w:rPr>
          <w:rtl/>
        </w:rPr>
        <w:t xml:space="preserve"> </w:t>
      </w:r>
      <w:r w:rsidRPr="00487EF6">
        <w:rPr>
          <w:rFonts w:hint="cs"/>
          <w:rtl/>
        </w:rPr>
        <w:t>זרה</w:t>
      </w:r>
      <w:r w:rsidRPr="00487EF6">
        <w:rPr>
          <w:rtl/>
        </w:rPr>
        <w:t xml:space="preserve"> </w:t>
      </w:r>
      <w:r w:rsidRPr="00487EF6">
        <w:rPr>
          <w:rFonts w:hint="cs"/>
          <w:rtl/>
        </w:rPr>
        <w:t>עם</w:t>
      </w:r>
      <w:r w:rsidRPr="00487EF6">
        <w:rPr>
          <w:rtl/>
        </w:rPr>
        <w:t xml:space="preserve"> </w:t>
      </w:r>
      <w:r w:rsidRPr="00487EF6">
        <w:rPr>
          <w:rFonts w:hint="cs"/>
          <w:rtl/>
        </w:rPr>
        <w:t>האשמתו</w:t>
      </w:r>
      <w:r w:rsidRPr="00487EF6">
        <w:rPr>
          <w:rtl/>
        </w:rPr>
        <w:t xml:space="preserve"> </w:t>
      </w:r>
      <w:r w:rsidRPr="00487EF6">
        <w:rPr>
          <w:rFonts w:hint="cs"/>
          <w:rtl/>
        </w:rPr>
        <w:t>בהדחת</w:t>
      </w:r>
      <w:r w:rsidRPr="00487EF6">
        <w:rPr>
          <w:rtl/>
        </w:rPr>
        <w:t xml:space="preserve"> </w:t>
      </w:r>
      <w:r w:rsidRPr="00487EF6">
        <w:rPr>
          <w:rFonts w:hint="cs"/>
          <w:rtl/>
        </w:rPr>
        <w:t>הכהנים</w:t>
      </w:r>
      <w:r w:rsidRPr="00487EF6">
        <w:rPr>
          <w:rtl/>
        </w:rPr>
        <w:t xml:space="preserve"> </w:t>
      </w:r>
      <w:r w:rsidRPr="00487EF6">
        <w:rPr>
          <w:rFonts w:hint="cs"/>
          <w:rtl/>
        </w:rPr>
        <w:t>משבט</w:t>
      </w:r>
      <w:r w:rsidRPr="00487EF6">
        <w:rPr>
          <w:rtl/>
        </w:rPr>
        <w:t xml:space="preserve"> </w:t>
      </w:r>
      <w:r w:rsidRPr="00487EF6">
        <w:rPr>
          <w:rFonts w:hint="cs"/>
          <w:rtl/>
        </w:rPr>
        <w:t>לוי</w:t>
      </w:r>
      <w:r w:rsidRPr="00487EF6">
        <w:rPr>
          <w:rtl/>
        </w:rPr>
        <w:t xml:space="preserve"> </w:t>
      </w:r>
      <w:r w:rsidRPr="00487EF6">
        <w:rPr>
          <w:rFonts w:hint="cs"/>
          <w:rtl/>
        </w:rPr>
        <w:t>ומינוי</w:t>
      </w:r>
      <w:r w:rsidRPr="00487EF6">
        <w:rPr>
          <w:rtl/>
        </w:rPr>
        <w:t xml:space="preserve"> </w:t>
      </w:r>
      <w:r w:rsidRPr="00487EF6">
        <w:rPr>
          <w:rFonts w:hint="cs"/>
          <w:rtl/>
        </w:rPr>
        <w:t>כהנים</w:t>
      </w:r>
      <w:r w:rsidRPr="00487EF6">
        <w:rPr>
          <w:rtl/>
        </w:rPr>
        <w:t xml:space="preserve"> </w:t>
      </w:r>
      <w:r w:rsidRPr="00487EF6">
        <w:rPr>
          <w:rFonts w:hint="cs"/>
          <w:rtl/>
        </w:rPr>
        <w:t>שאינם</w:t>
      </w:r>
      <w:r w:rsidRPr="00487EF6">
        <w:rPr>
          <w:rtl/>
        </w:rPr>
        <w:t xml:space="preserve"> </w:t>
      </w:r>
      <w:r w:rsidRPr="00487EF6">
        <w:rPr>
          <w:rFonts w:hint="cs"/>
          <w:rtl/>
        </w:rPr>
        <w:t>משבט</w:t>
      </w:r>
      <w:r w:rsidRPr="00487EF6">
        <w:rPr>
          <w:rtl/>
        </w:rPr>
        <w:t xml:space="preserve"> </w:t>
      </w:r>
      <w:r w:rsidRPr="00487EF6">
        <w:rPr>
          <w:rFonts w:hint="cs"/>
          <w:rtl/>
        </w:rPr>
        <w:t>זה</w:t>
      </w:r>
      <w:r w:rsidRPr="00487EF6">
        <w:rPr>
          <w:rtl/>
        </w:rPr>
        <w:t xml:space="preserve"> </w:t>
      </w:r>
      <w:r w:rsidRPr="00487EF6">
        <w:rPr>
          <w:rFonts w:hint="cs"/>
          <w:rtl/>
        </w:rPr>
        <w:t>לעבודת</w:t>
      </w:r>
      <w:r w:rsidRPr="00487EF6">
        <w:rPr>
          <w:rtl/>
        </w:rPr>
        <w:t xml:space="preserve"> </w:t>
      </w:r>
      <w:r w:rsidRPr="00487EF6">
        <w:rPr>
          <w:rFonts w:hint="cs"/>
          <w:rtl/>
        </w:rPr>
        <w:t>העגלים</w:t>
      </w:r>
      <w:r w:rsidRPr="00487EF6">
        <w:rPr>
          <w:rtl/>
        </w:rPr>
        <w:t xml:space="preserve">, </w:t>
      </w:r>
      <w:r w:rsidRPr="00487EF6">
        <w:rPr>
          <w:rFonts w:hint="cs"/>
          <w:rtl/>
        </w:rPr>
        <w:t>וכבר</w:t>
      </w:r>
      <w:r w:rsidRPr="00487EF6">
        <w:rPr>
          <w:rtl/>
        </w:rPr>
        <w:t xml:space="preserve"> </w:t>
      </w:r>
      <w:r w:rsidRPr="00487EF6">
        <w:rPr>
          <w:rFonts w:hint="cs"/>
          <w:rtl/>
        </w:rPr>
        <w:t>ראינו</w:t>
      </w:r>
      <w:r w:rsidRPr="00487EF6">
        <w:rPr>
          <w:rtl/>
        </w:rPr>
        <w:t xml:space="preserve"> </w:t>
      </w:r>
      <w:r w:rsidRPr="00487EF6">
        <w:rPr>
          <w:rFonts w:hint="cs"/>
          <w:rtl/>
        </w:rPr>
        <w:t>כי</w:t>
      </w:r>
      <w:r w:rsidRPr="00487EF6">
        <w:rPr>
          <w:rtl/>
        </w:rPr>
        <w:t xml:space="preserve"> </w:t>
      </w:r>
      <w:r w:rsidRPr="00487EF6">
        <w:rPr>
          <w:rFonts w:hint="cs"/>
          <w:rtl/>
        </w:rPr>
        <w:t>קיימת</w:t>
      </w:r>
      <w:r w:rsidRPr="00487EF6">
        <w:rPr>
          <w:rtl/>
        </w:rPr>
        <w:t xml:space="preserve"> </w:t>
      </w:r>
      <w:r w:rsidRPr="00487EF6">
        <w:rPr>
          <w:rFonts w:hint="cs"/>
          <w:rtl/>
        </w:rPr>
        <w:t>סתירה</w:t>
      </w:r>
      <w:r w:rsidRPr="00487EF6">
        <w:rPr>
          <w:rtl/>
        </w:rPr>
        <w:t xml:space="preserve"> </w:t>
      </w:r>
      <w:r w:rsidRPr="00487EF6">
        <w:rPr>
          <w:rFonts w:hint="cs"/>
          <w:rtl/>
        </w:rPr>
        <w:t>הגיונית</w:t>
      </w:r>
      <w:r w:rsidRPr="00487EF6">
        <w:rPr>
          <w:rtl/>
        </w:rPr>
        <w:t xml:space="preserve"> </w:t>
      </w:r>
      <w:r w:rsidRPr="00487EF6">
        <w:rPr>
          <w:rFonts w:hint="cs"/>
          <w:rtl/>
        </w:rPr>
        <w:t>בין</w:t>
      </w:r>
      <w:r w:rsidRPr="00487EF6">
        <w:rPr>
          <w:rtl/>
        </w:rPr>
        <w:t xml:space="preserve"> </w:t>
      </w:r>
      <w:r w:rsidRPr="00487EF6">
        <w:rPr>
          <w:rFonts w:hint="cs"/>
          <w:rtl/>
        </w:rPr>
        <w:t>שתי</w:t>
      </w:r>
      <w:r w:rsidRPr="00487EF6">
        <w:rPr>
          <w:rtl/>
        </w:rPr>
        <w:t xml:space="preserve"> </w:t>
      </w:r>
      <w:r w:rsidRPr="00487EF6">
        <w:rPr>
          <w:rFonts w:hint="cs"/>
          <w:rtl/>
        </w:rPr>
        <w:t>האשמות</w:t>
      </w:r>
      <w:r w:rsidRPr="00487EF6">
        <w:rPr>
          <w:rtl/>
        </w:rPr>
        <w:t xml:space="preserve"> </w:t>
      </w:r>
      <w:r w:rsidRPr="00487EF6">
        <w:rPr>
          <w:rFonts w:hint="cs"/>
          <w:rtl/>
        </w:rPr>
        <w:t>אלו</w:t>
      </w:r>
      <w:r w:rsidRPr="00487EF6">
        <w:rPr>
          <w:rtl/>
        </w:rPr>
        <w:t>.</w:t>
      </w:r>
    </w:p>
    <w:p w:rsidR="00414632" w:rsidRPr="00487EF6" w:rsidRDefault="00414632" w:rsidP="00487EF6">
      <w:pPr>
        <w:rPr>
          <w:rtl/>
        </w:rPr>
      </w:pPr>
      <w:r w:rsidRPr="00487EF6">
        <w:rPr>
          <w:rFonts w:hint="cs"/>
          <w:rtl/>
        </w:rPr>
        <w:t>ועוד</w:t>
      </w:r>
      <w:r w:rsidRPr="00487EF6">
        <w:rPr>
          <w:rtl/>
        </w:rPr>
        <w:t xml:space="preserve"> </w:t>
      </w:r>
      <w:r w:rsidRPr="00487EF6">
        <w:rPr>
          <w:rFonts w:hint="cs"/>
          <w:rtl/>
        </w:rPr>
        <w:t>יש</w:t>
      </w:r>
      <w:r w:rsidRPr="00487EF6">
        <w:rPr>
          <w:rtl/>
        </w:rPr>
        <w:t xml:space="preserve"> </w:t>
      </w:r>
      <w:r w:rsidRPr="00487EF6">
        <w:rPr>
          <w:rFonts w:hint="cs"/>
          <w:rtl/>
        </w:rPr>
        <w:t>לטעון</w:t>
      </w:r>
      <w:r w:rsidRPr="00487EF6">
        <w:rPr>
          <w:rtl/>
        </w:rPr>
        <w:t xml:space="preserve"> </w:t>
      </w:r>
      <w:r w:rsidRPr="00487EF6">
        <w:rPr>
          <w:rFonts w:hint="cs"/>
          <w:rtl/>
        </w:rPr>
        <w:t>כנגד</w:t>
      </w:r>
      <w:r w:rsidRPr="00487EF6">
        <w:rPr>
          <w:rtl/>
        </w:rPr>
        <w:t xml:space="preserve"> </w:t>
      </w:r>
      <w:r w:rsidRPr="00487EF6">
        <w:rPr>
          <w:rFonts w:hint="cs"/>
          <w:rtl/>
        </w:rPr>
        <w:t>הצגת</w:t>
      </w:r>
      <w:r w:rsidRPr="00487EF6">
        <w:rPr>
          <w:rtl/>
        </w:rPr>
        <w:t xml:space="preserve"> </w:t>
      </w:r>
      <w:r w:rsidRPr="00487EF6">
        <w:rPr>
          <w:rFonts w:hint="cs"/>
          <w:rtl/>
        </w:rPr>
        <w:t>עגלי</w:t>
      </w:r>
      <w:r w:rsidRPr="00487EF6">
        <w:rPr>
          <w:rtl/>
        </w:rPr>
        <w:t xml:space="preserve"> </w:t>
      </w:r>
      <w:r w:rsidRPr="00487EF6">
        <w:rPr>
          <w:rFonts w:hint="cs"/>
          <w:rtl/>
        </w:rPr>
        <w:t>ירבעם</w:t>
      </w:r>
      <w:r w:rsidRPr="00487EF6">
        <w:rPr>
          <w:rtl/>
        </w:rPr>
        <w:t xml:space="preserve"> </w:t>
      </w:r>
      <w:r w:rsidRPr="00487EF6">
        <w:rPr>
          <w:rFonts w:hint="cs"/>
          <w:rtl/>
        </w:rPr>
        <w:t>כפולחן</w:t>
      </w:r>
      <w:r w:rsidRPr="00487EF6">
        <w:rPr>
          <w:rtl/>
        </w:rPr>
        <w:t xml:space="preserve"> </w:t>
      </w:r>
      <w:r w:rsidRPr="00487EF6">
        <w:rPr>
          <w:rFonts w:hint="cs"/>
          <w:rtl/>
        </w:rPr>
        <w:t>אלילי</w:t>
      </w:r>
      <w:r w:rsidRPr="00487EF6">
        <w:rPr>
          <w:rtl/>
        </w:rPr>
        <w:t xml:space="preserve">: </w:t>
      </w:r>
      <w:r w:rsidRPr="00487EF6">
        <w:rPr>
          <w:rFonts w:hint="cs"/>
          <w:rtl/>
        </w:rPr>
        <w:t>לו</w:t>
      </w:r>
      <w:r w:rsidRPr="00487EF6">
        <w:rPr>
          <w:rtl/>
        </w:rPr>
        <w:t xml:space="preserve"> </w:t>
      </w:r>
      <w:r w:rsidRPr="00487EF6">
        <w:rPr>
          <w:rFonts w:hint="cs"/>
          <w:rtl/>
        </w:rPr>
        <w:t>כך</w:t>
      </w:r>
      <w:r w:rsidRPr="00487EF6">
        <w:rPr>
          <w:rtl/>
        </w:rPr>
        <w:t xml:space="preserve"> </w:t>
      </w:r>
      <w:r w:rsidRPr="00487EF6">
        <w:rPr>
          <w:rFonts w:hint="cs"/>
          <w:rtl/>
        </w:rPr>
        <w:t>היה</w:t>
      </w:r>
      <w:r w:rsidRPr="00487EF6">
        <w:rPr>
          <w:rtl/>
        </w:rPr>
        <w:t xml:space="preserve"> </w:t>
      </w:r>
      <w:r w:rsidRPr="00487EF6">
        <w:rPr>
          <w:rFonts w:hint="cs"/>
          <w:rtl/>
        </w:rPr>
        <w:t>הדבר</w:t>
      </w:r>
      <w:r w:rsidRPr="00487EF6">
        <w:rPr>
          <w:rtl/>
        </w:rPr>
        <w:t xml:space="preserve">, </w:t>
      </w:r>
      <w:r w:rsidRPr="00487EF6">
        <w:rPr>
          <w:rFonts w:hint="cs"/>
          <w:rtl/>
        </w:rPr>
        <w:t>היו</w:t>
      </w:r>
      <w:r w:rsidRPr="00487EF6">
        <w:rPr>
          <w:rtl/>
        </w:rPr>
        <w:t xml:space="preserve"> </w:t>
      </w:r>
      <w:r w:rsidRPr="00487EF6">
        <w:rPr>
          <w:rFonts w:hint="cs"/>
          <w:rtl/>
        </w:rPr>
        <w:t>אליהו</w:t>
      </w:r>
      <w:r w:rsidRPr="00487EF6">
        <w:rPr>
          <w:rtl/>
        </w:rPr>
        <w:t xml:space="preserve"> </w:t>
      </w:r>
      <w:r w:rsidRPr="00487EF6">
        <w:rPr>
          <w:rFonts w:hint="cs"/>
          <w:rtl/>
        </w:rPr>
        <w:t>הנביא</w:t>
      </w:r>
      <w:r w:rsidRPr="00487EF6">
        <w:rPr>
          <w:rtl/>
        </w:rPr>
        <w:t xml:space="preserve"> </w:t>
      </w:r>
      <w:r w:rsidRPr="00487EF6">
        <w:rPr>
          <w:rFonts w:hint="cs"/>
          <w:rtl/>
        </w:rPr>
        <w:t>ויהוא</w:t>
      </w:r>
      <w:r w:rsidRPr="00487EF6">
        <w:rPr>
          <w:rtl/>
        </w:rPr>
        <w:t xml:space="preserve"> </w:t>
      </w:r>
      <w:r w:rsidRPr="00487EF6">
        <w:rPr>
          <w:rFonts w:hint="cs"/>
          <w:rtl/>
        </w:rPr>
        <w:t>מלך</w:t>
      </w:r>
      <w:r w:rsidRPr="00487EF6">
        <w:rPr>
          <w:rtl/>
        </w:rPr>
        <w:t xml:space="preserve"> </w:t>
      </w:r>
      <w:r w:rsidRPr="00487EF6">
        <w:rPr>
          <w:rFonts w:hint="cs"/>
          <w:rtl/>
        </w:rPr>
        <w:t>ישראל</w:t>
      </w:r>
      <w:r w:rsidRPr="00487EF6">
        <w:rPr>
          <w:rtl/>
        </w:rPr>
        <w:t xml:space="preserve"> – </w:t>
      </w:r>
      <w:r w:rsidRPr="00487EF6">
        <w:rPr>
          <w:rFonts w:hint="cs"/>
          <w:rtl/>
        </w:rPr>
        <w:t>שני</w:t>
      </w:r>
      <w:r w:rsidRPr="00487EF6">
        <w:rPr>
          <w:rtl/>
        </w:rPr>
        <w:t xml:space="preserve"> </w:t>
      </w:r>
      <w:r w:rsidRPr="00487EF6">
        <w:rPr>
          <w:rFonts w:hint="cs"/>
          <w:rtl/>
        </w:rPr>
        <w:t>המקנאים</w:t>
      </w:r>
      <w:r w:rsidRPr="00487EF6">
        <w:rPr>
          <w:rtl/>
        </w:rPr>
        <w:t xml:space="preserve"> </w:t>
      </w:r>
      <w:r w:rsidRPr="00487EF6">
        <w:rPr>
          <w:rFonts w:hint="cs"/>
          <w:rtl/>
        </w:rPr>
        <w:t>לה</w:t>
      </w:r>
      <w:r w:rsidRPr="00487EF6">
        <w:rPr>
          <w:rtl/>
        </w:rPr>
        <w:t xml:space="preserve">', </w:t>
      </w:r>
      <w:r w:rsidRPr="00487EF6">
        <w:rPr>
          <w:rFonts w:hint="cs"/>
          <w:rtl/>
        </w:rPr>
        <w:t>פועלים</w:t>
      </w:r>
      <w:r w:rsidRPr="00487EF6">
        <w:rPr>
          <w:rtl/>
        </w:rPr>
        <w:t xml:space="preserve"> </w:t>
      </w:r>
      <w:r w:rsidRPr="00487EF6">
        <w:rPr>
          <w:rFonts w:hint="cs"/>
          <w:rtl/>
        </w:rPr>
        <w:t>כנגד</w:t>
      </w:r>
      <w:r w:rsidRPr="00487EF6">
        <w:rPr>
          <w:rtl/>
        </w:rPr>
        <w:t xml:space="preserve"> </w:t>
      </w:r>
      <w:r w:rsidRPr="00487EF6">
        <w:rPr>
          <w:rFonts w:hint="cs"/>
          <w:rtl/>
        </w:rPr>
        <w:t>קיום</w:t>
      </w:r>
      <w:r w:rsidRPr="00487EF6">
        <w:rPr>
          <w:rtl/>
        </w:rPr>
        <w:t xml:space="preserve"> </w:t>
      </w:r>
      <w:r w:rsidRPr="00487EF6">
        <w:rPr>
          <w:rFonts w:hint="cs"/>
          <w:rtl/>
        </w:rPr>
        <w:t>פולחן</w:t>
      </w:r>
      <w:r w:rsidRPr="00487EF6">
        <w:rPr>
          <w:rtl/>
        </w:rPr>
        <w:t xml:space="preserve"> </w:t>
      </w:r>
      <w:r w:rsidRPr="00487EF6">
        <w:rPr>
          <w:rFonts w:hint="cs"/>
          <w:rtl/>
        </w:rPr>
        <w:t>העגלים</w:t>
      </w:r>
      <w:r w:rsidRPr="00487EF6">
        <w:rPr>
          <w:rtl/>
        </w:rPr>
        <w:t xml:space="preserve"> </w:t>
      </w:r>
      <w:r w:rsidRPr="00487EF6">
        <w:rPr>
          <w:rFonts w:hint="cs"/>
          <w:rtl/>
        </w:rPr>
        <w:t>וכנגד</w:t>
      </w:r>
      <w:r w:rsidRPr="00487EF6">
        <w:rPr>
          <w:rtl/>
        </w:rPr>
        <w:t xml:space="preserve"> </w:t>
      </w:r>
      <w:r w:rsidRPr="00487EF6">
        <w:rPr>
          <w:rFonts w:hint="cs"/>
          <w:rtl/>
        </w:rPr>
        <w:t>העגלים</w:t>
      </w:r>
      <w:r w:rsidRPr="00487EF6">
        <w:rPr>
          <w:rtl/>
        </w:rPr>
        <w:t xml:space="preserve"> </w:t>
      </w:r>
      <w:r w:rsidRPr="00487EF6">
        <w:rPr>
          <w:rFonts w:hint="cs"/>
          <w:rtl/>
        </w:rPr>
        <w:t>עצמם</w:t>
      </w:r>
      <w:r w:rsidRPr="00487EF6">
        <w:rPr>
          <w:rtl/>
        </w:rPr>
        <w:t xml:space="preserve">, </w:t>
      </w:r>
      <w:r w:rsidRPr="00487EF6">
        <w:rPr>
          <w:rFonts w:hint="cs"/>
          <w:rtl/>
        </w:rPr>
        <w:t>ולא</w:t>
      </w:r>
      <w:r w:rsidRPr="00487EF6">
        <w:rPr>
          <w:rtl/>
        </w:rPr>
        <w:t xml:space="preserve"> </w:t>
      </w:r>
      <w:r w:rsidRPr="00487EF6">
        <w:rPr>
          <w:rFonts w:hint="cs"/>
          <w:rtl/>
        </w:rPr>
        <w:t>עוברים</w:t>
      </w:r>
      <w:r w:rsidRPr="00487EF6">
        <w:rPr>
          <w:rtl/>
        </w:rPr>
        <w:t xml:space="preserve"> </w:t>
      </w:r>
      <w:r w:rsidRPr="00487EF6">
        <w:rPr>
          <w:rFonts w:hint="cs"/>
          <w:rtl/>
        </w:rPr>
        <w:t>על</w:t>
      </w:r>
      <w:r w:rsidRPr="00487EF6">
        <w:rPr>
          <w:rtl/>
        </w:rPr>
        <w:t xml:space="preserve"> </w:t>
      </w:r>
      <w:r w:rsidRPr="00487EF6">
        <w:rPr>
          <w:rFonts w:hint="cs"/>
          <w:rtl/>
        </w:rPr>
        <w:t>כך</w:t>
      </w:r>
      <w:r w:rsidRPr="00487EF6">
        <w:rPr>
          <w:rtl/>
        </w:rPr>
        <w:t xml:space="preserve"> </w:t>
      </w:r>
      <w:r w:rsidRPr="00487EF6">
        <w:rPr>
          <w:rFonts w:hint="cs"/>
          <w:rtl/>
        </w:rPr>
        <w:t>בשתיקה</w:t>
      </w:r>
      <w:r w:rsidRPr="00487EF6">
        <w:rPr>
          <w:rtl/>
        </w:rPr>
        <w:t xml:space="preserve"> </w:t>
      </w:r>
      <w:r w:rsidRPr="00487EF6">
        <w:rPr>
          <w:rFonts w:hint="cs"/>
          <w:rtl/>
        </w:rPr>
        <w:t>גמורה</w:t>
      </w:r>
      <w:r w:rsidRPr="00487EF6">
        <w:rPr>
          <w:rtl/>
        </w:rPr>
        <w:t>.</w:t>
      </w:r>
      <w:r w:rsidRPr="00487EF6">
        <w:rPr>
          <w:rFonts w:hint="cs"/>
          <w:rtl/>
        </w:rPr>
        <w:t xml:space="preserve"> </w:t>
      </w:r>
    </w:p>
    <w:p w:rsidR="00414632" w:rsidRDefault="00414632" w:rsidP="00487EF6">
      <w:pPr>
        <w:rPr>
          <w:rtl/>
        </w:rPr>
      </w:pPr>
      <w:r w:rsidRPr="00487EF6">
        <w:rPr>
          <w:rFonts w:hint="cs"/>
          <w:rtl/>
        </w:rPr>
        <w:t xml:space="preserve">נראה </w:t>
      </w:r>
      <w:r w:rsidR="00487EF6">
        <w:rPr>
          <w:rFonts w:hint="cs"/>
          <w:rtl/>
        </w:rPr>
        <w:t xml:space="preserve">אפוא </w:t>
      </w:r>
      <w:r w:rsidRPr="00487EF6">
        <w:rPr>
          <w:rFonts w:hint="cs"/>
          <w:rtl/>
        </w:rPr>
        <w:t>כי הבחנה זו בין כוונת העושים את העגלים (אהרן, ירבעם) ובין כוונת המון העם, העובד את</w:t>
      </w:r>
      <w:r w:rsidRPr="00F6090B">
        <w:rPr>
          <w:rFonts w:hint="cs"/>
          <w:rtl/>
        </w:rPr>
        <w:t xml:space="preserve"> העגלים כאילו היו פסלי עבודה זרה</w:t>
      </w:r>
      <w:r w:rsidR="00487EF6">
        <w:rPr>
          <w:rFonts w:hint="cs"/>
          <w:rtl/>
        </w:rPr>
        <w:t xml:space="preserve"> אינה מהווה הסבר נאות לפסוקים שהבאנו בראש סעיף זה.</w:t>
      </w:r>
    </w:p>
    <w:p w:rsidR="00414632" w:rsidRDefault="00414632" w:rsidP="00487EF6">
      <w:pPr>
        <w:rPr>
          <w:rtl/>
        </w:rPr>
      </w:pPr>
      <w:r>
        <w:rPr>
          <w:rFonts w:hint="cs"/>
          <w:rtl/>
        </w:rPr>
        <w:t xml:space="preserve">נראה כי לפסוקים </w:t>
      </w:r>
      <w:r w:rsidR="00487EF6">
        <w:rPr>
          <w:rFonts w:hint="cs"/>
          <w:rtl/>
        </w:rPr>
        <w:t>הללו</w:t>
      </w:r>
      <w:r>
        <w:rPr>
          <w:rFonts w:hint="cs"/>
          <w:rtl/>
        </w:rPr>
        <w:t xml:space="preserve"> יש </w:t>
      </w:r>
      <w:r w:rsidR="00487EF6">
        <w:rPr>
          <w:rFonts w:hint="cs"/>
          <w:rtl/>
        </w:rPr>
        <w:t>הסבר אחר</w:t>
      </w:r>
      <w:r>
        <w:rPr>
          <w:rFonts w:hint="cs"/>
          <w:rtl/>
        </w:rPr>
        <w:t>: פעמים שהשיפוט המקראי של מעשים מסוימים אינו כפי מהותם 'האובייקטיבית' של מעשים אלו, אלא כפי הרושם המצטייר בעיני הרואה אותם, שאינו מודע להקשר המדויק שבו הם נעשים ולכוונת העושים, אלא מתרשם ממראה עיניו.</w:t>
      </w:r>
      <w:r>
        <w:rPr>
          <w:rStyle w:val="a9"/>
          <w:rtl/>
        </w:rPr>
        <w:footnoteReference w:id="8"/>
      </w:r>
    </w:p>
    <w:p w:rsidR="00414632" w:rsidRDefault="00487EF6" w:rsidP="00487EF6">
      <w:pPr>
        <w:rPr>
          <w:rtl/>
        </w:rPr>
      </w:pPr>
      <w:r>
        <w:rPr>
          <w:rFonts w:hint="cs"/>
          <w:rtl/>
        </w:rPr>
        <w:t>עתה יש לשוב אל ההבדלים שעמדנו עליהם בסעיף 4 בין הכרובים</w:t>
      </w:r>
      <w:r w:rsidR="00414632">
        <w:rPr>
          <w:rFonts w:hint="cs"/>
          <w:rtl/>
        </w:rPr>
        <w:t>, העומדים בסתר המקדש, לבין העגלים העומדים בפרהסיא, כשלפניהם מזבח שעליו מקריבים קרבנות. פולחן העגלים, נראה כלפי חוץ כפולחן אלילי: פסל של בעל חיים, המשמש אכן בתרבויות אחדות כפסלו של אליל; לפניו ניצב מזבח, שעליו מעלים קרבנות; ואנשים מכוונים את פניהם כלפיו תוך ביטויי הערצה (כגון השתחוויה, או אמירות כגון 'הִנֵּה אֱלֹהֶיךָ...').</w:t>
      </w:r>
    </w:p>
    <w:p w:rsidR="00414632" w:rsidRDefault="00414632" w:rsidP="00FE3E4A">
      <w:pPr>
        <w:rPr>
          <w:rtl/>
        </w:rPr>
      </w:pPr>
      <w:r>
        <w:rPr>
          <w:rFonts w:hint="cs"/>
          <w:rtl/>
        </w:rPr>
        <w:lastRenderedPageBreak/>
        <w:t>גסות הפולחן הזה ודמיונו כלפי חוץ לפולחן אלילי, מביאים לתיאורו בפי נביאים (ובשמות ל"ב בדברי ה' עצמו הנאמרים למשה) כמעשה של עבודה זרה, אף שכוונת העובדים אינה אלא לעבודת ה', והפסל אינו אלא סמל למרכבת ה' הבלתי נראֶה השוכן בתוכם.</w:t>
      </w:r>
    </w:p>
    <w:p w:rsidR="00414632" w:rsidRDefault="00414632" w:rsidP="00650543">
      <w:pPr>
        <w:rPr>
          <w:rtl/>
        </w:rPr>
      </w:pPr>
      <w:r>
        <w:rPr>
          <w:rFonts w:hint="cs"/>
          <w:rtl/>
        </w:rPr>
        <w:t>כחוט השערה הוא ההבדל בין סמל מקודש בקדושה עילאית</w:t>
      </w:r>
      <w:r w:rsidR="00487EF6">
        <w:rPr>
          <w:rFonts w:hint="cs"/>
          <w:rtl/>
        </w:rPr>
        <w:t xml:space="preserve"> ומוצנעת</w:t>
      </w:r>
      <w:r>
        <w:rPr>
          <w:rFonts w:hint="cs"/>
          <w:rtl/>
        </w:rPr>
        <w:t xml:space="preserve"> לנוכחות ה' </w:t>
      </w:r>
      <w:r>
        <w:rPr>
          <w:rtl/>
        </w:rPr>
        <w:t>–</w:t>
      </w:r>
      <w:r>
        <w:rPr>
          <w:rFonts w:hint="cs"/>
          <w:rtl/>
        </w:rPr>
        <w:t xml:space="preserve"> הארון והכרובים, לבין סמל </w:t>
      </w:r>
      <w:r w:rsidR="00487EF6">
        <w:rPr>
          <w:rFonts w:hint="cs"/>
          <w:rtl/>
        </w:rPr>
        <w:t>העגל, ה</w:t>
      </w:r>
      <w:r>
        <w:rPr>
          <w:rFonts w:hint="cs"/>
          <w:rtl/>
        </w:rPr>
        <w:t>נעשה בראש כל חוצות שלא בדבר ה', ועל כן זוכה לגינוי כעבודה זרה. וכדברי המכילתא בביאורה לפסוק "</w:t>
      </w:r>
      <w:r w:rsidRPr="00183580">
        <w:rPr>
          <w:rFonts w:hint="cs"/>
          <w:rtl/>
        </w:rPr>
        <w:t>לֹא תַעֲשׂוּן אִתִּי אֱלֹהֵי כֶסֶף</w:t>
      </w:r>
      <w:r>
        <w:rPr>
          <w:rFonts w:hint="cs"/>
          <w:rtl/>
        </w:rPr>
        <w:t>,</w:t>
      </w:r>
      <w:r w:rsidRPr="00183580">
        <w:rPr>
          <w:rFonts w:hint="cs"/>
          <w:rtl/>
        </w:rPr>
        <w:t xml:space="preserve"> וֵאלֹהֵי זָהָב לֹא תַעֲשׂוּ לָכֶם</w:t>
      </w:r>
      <w:r>
        <w:rPr>
          <w:rFonts w:hint="cs"/>
          <w:rtl/>
        </w:rPr>
        <w:t xml:space="preserve">" (שמות כ', יט)  </w:t>
      </w:r>
      <w:r>
        <w:rPr>
          <w:rtl/>
        </w:rPr>
        <w:t>–</w:t>
      </w:r>
      <w:r>
        <w:rPr>
          <w:rFonts w:hint="cs"/>
          <w:rtl/>
        </w:rPr>
        <w:t xml:space="preserve"> אף הכרובים, שמביניהם נשמע הקול המדבר אל משה והמעניק לישראל את המצוות, עשויים להפוך ל'</w:t>
      </w:r>
      <w:r w:rsidRPr="008D3566">
        <w:rPr>
          <w:rFonts w:hint="cs"/>
          <w:rtl/>
        </w:rPr>
        <w:t>אֱלֹהֵי כֶסֶף וֵאלֹהֵי זָהָב</w:t>
      </w:r>
      <w:r>
        <w:rPr>
          <w:rFonts w:hint="cs"/>
          <w:rtl/>
        </w:rPr>
        <w:t>' אם ההקשר שבו ייעשוּ לא יהא בהתאמה מדוקדקת להוראות ה' בתורתו</w:t>
      </w:r>
      <w:r w:rsidR="00650543">
        <w:rPr>
          <w:rFonts w:hint="cs"/>
          <w:rtl/>
        </w:rPr>
        <w:t>, אף אם ייעשו 'בבתי כנסיות ובתי מדרשות'</w:t>
      </w:r>
      <w:r>
        <w:rPr>
          <w:rFonts w:hint="cs"/>
          <w:rtl/>
        </w:rPr>
        <w:t xml:space="preserve">. כוונת האדם לשם ה' בעשייה </w:t>
      </w:r>
      <w:r w:rsidR="00487EF6">
        <w:rPr>
          <w:rFonts w:hint="cs"/>
          <w:rtl/>
        </w:rPr>
        <w:t xml:space="preserve">אסורה </w:t>
      </w:r>
      <w:r>
        <w:rPr>
          <w:rFonts w:hint="cs"/>
          <w:rtl/>
        </w:rPr>
        <w:t>זו, לא תציל את הכרובים מלהיות '</w:t>
      </w:r>
      <w:r w:rsidRPr="00402979">
        <w:rPr>
          <w:rFonts w:hint="cs"/>
          <w:rtl/>
        </w:rPr>
        <w:t>אֱלֹהֵי כֶסֶף וֵאלֹהֵי זָהָב</w:t>
      </w:r>
      <w:r>
        <w:rPr>
          <w:rFonts w:hint="cs"/>
          <w:rtl/>
        </w:rPr>
        <w:t xml:space="preserve">', אף שהאדם העושה זאת אינו עובד עבודה זרה באמת. </w:t>
      </w:r>
    </w:p>
    <w:p w:rsidR="00414632" w:rsidRDefault="00414632" w:rsidP="00650543">
      <w:pPr>
        <w:rPr>
          <w:rtl/>
        </w:rPr>
      </w:pPr>
      <w:r>
        <w:rPr>
          <w:rFonts w:hint="cs"/>
          <w:rtl/>
        </w:rPr>
        <w:t xml:space="preserve">ואם הכרובים </w:t>
      </w:r>
      <w:r w:rsidR="00650543">
        <w:rPr>
          <w:rFonts w:hint="cs"/>
          <w:rtl/>
        </w:rPr>
        <w:t>יכולים להיקרא '</w:t>
      </w:r>
      <w:r w:rsidR="00650543" w:rsidRPr="008D3566">
        <w:rPr>
          <w:rFonts w:hint="cs"/>
          <w:rtl/>
        </w:rPr>
        <w:t>א</w:t>
      </w:r>
      <w:r w:rsidR="00650543">
        <w:rPr>
          <w:rFonts w:hint="cs"/>
          <w:rtl/>
        </w:rPr>
        <w:t>ֱ</w:t>
      </w:r>
      <w:r w:rsidR="00650543" w:rsidRPr="008D3566">
        <w:rPr>
          <w:rFonts w:hint="cs"/>
          <w:rtl/>
        </w:rPr>
        <w:t>לֹהֵי זָהָב</w:t>
      </w:r>
      <w:r w:rsidR="00650543">
        <w:rPr>
          <w:rFonts w:hint="cs"/>
          <w:rtl/>
        </w:rPr>
        <w:t>'</w:t>
      </w:r>
      <w:r w:rsidR="00E937BB">
        <w:rPr>
          <w:rFonts w:hint="cs"/>
          <w:rtl/>
        </w:rPr>
        <w:t xml:space="preserve"> כשאינם במקומם בבית קודשי הקודשים</w:t>
      </w:r>
      <w:r>
        <w:rPr>
          <w:rFonts w:hint="cs"/>
          <w:rtl/>
        </w:rPr>
        <w:t xml:space="preserve">, </w:t>
      </w:r>
      <w:r w:rsidR="00650543">
        <w:rPr>
          <w:rFonts w:hint="cs"/>
          <w:rtl/>
        </w:rPr>
        <w:t>ע</w:t>
      </w:r>
      <w:r>
        <w:rPr>
          <w:rFonts w:hint="cs"/>
          <w:rtl/>
        </w:rPr>
        <w:t xml:space="preserve">ל אחת </w:t>
      </w:r>
      <w:r w:rsidR="00E937BB">
        <w:rPr>
          <w:rFonts w:hint="cs"/>
          <w:rtl/>
        </w:rPr>
        <w:t xml:space="preserve">כמה </w:t>
      </w:r>
      <w:r w:rsidR="00650543">
        <w:rPr>
          <w:rFonts w:hint="cs"/>
          <w:rtl/>
        </w:rPr>
        <w:t>ו</w:t>
      </w:r>
      <w:r>
        <w:rPr>
          <w:rFonts w:hint="cs"/>
          <w:rtl/>
        </w:rPr>
        <w:t>כמה ש</w:t>
      </w:r>
      <w:r w:rsidR="00650543">
        <w:rPr>
          <w:rFonts w:hint="cs"/>
          <w:rtl/>
        </w:rPr>
        <w:t>עגל הזהב</w:t>
      </w:r>
      <w:r>
        <w:rPr>
          <w:rFonts w:hint="cs"/>
          <w:rtl/>
        </w:rPr>
        <w:t xml:space="preserve"> יכול להיקרא</w:t>
      </w:r>
      <w:r w:rsidRPr="00402979">
        <w:rPr>
          <w:rFonts w:hint="cs"/>
          <w:rtl/>
        </w:rPr>
        <w:t xml:space="preserve"> </w:t>
      </w:r>
      <w:r w:rsidR="00650543">
        <w:rPr>
          <w:rFonts w:hint="cs"/>
          <w:rtl/>
        </w:rPr>
        <w:t>כך (שמות ל"ב, לא)</w:t>
      </w:r>
      <w:r>
        <w:rPr>
          <w:rFonts w:hint="cs"/>
          <w:rtl/>
        </w:rPr>
        <w:t xml:space="preserve">. </w:t>
      </w:r>
    </w:p>
    <w:p w:rsidR="00414632" w:rsidRDefault="00414632" w:rsidP="00414632">
      <w:pPr>
        <w:rPr>
          <w:rtl/>
        </w:rPr>
      </w:pPr>
    </w:p>
    <w:p w:rsidR="00414632" w:rsidRDefault="00414632">
      <w:pPr>
        <w:bidi w:val="0"/>
        <w:spacing w:after="200" w:line="276" w:lineRule="auto"/>
        <w:ind w:firstLine="0"/>
        <w:jc w:val="left"/>
        <w:rPr>
          <w:rFonts w:asciiTheme="minorHAnsi" w:eastAsiaTheme="minorEastAsia" w:hAnsiTheme="minorHAnsi" w:cstheme="minorBidi"/>
          <w:rtl/>
        </w:rPr>
      </w:pPr>
    </w:p>
    <w:tbl>
      <w:tblPr>
        <w:tblW w:w="0" w:type="auto"/>
        <w:tblInd w:w="2539" w:type="dxa"/>
        <w:tblLayout w:type="fixed"/>
        <w:tblLook w:val="0000" w:firstRow="0" w:lastRow="0" w:firstColumn="0" w:lastColumn="0" w:noHBand="0" w:noVBand="0"/>
      </w:tblPr>
      <w:tblGrid>
        <w:gridCol w:w="284"/>
        <w:gridCol w:w="4111"/>
        <w:gridCol w:w="283"/>
      </w:tblGrid>
      <w:tr w:rsidR="001E1589" w:rsidRPr="0072464C" w:rsidTr="00CF6D8B">
        <w:tc>
          <w:tcPr>
            <w:tcW w:w="284" w:type="dxa"/>
            <w:tcBorders>
              <w:top w:val="nil"/>
              <w:left w:val="nil"/>
              <w:bottom w:val="nil"/>
              <w:right w:val="nil"/>
            </w:tcBorders>
          </w:tcPr>
          <w:p w:rsidR="001E1589" w:rsidRPr="0072464C" w:rsidRDefault="001E1589" w:rsidP="00CF6D8B">
            <w:pPr>
              <w:tabs>
                <w:tab w:val="right" w:pos="3895"/>
              </w:tabs>
              <w:autoSpaceDE w:val="0"/>
              <w:autoSpaceDN w:val="0"/>
              <w:spacing w:after="0" w:line="288" w:lineRule="auto"/>
              <w:ind w:firstLine="0"/>
              <w:jc w:val="center"/>
              <w:rPr>
                <w:rFonts w:ascii="Arial" w:eastAsia="Times New Roman" w:hAnsi="Arial" w:cs="Narkisim"/>
                <w:b/>
                <w:bCs/>
                <w:sz w:val="16"/>
                <w:szCs w:val="16"/>
              </w:rPr>
            </w:pPr>
            <w:r w:rsidRPr="0072464C">
              <w:rPr>
                <w:rFonts w:ascii="Arial" w:eastAsia="Times New Roman" w:hAnsi="Arial" w:cs="Narkisim"/>
                <w:b/>
                <w:bCs/>
                <w:sz w:val="16"/>
                <w:szCs w:val="16"/>
                <w:rtl/>
              </w:rPr>
              <w:t>*</w:t>
            </w:r>
          </w:p>
        </w:tc>
        <w:tc>
          <w:tcPr>
            <w:tcW w:w="4111" w:type="dxa"/>
            <w:tcBorders>
              <w:top w:val="nil"/>
              <w:left w:val="nil"/>
              <w:bottom w:val="nil"/>
              <w:right w:val="nil"/>
            </w:tcBorders>
          </w:tcPr>
          <w:p w:rsidR="001E1589" w:rsidRPr="0072464C" w:rsidRDefault="001E1589" w:rsidP="00CF6D8B">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w:t>
            </w:r>
          </w:p>
        </w:tc>
        <w:tc>
          <w:tcPr>
            <w:tcW w:w="283" w:type="dxa"/>
            <w:tcBorders>
              <w:top w:val="nil"/>
              <w:left w:val="nil"/>
              <w:bottom w:val="nil"/>
              <w:right w:val="nil"/>
            </w:tcBorders>
          </w:tcPr>
          <w:p w:rsidR="001E1589" w:rsidRPr="0072464C" w:rsidRDefault="001E1589" w:rsidP="00CF6D8B">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w:t>
            </w:r>
          </w:p>
        </w:tc>
      </w:tr>
      <w:tr w:rsidR="001E1589" w:rsidRPr="0072464C" w:rsidTr="00CF6D8B">
        <w:tc>
          <w:tcPr>
            <w:tcW w:w="284" w:type="dxa"/>
            <w:tcBorders>
              <w:top w:val="nil"/>
              <w:left w:val="nil"/>
              <w:bottom w:val="nil"/>
              <w:right w:val="nil"/>
            </w:tcBorders>
          </w:tcPr>
          <w:p w:rsidR="001E1589" w:rsidRPr="0072464C" w:rsidRDefault="001E1589" w:rsidP="00CF6D8B">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 xml:space="preserve">* * * * * * * * </w:t>
            </w:r>
          </w:p>
        </w:tc>
        <w:tc>
          <w:tcPr>
            <w:tcW w:w="4111" w:type="dxa"/>
            <w:tcBorders>
              <w:top w:val="nil"/>
              <w:left w:val="nil"/>
              <w:bottom w:val="nil"/>
              <w:right w:val="nil"/>
            </w:tcBorders>
          </w:tcPr>
          <w:p w:rsidR="001E1589" w:rsidRPr="0072464C" w:rsidRDefault="001E1589" w:rsidP="00CF6D8B">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כל הזכויות שמורות לישיבת הר עציון ולרב אלחנן סמט, תש</w:t>
            </w:r>
            <w:r>
              <w:rPr>
                <w:rFonts w:ascii="Arial" w:eastAsia="Times New Roman" w:hAnsi="Arial" w:cs="Narkisim" w:hint="cs"/>
                <w:b/>
                <w:bCs/>
                <w:sz w:val="16"/>
                <w:szCs w:val="16"/>
                <w:rtl/>
              </w:rPr>
              <w:t>ע"ד</w:t>
            </w:r>
          </w:p>
          <w:p w:rsidR="001E1589" w:rsidRPr="0072464C" w:rsidRDefault="001E1589" w:rsidP="00CF6D8B">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 xml:space="preserve">עורכת: </w:t>
            </w:r>
            <w:r w:rsidRPr="0072464C">
              <w:rPr>
                <w:rFonts w:ascii="Arial" w:eastAsia="Times New Roman" w:hAnsi="Arial" w:cs="Narkisim" w:hint="cs"/>
                <w:b/>
                <w:bCs/>
                <w:sz w:val="16"/>
                <w:szCs w:val="16"/>
                <w:rtl/>
              </w:rPr>
              <w:t xml:space="preserve">נחמה בן אדרת  </w:t>
            </w:r>
          </w:p>
          <w:p w:rsidR="001E1589" w:rsidRPr="0072464C" w:rsidRDefault="001E1589" w:rsidP="00CF6D8B">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w:t>
            </w:r>
          </w:p>
          <w:p w:rsidR="001E1589" w:rsidRPr="0072464C" w:rsidRDefault="001E1589" w:rsidP="00CF6D8B">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בית המדרש הוירטואלי שליד ישיבת הר עציון</w:t>
            </w:r>
          </w:p>
          <w:p w:rsidR="001E1589" w:rsidRPr="0072464C" w:rsidRDefault="001E1589" w:rsidP="00CF6D8B">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האתר בעברית:</w:t>
            </w:r>
            <w:r w:rsidRPr="0072464C">
              <w:rPr>
                <w:rFonts w:ascii="Arial" w:eastAsia="Times New Roman" w:hAnsi="Arial" w:cs="Narkisim"/>
                <w:b/>
                <w:bCs/>
                <w:sz w:val="16"/>
                <w:szCs w:val="16"/>
                <w:rtl/>
              </w:rPr>
              <w:tab/>
            </w:r>
            <w:hyperlink r:id="rId9" w:history="1">
              <w:r w:rsidRPr="0072464C">
                <w:rPr>
                  <w:rFonts w:ascii="Arial" w:eastAsia="Times New Roman" w:hAnsi="Arial" w:cs="Narkisim"/>
                  <w:b/>
                  <w:bCs/>
                  <w:color w:val="0000FF"/>
                  <w:sz w:val="16"/>
                  <w:szCs w:val="16"/>
                  <w:u w:val="single"/>
                  <w:lang w:val="x-none" w:eastAsia="x-none"/>
                </w:rPr>
                <w:t>http://www.etzion.org.il/vbm</w:t>
              </w:r>
            </w:hyperlink>
          </w:p>
          <w:p w:rsidR="001E1589" w:rsidRPr="0072464C" w:rsidRDefault="001E1589" w:rsidP="00CF6D8B">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האתר באנגלית:</w:t>
            </w:r>
            <w:r w:rsidRPr="0072464C">
              <w:rPr>
                <w:rFonts w:ascii="Arial" w:eastAsia="Times New Roman" w:hAnsi="Arial" w:cs="Narkisim"/>
                <w:b/>
                <w:bCs/>
                <w:sz w:val="16"/>
                <w:szCs w:val="16"/>
                <w:rtl/>
              </w:rPr>
              <w:tab/>
            </w:r>
            <w:hyperlink r:id="rId10" w:history="1">
              <w:r w:rsidRPr="0072464C">
                <w:rPr>
                  <w:rFonts w:ascii="Arial" w:eastAsia="Times New Roman" w:hAnsi="Arial" w:cs="Narkisim"/>
                  <w:b/>
                  <w:bCs/>
                  <w:color w:val="0000FF"/>
                  <w:sz w:val="16"/>
                  <w:szCs w:val="16"/>
                  <w:u w:val="single"/>
                  <w:lang w:val="x-none" w:eastAsia="x-none"/>
                </w:rPr>
                <w:t>http://www.vbm-torah.org</w:t>
              </w:r>
            </w:hyperlink>
          </w:p>
          <w:p w:rsidR="001E1589" w:rsidRPr="0072464C" w:rsidRDefault="001E1589" w:rsidP="00CF6D8B">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משרדי בית המדרש הוירטואלי: 02-</w:t>
            </w:r>
            <w:r>
              <w:rPr>
                <w:rFonts w:ascii="Arial" w:eastAsia="Times New Roman" w:hAnsi="Arial" w:cs="Narkisim" w:hint="cs"/>
                <w:b/>
                <w:bCs/>
                <w:sz w:val="16"/>
                <w:szCs w:val="16"/>
                <w:rtl/>
              </w:rPr>
              <w:t>9937300</w:t>
            </w:r>
            <w:r w:rsidRPr="0072464C">
              <w:rPr>
                <w:rFonts w:ascii="Arial" w:eastAsia="Times New Roman" w:hAnsi="Arial" w:cs="Narkisim"/>
                <w:b/>
                <w:bCs/>
                <w:sz w:val="16"/>
                <w:szCs w:val="16"/>
                <w:rtl/>
              </w:rPr>
              <w:t xml:space="preserve"> שלוחה 5 </w:t>
            </w:r>
          </w:p>
          <w:p w:rsidR="001E1589" w:rsidRPr="0072464C" w:rsidRDefault="001E1589" w:rsidP="00CF6D8B">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דוא</w:t>
            </w:r>
            <w:r w:rsidRPr="0072464C">
              <w:rPr>
                <w:rFonts w:ascii="Arial" w:eastAsia="Times New Roman" w:hAnsi="Arial" w:cs="Narkisim" w:hint="cs"/>
                <w:b/>
                <w:bCs/>
                <w:sz w:val="16"/>
                <w:szCs w:val="16"/>
                <w:rtl/>
              </w:rPr>
              <w:t>"</w:t>
            </w:r>
            <w:r w:rsidRPr="0072464C">
              <w:rPr>
                <w:rFonts w:ascii="Arial" w:eastAsia="Times New Roman" w:hAnsi="Arial" w:cs="Narkisim"/>
                <w:b/>
                <w:bCs/>
                <w:sz w:val="16"/>
                <w:szCs w:val="16"/>
                <w:rtl/>
              </w:rPr>
              <w:t xml:space="preserve">ל: </w:t>
            </w:r>
            <w:hyperlink r:id="rId11" w:history="1">
              <w:r w:rsidRPr="0072464C">
                <w:rPr>
                  <w:rFonts w:ascii="Arial" w:eastAsia="Times New Roman" w:hAnsi="Arial" w:cs="Narkisim"/>
                  <w:b/>
                  <w:bCs/>
                  <w:color w:val="0000FF"/>
                  <w:sz w:val="16"/>
                  <w:szCs w:val="16"/>
                  <w:u w:val="single"/>
                  <w:lang w:val="x-none" w:eastAsia="x-none"/>
                </w:rPr>
                <w:t>office@etzion.org.il</w:t>
              </w:r>
            </w:hyperlink>
          </w:p>
        </w:tc>
        <w:tc>
          <w:tcPr>
            <w:tcW w:w="283" w:type="dxa"/>
            <w:tcBorders>
              <w:top w:val="nil"/>
              <w:left w:val="nil"/>
              <w:bottom w:val="nil"/>
              <w:right w:val="nil"/>
            </w:tcBorders>
          </w:tcPr>
          <w:p w:rsidR="001E1589" w:rsidRPr="0072464C" w:rsidRDefault="001E1589" w:rsidP="00CF6D8B">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 xml:space="preserve">* * * * * * * * </w:t>
            </w:r>
          </w:p>
        </w:tc>
      </w:tr>
      <w:tr w:rsidR="001E1589" w:rsidRPr="0072464C" w:rsidTr="00CF6D8B">
        <w:trPr>
          <w:trHeight w:val="171"/>
        </w:trPr>
        <w:tc>
          <w:tcPr>
            <w:tcW w:w="284" w:type="dxa"/>
            <w:tcBorders>
              <w:top w:val="nil"/>
              <w:left w:val="nil"/>
              <w:bottom w:val="nil"/>
              <w:right w:val="nil"/>
            </w:tcBorders>
          </w:tcPr>
          <w:p w:rsidR="001E1589" w:rsidRPr="0072464C" w:rsidRDefault="001E1589" w:rsidP="00CF6D8B">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w:t>
            </w:r>
          </w:p>
        </w:tc>
        <w:tc>
          <w:tcPr>
            <w:tcW w:w="4111" w:type="dxa"/>
            <w:tcBorders>
              <w:top w:val="nil"/>
              <w:left w:val="nil"/>
              <w:bottom w:val="nil"/>
              <w:right w:val="nil"/>
            </w:tcBorders>
          </w:tcPr>
          <w:p w:rsidR="001E1589" w:rsidRPr="0072464C" w:rsidRDefault="001E1589" w:rsidP="00CF6D8B">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w:t>
            </w:r>
          </w:p>
        </w:tc>
        <w:tc>
          <w:tcPr>
            <w:tcW w:w="283" w:type="dxa"/>
            <w:tcBorders>
              <w:top w:val="nil"/>
              <w:left w:val="nil"/>
              <w:bottom w:val="nil"/>
              <w:right w:val="nil"/>
            </w:tcBorders>
          </w:tcPr>
          <w:p w:rsidR="001E1589" w:rsidRPr="0072464C" w:rsidRDefault="001E1589" w:rsidP="00CF6D8B">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w:t>
            </w:r>
          </w:p>
        </w:tc>
      </w:tr>
    </w:tbl>
    <w:p w:rsidR="001E1589" w:rsidRDefault="001E1589" w:rsidP="001E1589">
      <w:pPr>
        <w:bidi w:val="0"/>
        <w:spacing w:after="200" w:line="276" w:lineRule="auto"/>
        <w:ind w:firstLine="0"/>
        <w:jc w:val="left"/>
        <w:rPr>
          <w:rFonts w:asciiTheme="minorHAnsi" w:eastAsiaTheme="minorEastAsia" w:hAnsiTheme="minorHAnsi" w:cstheme="minorBidi"/>
        </w:rPr>
      </w:pPr>
    </w:p>
    <w:sectPr w:rsidR="001E1589" w:rsidSect="005521DE">
      <w:headerReference w:type="default" r:id="rId12"/>
      <w:headerReference w:type="first" r:id="rId13"/>
      <w:type w:val="continuous"/>
      <w:pgSz w:w="11906" w:h="16838"/>
      <w:pgMar w:top="1440" w:right="1080" w:bottom="1440" w:left="108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873" w:rsidRDefault="00612873" w:rsidP="0072464C">
      <w:r>
        <w:separator/>
      </w:r>
    </w:p>
  </w:endnote>
  <w:endnote w:type="continuationSeparator" w:id="0">
    <w:p w:rsidR="00612873" w:rsidRDefault="00612873" w:rsidP="00724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873" w:rsidRDefault="00612873" w:rsidP="0072464C">
      <w:r>
        <w:separator/>
      </w:r>
    </w:p>
  </w:footnote>
  <w:footnote w:type="continuationSeparator" w:id="0">
    <w:p w:rsidR="00612873" w:rsidRDefault="00612873" w:rsidP="0072464C">
      <w:r>
        <w:continuationSeparator/>
      </w:r>
    </w:p>
  </w:footnote>
  <w:footnote w:id="1">
    <w:p w:rsidR="003320B1" w:rsidRDefault="003320B1" w:rsidP="00DB5719">
      <w:pPr>
        <w:pStyle w:val="a7"/>
      </w:pPr>
      <w:r>
        <w:rPr>
          <w:rStyle w:val="a9"/>
        </w:rPr>
        <w:footnoteRef/>
      </w:r>
      <w:r>
        <w:rPr>
          <w:rtl/>
        </w:rPr>
        <w:t xml:space="preserve"> </w:t>
      </w:r>
      <w:r>
        <w:rPr>
          <w:rFonts w:hint="cs"/>
          <w:rtl/>
        </w:rPr>
        <w:t>מכילתא דרבי ישמעאל, מסכתא דבחדש פרשה י, מהדורת הורוויץ-רבין עמוד 241.</w:t>
      </w:r>
    </w:p>
  </w:footnote>
  <w:footnote w:id="2">
    <w:p w:rsidR="003320B1" w:rsidRDefault="003320B1" w:rsidP="00F6090B">
      <w:pPr>
        <w:pStyle w:val="a7"/>
      </w:pPr>
      <w:r>
        <w:rPr>
          <w:rStyle w:val="a9"/>
        </w:rPr>
        <w:footnoteRef/>
      </w:r>
      <w:r>
        <w:rPr>
          <w:rtl/>
        </w:rPr>
        <w:t xml:space="preserve"> </w:t>
      </w:r>
      <w:r>
        <w:rPr>
          <w:rFonts w:hint="cs"/>
          <w:rtl/>
        </w:rPr>
        <w:t xml:space="preserve">ראה </w:t>
      </w:r>
      <w:r w:rsidR="00F6090B">
        <w:rPr>
          <w:rFonts w:hint="cs"/>
          <w:rtl/>
        </w:rPr>
        <w:t xml:space="preserve">סעיף 3 </w:t>
      </w:r>
      <w:r>
        <w:rPr>
          <w:rFonts w:hint="cs"/>
          <w:rtl/>
        </w:rPr>
        <w:t xml:space="preserve">הערה </w:t>
      </w:r>
      <w:r w:rsidR="00F6090B">
        <w:rPr>
          <w:rFonts w:hint="cs"/>
          <w:rtl/>
        </w:rPr>
        <w:t>22</w:t>
      </w:r>
      <w:r>
        <w:rPr>
          <w:rFonts w:hint="cs"/>
          <w:rtl/>
        </w:rPr>
        <w:t xml:space="preserve">. זהו המשך הציטוט שהבאנו </w:t>
      </w:r>
      <w:r w:rsidR="00F6090B">
        <w:rPr>
          <w:rFonts w:hint="cs"/>
          <w:rtl/>
        </w:rPr>
        <w:t xml:space="preserve">שם </w:t>
      </w:r>
      <w:r>
        <w:rPr>
          <w:rFonts w:hint="cs"/>
          <w:rtl/>
        </w:rPr>
        <w:t xml:space="preserve">מדבריו. </w:t>
      </w:r>
    </w:p>
  </w:footnote>
  <w:footnote w:id="3">
    <w:p w:rsidR="003320B1" w:rsidRDefault="003320B1" w:rsidP="00B67EEE">
      <w:pPr>
        <w:pStyle w:val="a7"/>
        <w:rPr>
          <w:rtl/>
        </w:rPr>
      </w:pPr>
      <w:r>
        <w:rPr>
          <w:rStyle w:val="a9"/>
        </w:rPr>
        <w:footnoteRef/>
      </w:r>
      <w:r>
        <w:rPr>
          <w:rtl/>
        </w:rPr>
        <w:t xml:space="preserve"> </w:t>
      </w:r>
      <w:r>
        <w:rPr>
          <w:rFonts w:hint="cs"/>
          <w:rtl/>
        </w:rPr>
        <w:t xml:space="preserve">ואכן, לדעת קאסוטו "אף על פי שלא התכוון אהרן אלא להמציא לעם מעין סמל מוחשי, מעין </w:t>
      </w:r>
      <w:r w:rsidR="00F6090B">
        <w:rPr>
          <w:rFonts w:hint="cs"/>
          <w:rtl/>
        </w:rPr>
        <w:t xml:space="preserve">כיסא </w:t>
      </w:r>
      <w:r>
        <w:rPr>
          <w:rFonts w:hint="cs"/>
          <w:rtl/>
        </w:rPr>
        <w:t xml:space="preserve">ריק כאמור, טעה העם אחרי התמונה המוחשית, והתייחס אליה כאל א-לוהות ממש...הם ראו בעגל סמל של ה'..." </w:t>
      </w:r>
      <w:r>
        <w:rPr>
          <w:rtl/>
        </w:rPr>
        <w:t>–</w:t>
      </w:r>
      <w:r>
        <w:rPr>
          <w:rFonts w:hint="cs"/>
          <w:rtl/>
        </w:rPr>
        <w:t xml:space="preserve"> פירושו לפסוק ד, עמוד 288.</w:t>
      </w:r>
    </w:p>
    <w:p w:rsidR="003320B1" w:rsidRDefault="003320B1" w:rsidP="00FE3E4A">
      <w:pPr>
        <w:pStyle w:val="a7"/>
        <w:rPr>
          <w:rtl/>
        </w:rPr>
      </w:pPr>
      <w:r>
        <w:rPr>
          <w:rFonts w:hint="cs"/>
          <w:rtl/>
        </w:rPr>
        <w:t xml:space="preserve">אולברייט (ראה </w:t>
      </w:r>
      <w:r w:rsidR="00F6090B">
        <w:rPr>
          <w:rFonts w:hint="cs"/>
          <w:rtl/>
        </w:rPr>
        <w:t xml:space="preserve">סעיף 3 </w:t>
      </w:r>
      <w:r>
        <w:rPr>
          <w:rFonts w:hint="cs"/>
          <w:rtl/>
        </w:rPr>
        <w:t xml:space="preserve">הערה </w:t>
      </w:r>
      <w:r w:rsidR="00F6090B">
        <w:rPr>
          <w:rFonts w:hint="cs"/>
          <w:rtl/>
        </w:rPr>
        <w:t>20</w:t>
      </w:r>
      <w:r>
        <w:rPr>
          <w:rFonts w:hint="cs"/>
          <w:rtl/>
        </w:rPr>
        <w:t>) דן בסכנה של עגלי ירבעם:</w:t>
      </w:r>
    </w:p>
    <w:p w:rsidR="003320B1" w:rsidRDefault="003320B1" w:rsidP="00B67EEE">
      <w:pPr>
        <w:pStyle w:val="a7"/>
        <w:ind w:left="720"/>
      </w:pPr>
      <w:r>
        <w:rPr>
          <w:rFonts w:hint="cs"/>
          <w:rtl/>
        </w:rPr>
        <w:t xml:space="preserve">אין הדבר צריך להיאמר שבתחייה זו </w:t>
      </w:r>
      <w:r w:rsidR="00F6090B">
        <w:rPr>
          <w:rFonts w:hint="cs"/>
          <w:rtl/>
        </w:rPr>
        <w:t>(</w:t>
      </w:r>
      <w:r w:rsidR="00F6090B">
        <w:rPr>
          <w:rFonts w:hint="eastAsia"/>
          <w:rtl/>
        </w:rPr>
        <w:t>–</w:t>
      </w:r>
      <w:r w:rsidR="00F6090B">
        <w:rPr>
          <w:rFonts w:hint="cs"/>
          <w:rtl/>
        </w:rPr>
        <w:t xml:space="preserve"> </w:t>
      </w:r>
      <w:r>
        <w:rPr>
          <w:rFonts w:hint="cs"/>
          <w:rtl/>
        </w:rPr>
        <w:t>שהחיה ירבעם את סמל העגל הקדום) הייתה כרוכה סכנה רבה, לאחר שהאסוציאציות של בעל, אדון השמים, עם הפר, היו קשורות קשר הדוק יותר מדי...</w:t>
      </w:r>
      <w:r w:rsidR="00F6090B">
        <w:rPr>
          <w:rFonts w:hint="cs"/>
          <w:rtl/>
        </w:rPr>
        <w:t xml:space="preserve"> </w:t>
      </w:r>
      <w:r>
        <w:rPr>
          <w:rFonts w:hint="cs"/>
          <w:rtl/>
        </w:rPr>
        <w:t>הכרובים...</w:t>
      </w:r>
      <w:r w:rsidR="00F6090B">
        <w:rPr>
          <w:rFonts w:hint="cs"/>
          <w:rtl/>
        </w:rPr>
        <w:t xml:space="preserve"> </w:t>
      </w:r>
      <w:r>
        <w:rPr>
          <w:rFonts w:hint="cs"/>
          <w:rtl/>
        </w:rPr>
        <w:t>היה בהם כדי להאדיר כבוד ה'...</w:t>
      </w:r>
      <w:r w:rsidR="00F6090B">
        <w:rPr>
          <w:rFonts w:hint="cs"/>
          <w:rtl/>
        </w:rPr>
        <w:t xml:space="preserve"> </w:t>
      </w:r>
      <w:r>
        <w:rPr>
          <w:rFonts w:hint="cs"/>
          <w:rtl/>
        </w:rPr>
        <w:t>ולעומת זאת עגלי בית אל ודן לא היה בהם אלא להשפיל עבודתו...</w:t>
      </w:r>
      <w:r w:rsidR="00F6090B">
        <w:rPr>
          <w:rFonts w:hint="cs"/>
          <w:rtl/>
        </w:rPr>
        <w:t xml:space="preserve"> </w:t>
      </w:r>
      <w:r>
        <w:rPr>
          <w:rFonts w:hint="cs"/>
          <w:rtl/>
        </w:rPr>
        <w:t>סכנה נשקפת לאמונת ה' הטהורה, להתחלל על ידי פרץ יסודות כנעניים לעבודת המקדש גם בדרום וגם בצפון.</w:t>
      </w:r>
    </w:p>
  </w:footnote>
  <w:footnote w:id="4">
    <w:p w:rsidR="00183580" w:rsidRPr="001B4BEF" w:rsidRDefault="00183580" w:rsidP="00722A5E">
      <w:pPr>
        <w:pStyle w:val="a7"/>
      </w:pPr>
      <w:r>
        <w:rPr>
          <w:rStyle w:val="a9"/>
        </w:rPr>
        <w:footnoteRef/>
      </w:r>
      <w:r>
        <w:rPr>
          <w:rtl/>
        </w:rPr>
        <w:t xml:space="preserve"> </w:t>
      </w:r>
      <w:r w:rsidR="001B4BEF">
        <w:rPr>
          <w:rFonts w:hint="cs"/>
          <w:rtl/>
        </w:rPr>
        <w:t>מאמר זה התפרסם לראשונה ב'ציון' שנה מ"א</w:t>
      </w:r>
      <w:r w:rsidR="00722A5E">
        <w:rPr>
          <w:rFonts w:hint="cs"/>
          <w:rtl/>
        </w:rPr>
        <w:t>.</w:t>
      </w:r>
      <w:r w:rsidR="001B4BEF">
        <w:rPr>
          <w:rFonts w:hint="cs"/>
          <w:rtl/>
        </w:rPr>
        <w:t xml:space="preserve"> חוברות ג</w:t>
      </w:r>
      <w:r w:rsidR="001B4BEF">
        <w:rPr>
          <w:rFonts w:hint="cs"/>
        </w:rPr>
        <w:sym w:font="Symbol" w:char="F02D"/>
      </w:r>
      <w:r w:rsidR="001B4BEF">
        <w:rPr>
          <w:rFonts w:hint="cs"/>
          <w:rtl/>
        </w:rPr>
        <w:t>ד עמודים 109</w:t>
      </w:r>
      <w:r w:rsidR="001B4BEF">
        <w:rPr>
          <w:rFonts w:hint="cs"/>
        </w:rPr>
        <w:sym w:font="Symbol" w:char="F02D"/>
      </w:r>
      <w:r w:rsidR="001B4BEF">
        <w:rPr>
          <w:rFonts w:hint="cs"/>
          <w:rtl/>
        </w:rPr>
        <w:t>126. המאמר התפרסם בשנית ב</w:t>
      </w:r>
      <w:r w:rsidR="00B31493">
        <w:rPr>
          <w:rFonts w:hint="cs"/>
          <w:rtl/>
        </w:rPr>
        <w:t>ספר</w:t>
      </w:r>
      <w:r w:rsidR="001B4BEF">
        <w:rPr>
          <w:rFonts w:hint="cs"/>
          <w:rtl/>
        </w:rPr>
        <w:t xml:space="preserve"> מאמרי</w:t>
      </w:r>
      <w:r w:rsidR="00722A5E">
        <w:rPr>
          <w:rFonts w:hint="cs"/>
          <w:rtl/>
        </w:rPr>
        <w:t>ו</w:t>
      </w:r>
      <w:r w:rsidR="001B4BEF">
        <w:rPr>
          <w:rFonts w:hint="cs"/>
          <w:rtl/>
        </w:rPr>
        <w:t xml:space="preserve"> של גרינץ 'מחקרים במקרא', ירושלים תשל"ט עמודים 127</w:t>
      </w:r>
      <w:r w:rsidR="001B4BEF">
        <w:rPr>
          <w:rFonts w:hint="cs"/>
        </w:rPr>
        <w:sym w:font="Symbol" w:char="F02D"/>
      </w:r>
      <w:r w:rsidR="001B4BEF">
        <w:rPr>
          <w:rFonts w:hint="cs"/>
          <w:rtl/>
        </w:rPr>
        <w:t>147, וההפניות למעלה יהיו לספר זה.</w:t>
      </w:r>
    </w:p>
  </w:footnote>
  <w:footnote w:id="5">
    <w:p w:rsidR="00722A5E" w:rsidRDefault="00722A5E">
      <w:pPr>
        <w:pStyle w:val="a7"/>
        <w:rPr>
          <w:rtl/>
        </w:rPr>
      </w:pPr>
      <w:r>
        <w:rPr>
          <w:rStyle w:val="a9"/>
        </w:rPr>
        <w:footnoteRef/>
      </w:r>
      <w:r>
        <w:rPr>
          <w:rtl/>
        </w:rPr>
        <w:t xml:space="preserve"> </w:t>
      </w:r>
      <w:r>
        <w:rPr>
          <w:rFonts w:hint="cs"/>
          <w:rtl/>
        </w:rPr>
        <w:t>ה"רפורמה" בדת היהודית במאה הי"ט ש</w:t>
      </w:r>
      <w:r w:rsidR="002E3EFC">
        <w:rPr>
          <w:rFonts w:hint="cs"/>
          <w:rtl/>
        </w:rPr>
        <w:t>נעשתה בגרמניה ובארצות מערב אירופה האחרות, אינה רפורמה דתית אופיינית, ומניעיה היו שונים מאלו של הרפורמציות הדתיות הידועות בהיסטוריה. כוונתה לא הייתה לשוב למקורות הקדומים של היהדות, אלא לשנותם ולבטלם במידה רבה, כדי להקל את התערות היהודים בחברה הנוצרית. מכאן האימוץ המאסיבי של מנהגי תפילה ואורחות חיים של בני הדת השלטת.</w:t>
      </w:r>
    </w:p>
    <w:p w:rsidR="002E3EFC" w:rsidRDefault="002E3EFC" w:rsidP="002E3EFC">
      <w:pPr>
        <w:pStyle w:val="a7"/>
        <w:rPr>
          <w:rtl/>
        </w:rPr>
      </w:pPr>
      <w:r>
        <w:rPr>
          <w:rFonts w:hint="cs"/>
          <w:rtl/>
        </w:rPr>
        <w:t>רפורמה דתית אופיינית הייתה הקראות שצמחה בארצות המזרח החל במאה השמינית. הקראות קראה לשיבה אל המקרא – המקור הקדום של עם ישראל, תוך דילוג על כל ההתפתחות המאוחרת למקרא – המשנה והתלמוד, אשר לטענתה שינו את היהדות ה"מקורית" וסילפו את דמותה. רפורמה כזאת אינה באה להקל על חיי המצטרפים אליה, אלא בדרך כלל היא מחמירה עמם, בתביעתה מהם לקיים את מצוות הדת כפשוטן.</w:t>
      </w:r>
    </w:p>
    <w:p w:rsidR="002E3EFC" w:rsidRDefault="002E3EFC" w:rsidP="002E3EFC">
      <w:pPr>
        <w:pStyle w:val="a7"/>
        <w:rPr>
          <w:rtl/>
        </w:rPr>
      </w:pPr>
      <w:r>
        <w:rPr>
          <w:rFonts w:hint="cs"/>
          <w:rtl/>
        </w:rPr>
        <w:t xml:space="preserve">אף הרפורמציה הנוצרית באירופה במאה ה-16 תבעה לשוב אל הנצרות המקורית, תוך נטישת ההתפתחות הממסדית המאוחרת שלה, כפי שהתגלמה בכנסייה הרומית הקתולית. </w:t>
      </w:r>
    </w:p>
  </w:footnote>
  <w:footnote w:id="6">
    <w:p w:rsidR="002E1A12" w:rsidRPr="001B4BEF" w:rsidRDefault="002E1A12" w:rsidP="001B4BEF">
      <w:pPr>
        <w:pStyle w:val="a7"/>
      </w:pPr>
      <w:r>
        <w:rPr>
          <w:rStyle w:val="a9"/>
        </w:rPr>
        <w:footnoteRef/>
      </w:r>
      <w:r>
        <w:rPr>
          <w:rtl/>
        </w:rPr>
        <w:t xml:space="preserve"> </w:t>
      </w:r>
      <w:r w:rsidR="001B4BEF">
        <w:rPr>
          <w:rFonts w:hint="cs"/>
          <w:rtl/>
        </w:rPr>
        <w:t>הציטוטים מן המאמר מכאן ואילך אינם כסדר הופעתם במאמר אלא הם מלוקטים בסדר שונה מעמודים 143</w:t>
      </w:r>
      <w:r w:rsidR="001B4BEF">
        <w:rPr>
          <w:rFonts w:hint="cs"/>
        </w:rPr>
        <w:sym w:font="Symbol" w:char="F02D"/>
      </w:r>
      <w:r w:rsidR="001B4BEF">
        <w:rPr>
          <w:rFonts w:hint="cs"/>
          <w:rtl/>
        </w:rPr>
        <w:t>147.</w:t>
      </w:r>
    </w:p>
  </w:footnote>
  <w:footnote w:id="7">
    <w:p w:rsidR="002E1A12" w:rsidRDefault="002E1A12">
      <w:pPr>
        <w:pStyle w:val="a7"/>
      </w:pPr>
      <w:r>
        <w:rPr>
          <w:rStyle w:val="a9"/>
        </w:rPr>
        <w:footnoteRef/>
      </w:r>
      <w:r>
        <w:rPr>
          <w:rtl/>
        </w:rPr>
        <w:t xml:space="preserve"> </w:t>
      </w:r>
      <w:r w:rsidR="001B4BEF">
        <w:rPr>
          <w:rFonts w:hint="cs"/>
          <w:rtl/>
        </w:rPr>
        <w:t xml:space="preserve">על ההבדל בין השם אביה לשם אביהוא כותב גרינץ (עמוד 144): "גם זה וגם זה נאמנים שניהם לתקופות שהם עומדים בהם. אביה הוא שם מורכב ב'הוויה': אבי-יה, ואילו אביהוא של התורה הוא צורה קדמונית השייכת ביסודה לימים שלפני מתן תורה, קודם שהחלו לצרף שמות פרטיים ברכיב של שם הוויה. בתורה כולה, פרט לשם יהושע...אין שום שם מצורף בהווייה". </w:t>
      </w:r>
    </w:p>
  </w:footnote>
  <w:footnote w:id="8">
    <w:p w:rsidR="00414632" w:rsidRDefault="00414632" w:rsidP="00B67EEE">
      <w:pPr>
        <w:pStyle w:val="a7"/>
        <w:rPr>
          <w:rtl/>
        </w:rPr>
      </w:pPr>
      <w:r>
        <w:rPr>
          <w:rStyle w:val="a9"/>
        </w:rPr>
        <w:footnoteRef/>
      </w:r>
      <w:r>
        <w:rPr>
          <w:rtl/>
        </w:rPr>
        <w:t xml:space="preserve"> </w:t>
      </w:r>
      <w:r>
        <w:rPr>
          <w:rFonts w:hint="cs"/>
          <w:rtl/>
        </w:rPr>
        <w:t>'השיפוט המקראי' שאנו מדברים עליו יכול להתבטא גם באופן התיאור של המקרא את המעשים וגם בדבר ה' המפורש ביחס לאותם המעשים: דבר ה' למשה על מעשי העם בעגל (שמות ל"ב, ז</w:t>
      </w:r>
      <w:r>
        <w:rPr>
          <w:rFonts w:hint="cs"/>
        </w:rPr>
        <w:sym w:font="Symbol" w:char="F02D"/>
      </w:r>
      <w:r>
        <w:rPr>
          <w:rFonts w:hint="cs"/>
          <w:rtl/>
        </w:rPr>
        <w:t>ח) או דברו של הנביא לאשת ירבעם על מעשי אישהּ (מל"ב י"ד, ט).</w:t>
      </w:r>
    </w:p>
    <w:p w:rsidR="00414632" w:rsidRDefault="00414632" w:rsidP="00F81F7A">
      <w:pPr>
        <w:pStyle w:val="a7"/>
        <w:rPr>
          <w:rtl/>
        </w:rPr>
      </w:pPr>
      <w:r>
        <w:rPr>
          <w:rFonts w:hint="cs"/>
          <w:rtl/>
        </w:rPr>
        <w:t xml:space="preserve">עיקרון דומה לאופן שבו המקרא שופט חטאים, העלינו בעיון הראשון בסדרה הראשונה 'חטאי שלמה </w:t>
      </w:r>
      <w:r>
        <w:rPr>
          <w:rtl/>
        </w:rPr>
        <w:t>–</w:t>
      </w:r>
      <w:r>
        <w:rPr>
          <w:rFonts w:hint="cs"/>
          <w:rtl/>
        </w:rPr>
        <w:t xml:space="preserve"> האם עבד שלמה עבודה זרה?'. שם כתבנו כי שיפוט של חטא</w:t>
      </w:r>
      <w:r w:rsidR="00F81F7A">
        <w:rPr>
          <w:rFonts w:hint="cs"/>
          <w:rtl/>
        </w:rPr>
        <w:t xml:space="preserve"> על פי הרושם החיצוני שהוא יוצר</w:t>
      </w:r>
      <w:r>
        <w:rPr>
          <w:rFonts w:hint="cs"/>
          <w:rtl/>
        </w:rPr>
        <w:t>, אופייני במקרא לחטאי מנהיגים וראשי עם, מפני שחטאיהם של הללו חורגים מעניינם הפרטי ומשפיעים על הציבור כולו, ועל כן הם נמדדים בדרך שבה נתפסים החטאים הללו בעיני הציבור (חילול ה</w:t>
      </w:r>
      <w:r w:rsidR="00F81F7A">
        <w:rPr>
          <w:rFonts w:hint="cs"/>
          <w:rtl/>
        </w:rPr>
        <w:t>שם</w:t>
      </w:r>
      <w:r>
        <w:rPr>
          <w:rFonts w:hint="cs"/>
          <w:rtl/>
        </w:rPr>
        <w:t>).</w:t>
      </w:r>
    </w:p>
    <w:p w:rsidR="00414632" w:rsidRPr="00660A24" w:rsidRDefault="00414632" w:rsidP="00F81F7A">
      <w:pPr>
        <w:pStyle w:val="a7"/>
      </w:pPr>
      <w:r>
        <w:rPr>
          <w:rFonts w:hint="cs"/>
          <w:rtl/>
        </w:rPr>
        <w:t xml:space="preserve">במקרה שלנו מדובר הן בחטאו של מלך (ירבעם), והן בחטא של העם, והסיבה לשיפוט המחמיר, המתחשב בצורתו החיצונית של החטא (ולא בכוונת הלב של החוטאים) </w:t>
      </w:r>
      <w:r w:rsidR="00F81F7A">
        <w:rPr>
          <w:rFonts w:hint="cs"/>
          <w:rtl/>
        </w:rPr>
        <w:t>היא הקרבה המהותית שקיימת</w:t>
      </w:r>
      <w:r>
        <w:rPr>
          <w:rFonts w:hint="cs"/>
          <w:rtl/>
        </w:rPr>
        <w:t xml:space="preserve"> </w:t>
      </w:r>
      <w:r w:rsidR="00F81F7A">
        <w:rPr>
          <w:rFonts w:hint="cs"/>
          <w:rtl/>
        </w:rPr>
        <w:t xml:space="preserve">מפני הדמיון החיצוני </w:t>
      </w:r>
      <w:r>
        <w:rPr>
          <w:rFonts w:hint="cs"/>
          <w:rtl/>
        </w:rPr>
        <w:t>בין פולחן העגל לבין פולחן עבודה זרה. ה</w:t>
      </w:r>
      <w:r w:rsidR="00F81F7A">
        <w:rPr>
          <w:rFonts w:hint="cs"/>
          <w:rtl/>
        </w:rPr>
        <w:t>מעבר מ</w:t>
      </w:r>
      <w:r>
        <w:rPr>
          <w:rFonts w:hint="cs"/>
          <w:rtl/>
        </w:rPr>
        <w:t>זה לזה אי</w:t>
      </w:r>
      <w:r w:rsidR="00F81F7A">
        <w:rPr>
          <w:rFonts w:hint="cs"/>
          <w:rtl/>
        </w:rPr>
        <w:t>נו</w:t>
      </w:r>
      <w:r>
        <w:rPr>
          <w:rFonts w:hint="cs"/>
          <w:rtl/>
        </w:rPr>
        <w:t xml:space="preserve"> </w:t>
      </w:r>
      <w:r w:rsidR="00F81F7A">
        <w:rPr>
          <w:rFonts w:hint="cs"/>
          <w:rtl/>
        </w:rPr>
        <w:t>תלוי במעשה</w:t>
      </w:r>
      <w:r>
        <w:rPr>
          <w:rFonts w:hint="cs"/>
          <w:rtl/>
        </w:rPr>
        <w:t>, אלא כוונת הלב בלבד</w:t>
      </w:r>
      <w:r w:rsidR="00F81F7A">
        <w:rPr>
          <w:rFonts w:hint="cs"/>
          <w:rtl/>
        </w:rPr>
        <w:t xml:space="preserve"> היא ה</w:t>
      </w:r>
      <w:r>
        <w:rPr>
          <w:rFonts w:hint="cs"/>
          <w:rtl/>
        </w:rPr>
        <w:t>מבדילה בין השניים.</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16210262"/>
      <w:docPartObj>
        <w:docPartGallery w:val="Page Numbers (Top of Page)"/>
        <w:docPartUnique/>
      </w:docPartObj>
    </w:sdtPr>
    <w:sdtEndPr>
      <w:rPr>
        <w:b/>
        <w:bCs/>
        <w:sz w:val="24"/>
        <w:szCs w:val="24"/>
        <w:cs/>
      </w:rPr>
    </w:sdtEndPr>
    <w:sdtContent>
      <w:p w:rsidR="00BC4313" w:rsidRPr="00BC4313" w:rsidRDefault="00BC4313">
        <w:pPr>
          <w:pStyle w:val="a3"/>
          <w:jc w:val="center"/>
          <w:rPr>
            <w:b/>
            <w:bCs/>
            <w:sz w:val="24"/>
            <w:szCs w:val="24"/>
            <w:rtl/>
            <w:cs/>
          </w:rPr>
        </w:pPr>
        <w:r w:rsidRPr="00BC4313">
          <w:rPr>
            <w:b/>
            <w:bCs/>
            <w:sz w:val="24"/>
            <w:szCs w:val="24"/>
          </w:rPr>
          <w:fldChar w:fldCharType="begin"/>
        </w:r>
        <w:r w:rsidRPr="00BC4313">
          <w:rPr>
            <w:b/>
            <w:bCs/>
            <w:sz w:val="24"/>
            <w:szCs w:val="24"/>
            <w:rtl/>
            <w:cs/>
          </w:rPr>
          <w:instrText>PAGE   \* MERGEFORMAT</w:instrText>
        </w:r>
        <w:r w:rsidRPr="00BC4313">
          <w:rPr>
            <w:b/>
            <w:bCs/>
            <w:sz w:val="24"/>
            <w:szCs w:val="24"/>
          </w:rPr>
          <w:fldChar w:fldCharType="separate"/>
        </w:r>
        <w:r w:rsidR="006B36E9" w:rsidRPr="006B36E9">
          <w:rPr>
            <w:b/>
            <w:bCs/>
            <w:noProof/>
            <w:sz w:val="24"/>
            <w:szCs w:val="24"/>
            <w:rtl/>
            <w:lang w:val="he-IL"/>
          </w:rPr>
          <w:t>6</w:t>
        </w:r>
        <w:r w:rsidRPr="00BC4313">
          <w:rPr>
            <w:b/>
            <w:bCs/>
            <w:sz w:val="24"/>
            <w:szCs w:val="24"/>
          </w:rPr>
          <w:fldChar w:fldCharType="end"/>
        </w:r>
      </w:p>
    </w:sdtContent>
  </w:sdt>
  <w:p w:rsidR="00BC4313" w:rsidRDefault="00BC431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horzAnchor="margin" w:tblpXSpec="center" w:tblpY="-456"/>
      <w:bidiVisual/>
      <w:tblW w:w="0" w:type="auto"/>
      <w:tblBorders>
        <w:bottom w:val="double" w:sz="4" w:space="0" w:color="auto"/>
      </w:tblBorders>
      <w:tblLayout w:type="fixed"/>
      <w:tblLook w:val="0000" w:firstRow="0" w:lastRow="0" w:firstColumn="0" w:lastColumn="0" w:noHBand="0" w:noVBand="0"/>
    </w:tblPr>
    <w:tblGrid>
      <w:gridCol w:w="4927"/>
      <w:gridCol w:w="4927"/>
    </w:tblGrid>
    <w:tr w:rsidR="00BC4313" w:rsidRPr="00BC4313" w:rsidTr="00DB5719">
      <w:tc>
        <w:tcPr>
          <w:tcW w:w="4927" w:type="dxa"/>
          <w:tcBorders>
            <w:top w:val="nil"/>
            <w:left w:val="nil"/>
            <w:bottom w:val="double" w:sz="4" w:space="0" w:color="auto"/>
            <w:right w:val="nil"/>
          </w:tcBorders>
        </w:tcPr>
        <w:p w:rsidR="00BC4313" w:rsidRPr="00BC4313" w:rsidRDefault="00BC4313"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בית המדרש הוירטואלי (</w:t>
          </w:r>
          <w:r w:rsidRPr="00BC4313">
            <w:rPr>
              <w:rFonts w:ascii="Times New Roman" w:eastAsia="Times New Roman" w:hAnsi="Times New Roman"/>
              <w:sz w:val="20"/>
            </w:rPr>
            <w:t>V.B.M</w:t>
          </w:r>
          <w:r w:rsidRPr="00BC4313">
            <w:rPr>
              <w:rFonts w:ascii="Times New Roman" w:eastAsia="Times New Roman" w:hAnsi="Times New Roman"/>
              <w:rtl/>
            </w:rPr>
            <w:t>) שליד ישיבת הר עציון</w:t>
          </w:r>
        </w:p>
        <w:p w:rsidR="00BC4313" w:rsidRPr="00BC4313" w:rsidRDefault="00BC4313"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 xml:space="preserve">שיעורים בתנ"ך – </w:t>
          </w:r>
          <w:r w:rsidRPr="00BC4313">
            <w:rPr>
              <w:rFonts w:ascii="Times New Roman" w:eastAsia="Times New Roman" w:hAnsi="Times New Roman" w:hint="cs"/>
              <w:rtl/>
            </w:rPr>
            <w:t>פרקי נביאים בספר מלכים</w:t>
          </w:r>
          <w:r w:rsidR="00105636">
            <w:rPr>
              <w:rFonts w:ascii="Times New Roman" w:eastAsia="Times New Roman" w:hAnsi="Times New Roman" w:hint="cs"/>
              <w:rtl/>
            </w:rPr>
            <w:t xml:space="preserve"> שיעור 18</w:t>
          </w:r>
        </w:p>
        <w:p w:rsidR="00BC4313" w:rsidRPr="00BC4313" w:rsidRDefault="00BC4313" w:rsidP="00BC4313">
          <w:pPr>
            <w:tabs>
              <w:tab w:val="center" w:pos="4818"/>
              <w:tab w:val="right" w:pos="8220"/>
            </w:tabs>
            <w:autoSpaceDE w:val="0"/>
            <w:autoSpaceDN w:val="0"/>
            <w:spacing w:after="0" w:line="240" w:lineRule="auto"/>
            <w:ind w:firstLine="0"/>
            <w:rPr>
              <w:rFonts w:ascii="Times New Roman" w:eastAsia="Times New Roman" w:hAnsi="Times New Roman"/>
            </w:rPr>
          </w:pPr>
          <w:r w:rsidRPr="00BC4313">
            <w:rPr>
              <w:rFonts w:ascii="Times New Roman" w:eastAsia="Times New Roman" w:hAnsi="Times New Roman"/>
              <w:rtl/>
            </w:rPr>
            <w:t>מאת הרב אלחנן סמט</w:t>
          </w:r>
        </w:p>
      </w:tc>
      <w:tc>
        <w:tcPr>
          <w:tcW w:w="4927" w:type="dxa"/>
          <w:tcBorders>
            <w:top w:val="nil"/>
            <w:left w:val="nil"/>
            <w:bottom w:val="double" w:sz="4" w:space="0" w:color="auto"/>
            <w:right w:val="nil"/>
          </w:tcBorders>
          <w:vAlign w:val="center"/>
        </w:tcPr>
        <w:p w:rsidR="00BC4313" w:rsidRPr="00BC4313" w:rsidRDefault="00BC4313" w:rsidP="00BC4313">
          <w:pPr>
            <w:tabs>
              <w:tab w:val="right" w:pos="8220"/>
            </w:tabs>
            <w:autoSpaceDE w:val="0"/>
            <w:autoSpaceDN w:val="0"/>
            <w:bidi w:val="0"/>
            <w:spacing w:after="0" w:line="240" w:lineRule="auto"/>
            <w:ind w:firstLine="0"/>
            <w:jc w:val="left"/>
            <w:rPr>
              <w:rFonts w:ascii="Times New Roman" w:eastAsia="Times New Roman" w:hAnsi="Times New Roman"/>
              <w:sz w:val="28"/>
              <w:szCs w:val="28"/>
            </w:rPr>
          </w:pPr>
          <w:r w:rsidRPr="00BC4313">
            <w:rPr>
              <w:rFonts w:ascii="Times New Roman" w:eastAsia="Times New Roman" w:hAnsi="Times New Roman"/>
              <w:b/>
              <w:bCs/>
              <w:sz w:val="28"/>
              <w:szCs w:val="28"/>
            </w:rPr>
            <w:t>http://www.etzion.org.il/vbm/</w:t>
          </w:r>
        </w:p>
      </w:tc>
    </w:tr>
  </w:tbl>
  <w:p w:rsidR="00BC4313" w:rsidRPr="00BC4313" w:rsidRDefault="00BC431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1125A"/>
    <w:multiLevelType w:val="hybridMultilevel"/>
    <w:tmpl w:val="6B4A8F52"/>
    <w:lvl w:ilvl="0" w:tplc="6286421A">
      <w:start w:val="1"/>
      <w:numFmt w:val="bullet"/>
      <w:lvlText w:val=""/>
      <w:lvlJc w:val="left"/>
      <w:pPr>
        <w:ind w:left="587" w:hanging="360"/>
      </w:pPr>
      <w:rPr>
        <w:rFonts w:ascii="Symbol" w:eastAsia="Calibri" w:hAnsi="Symbol" w:cs="David"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1">
    <w:nsid w:val="1C831110"/>
    <w:multiLevelType w:val="hybridMultilevel"/>
    <w:tmpl w:val="B0FE93FA"/>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B2A"/>
    <w:rsid w:val="00010E0F"/>
    <w:rsid w:val="00045A5C"/>
    <w:rsid w:val="00047F88"/>
    <w:rsid w:val="0006279B"/>
    <w:rsid w:val="00082CEB"/>
    <w:rsid w:val="000D42BD"/>
    <w:rsid w:val="001028F4"/>
    <w:rsid w:val="00105636"/>
    <w:rsid w:val="00183580"/>
    <w:rsid w:val="001B4BEF"/>
    <w:rsid w:val="001D3925"/>
    <w:rsid w:val="001E1589"/>
    <w:rsid w:val="00243FBE"/>
    <w:rsid w:val="002E1A12"/>
    <w:rsid w:val="002E3EFC"/>
    <w:rsid w:val="003320B1"/>
    <w:rsid w:val="00332F9F"/>
    <w:rsid w:val="0037672F"/>
    <w:rsid w:val="003C13C5"/>
    <w:rsid w:val="00401F7C"/>
    <w:rsid w:val="00402979"/>
    <w:rsid w:val="00414632"/>
    <w:rsid w:val="00430D18"/>
    <w:rsid w:val="00487EF6"/>
    <w:rsid w:val="00524FEE"/>
    <w:rsid w:val="005521DE"/>
    <w:rsid w:val="005E66E0"/>
    <w:rsid w:val="00612873"/>
    <w:rsid w:val="00617C47"/>
    <w:rsid w:val="00650543"/>
    <w:rsid w:val="00660A24"/>
    <w:rsid w:val="00663A7F"/>
    <w:rsid w:val="006B33A0"/>
    <w:rsid w:val="006B36E9"/>
    <w:rsid w:val="006D3B2A"/>
    <w:rsid w:val="00722A5E"/>
    <w:rsid w:val="0072464C"/>
    <w:rsid w:val="00771C02"/>
    <w:rsid w:val="00863A2F"/>
    <w:rsid w:val="00867348"/>
    <w:rsid w:val="0087166D"/>
    <w:rsid w:val="008D3566"/>
    <w:rsid w:val="009230CB"/>
    <w:rsid w:val="00981006"/>
    <w:rsid w:val="009B2FCC"/>
    <w:rsid w:val="00A11453"/>
    <w:rsid w:val="00A228B3"/>
    <w:rsid w:val="00A62951"/>
    <w:rsid w:val="00B26E02"/>
    <w:rsid w:val="00B31493"/>
    <w:rsid w:val="00B67EEE"/>
    <w:rsid w:val="00BC1D72"/>
    <w:rsid w:val="00BC4313"/>
    <w:rsid w:val="00BC6D96"/>
    <w:rsid w:val="00BC7648"/>
    <w:rsid w:val="00C27A0F"/>
    <w:rsid w:val="00C56858"/>
    <w:rsid w:val="00C86A4F"/>
    <w:rsid w:val="00C91DE7"/>
    <w:rsid w:val="00C9281D"/>
    <w:rsid w:val="00CB2C7E"/>
    <w:rsid w:val="00D07296"/>
    <w:rsid w:val="00D13394"/>
    <w:rsid w:val="00D76079"/>
    <w:rsid w:val="00DB4438"/>
    <w:rsid w:val="00DB5719"/>
    <w:rsid w:val="00DC0D80"/>
    <w:rsid w:val="00E01D0C"/>
    <w:rsid w:val="00E2606D"/>
    <w:rsid w:val="00E26A0C"/>
    <w:rsid w:val="00E30D3B"/>
    <w:rsid w:val="00E33380"/>
    <w:rsid w:val="00E555F4"/>
    <w:rsid w:val="00E803FB"/>
    <w:rsid w:val="00E937BB"/>
    <w:rsid w:val="00EB1645"/>
    <w:rsid w:val="00EC33B2"/>
    <w:rsid w:val="00EC3C79"/>
    <w:rsid w:val="00EE0C40"/>
    <w:rsid w:val="00F6090B"/>
    <w:rsid w:val="00F81F7A"/>
    <w:rsid w:val="00FC5F30"/>
    <w:rsid w:val="00FE3E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64C"/>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2464C"/>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2464C"/>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2464C"/>
    <w:pPr>
      <w:spacing w:before="120" w:after="120" w:line="360" w:lineRule="auto"/>
      <w:outlineLvl w:val="2"/>
    </w:pPr>
    <w:rPr>
      <w:b/>
      <w:bCs/>
    </w:rPr>
  </w:style>
  <w:style w:type="paragraph" w:styleId="4">
    <w:name w:val="heading 4"/>
    <w:basedOn w:val="a"/>
    <w:next w:val="a"/>
    <w:link w:val="40"/>
    <w:uiPriority w:val="9"/>
    <w:unhideWhenUsed/>
    <w:qFormat/>
    <w:rsid w:val="0072464C"/>
    <w:pPr>
      <w:spacing w:before="120" w:after="0" w:line="360" w:lineRule="auto"/>
      <w:ind w:firstLine="72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64C"/>
    <w:pPr>
      <w:tabs>
        <w:tab w:val="center" w:pos="4153"/>
        <w:tab w:val="right" w:pos="8306"/>
      </w:tabs>
      <w:spacing w:after="0" w:line="240" w:lineRule="auto"/>
    </w:pPr>
  </w:style>
  <w:style w:type="character" w:customStyle="1" w:styleId="a4">
    <w:name w:val="כותרת עליונה תו"/>
    <w:basedOn w:val="a0"/>
    <w:link w:val="a3"/>
    <w:uiPriority w:val="99"/>
    <w:rsid w:val="0072464C"/>
  </w:style>
  <w:style w:type="paragraph" w:styleId="a5">
    <w:name w:val="footer"/>
    <w:basedOn w:val="a"/>
    <w:link w:val="a6"/>
    <w:uiPriority w:val="99"/>
    <w:unhideWhenUsed/>
    <w:rsid w:val="0072464C"/>
    <w:pPr>
      <w:tabs>
        <w:tab w:val="center" w:pos="4153"/>
        <w:tab w:val="right" w:pos="8306"/>
      </w:tabs>
      <w:spacing w:after="0" w:line="240" w:lineRule="auto"/>
    </w:pPr>
  </w:style>
  <w:style w:type="character" w:customStyle="1" w:styleId="a6">
    <w:name w:val="כותרת תחתונה תו"/>
    <w:basedOn w:val="a0"/>
    <w:link w:val="a5"/>
    <w:uiPriority w:val="99"/>
    <w:rsid w:val="0072464C"/>
  </w:style>
  <w:style w:type="paragraph" w:styleId="a7">
    <w:name w:val="footnote text"/>
    <w:basedOn w:val="a"/>
    <w:link w:val="a8"/>
    <w:uiPriority w:val="99"/>
    <w:unhideWhenUsed/>
    <w:rsid w:val="0072464C"/>
    <w:pPr>
      <w:spacing w:after="40" w:line="300" w:lineRule="auto"/>
      <w:ind w:firstLine="0"/>
    </w:pPr>
    <w:rPr>
      <w:sz w:val="20"/>
      <w:szCs w:val="20"/>
    </w:rPr>
  </w:style>
  <w:style w:type="character" w:customStyle="1" w:styleId="a8">
    <w:name w:val="טקסט הערת שוליים תו"/>
    <w:basedOn w:val="a0"/>
    <w:link w:val="a7"/>
    <w:uiPriority w:val="99"/>
    <w:rsid w:val="0072464C"/>
    <w:rPr>
      <w:rFonts w:ascii="Calibri" w:eastAsia="Calibri" w:hAnsi="Calibri" w:cs="David"/>
      <w:sz w:val="20"/>
      <w:szCs w:val="20"/>
    </w:rPr>
  </w:style>
  <w:style w:type="character" w:styleId="a9">
    <w:name w:val="footnote reference"/>
    <w:basedOn w:val="a0"/>
    <w:uiPriority w:val="99"/>
    <w:semiHidden/>
    <w:unhideWhenUsed/>
    <w:rsid w:val="0072464C"/>
    <w:rPr>
      <w:vertAlign w:val="superscript"/>
    </w:rPr>
  </w:style>
  <w:style w:type="character" w:customStyle="1" w:styleId="10">
    <w:name w:val="כותרת 1 תו"/>
    <w:basedOn w:val="a0"/>
    <w:link w:val="1"/>
    <w:uiPriority w:val="9"/>
    <w:rsid w:val="0072464C"/>
    <w:rPr>
      <w:rFonts w:ascii="Calibri" w:eastAsia="Calibri" w:hAnsi="Calibri" w:cs="David"/>
      <w:b/>
      <w:bCs/>
      <w:sz w:val="36"/>
      <w:szCs w:val="36"/>
    </w:rPr>
  </w:style>
  <w:style w:type="character" w:customStyle="1" w:styleId="20">
    <w:name w:val="כותרת 2 תו"/>
    <w:basedOn w:val="a0"/>
    <w:link w:val="2"/>
    <w:uiPriority w:val="9"/>
    <w:rsid w:val="0072464C"/>
    <w:rPr>
      <w:rFonts w:ascii="Calibri" w:eastAsia="Calibri" w:hAnsi="Calibri" w:cs="David"/>
      <w:b/>
      <w:bCs/>
      <w:sz w:val="28"/>
      <w:szCs w:val="28"/>
    </w:rPr>
  </w:style>
  <w:style w:type="character" w:customStyle="1" w:styleId="30">
    <w:name w:val="כותרת 3 תו"/>
    <w:basedOn w:val="a0"/>
    <w:link w:val="3"/>
    <w:uiPriority w:val="9"/>
    <w:rsid w:val="0072464C"/>
    <w:rPr>
      <w:rFonts w:ascii="Calibri" w:eastAsia="Calibri" w:hAnsi="Calibri" w:cs="David"/>
      <w:b/>
      <w:bCs/>
    </w:rPr>
  </w:style>
  <w:style w:type="character" w:customStyle="1" w:styleId="40">
    <w:name w:val="כותרת 4 תו"/>
    <w:basedOn w:val="a0"/>
    <w:link w:val="4"/>
    <w:uiPriority w:val="9"/>
    <w:rsid w:val="0072464C"/>
    <w:rPr>
      <w:rFonts w:ascii="Calibri" w:eastAsia="Calibri" w:hAnsi="Calibri" w:cs="David"/>
      <w:b/>
      <w:bCs/>
    </w:rPr>
  </w:style>
  <w:style w:type="paragraph" w:styleId="aa">
    <w:name w:val="List Paragraph"/>
    <w:basedOn w:val="a"/>
    <w:uiPriority w:val="34"/>
    <w:qFormat/>
    <w:rsid w:val="0072464C"/>
    <w:pPr>
      <w:ind w:left="720"/>
      <w:contextualSpacing/>
    </w:pPr>
  </w:style>
  <w:style w:type="paragraph" w:styleId="ab">
    <w:name w:val="Quote"/>
    <w:basedOn w:val="a"/>
    <w:next w:val="a"/>
    <w:link w:val="ac"/>
    <w:uiPriority w:val="29"/>
    <w:qFormat/>
    <w:rsid w:val="0072464C"/>
    <w:pPr>
      <w:spacing w:after="0"/>
      <w:ind w:left="720" w:firstLine="0"/>
    </w:pPr>
  </w:style>
  <w:style w:type="character" w:customStyle="1" w:styleId="ac">
    <w:name w:val="ציטוט תו"/>
    <w:basedOn w:val="a0"/>
    <w:link w:val="ab"/>
    <w:uiPriority w:val="29"/>
    <w:rsid w:val="0072464C"/>
    <w:rPr>
      <w:rFonts w:ascii="Calibri" w:eastAsia="Calibri" w:hAnsi="Calibri" w:cs="David"/>
    </w:rPr>
  </w:style>
  <w:style w:type="paragraph" w:styleId="ad">
    <w:name w:val="Intense Quote"/>
    <w:basedOn w:val="a"/>
    <w:next w:val="a"/>
    <w:link w:val="ae"/>
    <w:uiPriority w:val="30"/>
    <w:qFormat/>
    <w:rsid w:val="0072464C"/>
    <w:pPr>
      <w:ind w:firstLine="720"/>
    </w:pPr>
  </w:style>
  <w:style w:type="character" w:customStyle="1" w:styleId="ae">
    <w:name w:val="ציטוט חזק תו"/>
    <w:basedOn w:val="a0"/>
    <w:link w:val="ad"/>
    <w:uiPriority w:val="30"/>
    <w:rsid w:val="0072464C"/>
    <w:rPr>
      <w:rFonts w:ascii="Calibri" w:eastAsia="Calibri" w:hAnsi="Calibri" w:cs="David"/>
    </w:rPr>
  </w:style>
  <w:style w:type="table" w:styleId="af">
    <w:name w:val="Table Grid"/>
    <w:basedOn w:val="a1"/>
    <w:uiPriority w:val="59"/>
    <w:rsid w:val="00E333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a"/>
    <w:uiPriority w:val="99"/>
    <w:semiHidden/>
    <w:unhideWhenUsed/>
    <w:rsid w:val="00E33380"/>
    <w:rPr>
      <w:rFonts w:ascii="Times New Roman" w:hAnsi="Times New Roman" w:cs="Times New Roman"/>
      <w:sz w:val="24"/>
      <w:szCs w:val="24"/>
    </w:rPr>
  </w:style>
  <w:style w:type="character" w:styleId="Hyperlink">
    <w:name w:val="Hyperlink"/>
    <w:basedOn w:val="a0"/>
    <w:uiPriority w:val="99"/>
    <w:unhideWhenUsed/>
    <w:rsid w:val="00B26E02"/>
    <w:rPr>
      <w:color w:val="0000FF" w:themeColor="hyperlink"/>
      <w:u w:val="single"/>
    </w:rPr>
  </w:style>
  <w:style w:type="paragraph" w:styleId="af0">
    <w:name w:val="Balloon Text"/>
    <w:basedOn w:val="a"/>
    <w:link w:val="af1"/>
    <w:uiPriority w:val="99"/>
    <w:semiHidden/>
    <w:unhideWhenUsed/>
    <w:rsid w:val="00F6090B"/>
    <w:pPr>
      <w:spacing w:after="0" w:line="240" w:lineRule="auto"/>
    </w:pPr>
    <w:rPr>
      <w:rFonts w:ascii="Tahoma" w:hAnsi="Tahoma" w:cs="Tahoma"/>
      <w:sz w:val="16"/>
      <w:szCs w:val="16"/>
    </w:rPr>
  </w:style>
  <w:style w:type="character" w:customStyle="1" w:styleId="af1">
    <w:name w:val="טקסט בלונים תו"/>
    <w:basedOn w:val="a0"/>
    <w:link w:val="af0"/>
    <w:uiPriority w:val="99"/>
    <w:semiHidden/>
    <w:rsid w:val="00F6090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64C"/>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2464C"/>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2464C"/>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2464C"/>
    <w:pPr>
      <w:spacing w:before="120" w:after="120" w:line="360" w:lineRule="auto"/>
      <w:outlineLvl w:val="2"/>
    </w:pPr>
    <w:rPr>
      <w:b/>
      <w:bCs/>
    </w:rPr>
  </w:style>
  <w:style w:type="paragraph" w:styleId="4">
    <w:name w:val="heading 4"/>
    <w:basedOn w:val="a"/>
    <w:next w:val="a"/>
    <w:link w:val="40"/>
    <w:uiPriority w:val="9"/>
    <w:unhideWhenUsed/>
    <w:qFormat/>
    <w:rsid w:val="0072464C"/>
    <w:pPr>
      <w:spacing w:before="120" w:after="0" w:line="360" w:lineRule="auto"/>
      <w:ind w:firstLine="72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64C"/>
    <w:pPr>
      <w:tabs>
        <w:tab w:val="center" w:pos="4153"/>
        <w:tab w:val="right" w:pos="8306"/>
      </w:tabs>
      <w:spacing w:after="0" w:line="240" w:lineRule="auto"/>
    </w:pPr>
  </w:style>
  <w:style w:type="character" w:customStyle="1" w:styleId="a4">
    <w:name w:val="כותרת עליונה תו"/>
    <w:basedOn w:val="a0"/>
    <w:link w:val="a3"/>
    <w:uiPriority w:val="99"/>
    <w:rsid w:val="0072464C"/>
  </w:style>
  <w:style w:type="paragraph" w:styleId="a5">
    <w:name w:val="footer"/>
    <w:basedOn w:val="a"/>
    <w:link w:val="a6"/>
    <w:uiPriority w:val="99"/>
    <w:unhideWhenUsed/>
    <w:rsid w:val="0072464C"/>
    <w:pPr>
      <w:tabs>
        <w:tab w:val="center" w:pos="4153"/>
        <w:tab w:val="right" w:pos="8306"/>
      </w:tabs>
      <w:spacing w:after="0" w:line="240" w:lineRule="auto"/>
    </w:pPr>
  </w:style>
  <w:style w:type="character" w:customStyle="1" w:styleId="a6">
    <w:name w:val="כותרת תחתונה תו"/>
    <w:basedOn w:val="a0"/>
    <w:link w:val="a5"/>
    <w:uiPriority w:val="99"/>
    <w:rsid w:val="0072464C"/>
  </w:style>
  <w:style w:type="paragraph" w:styleId="a7">
    <w:name w:val="footnote text"/>
    <w:basedOn w:val="a"/>
    <w:link w:val="a8"/>
    <w:uiPriority w:val="99"/>
    <w:unhideWhenUsed/>
    <w:rsid w:val="0072464C"/>
    <w:pPr>
      <w:spacing w:after="40" w:line="300" w:lineRule="auto"/>
      <w:ind w:firstLine="0"/>
    </w:pPr>
    <w:rPr>
      <w:sz w:val="20"/>
      <w:szCs w:val="20"/>
    </w:rPr>
  </w:style>
  <w:style w:type="character" w:customStyle="1" w:styleId="a8">
    <w:name w:val="טקסט הערת שוליים תו"/>
    <w:basedOn w:val="a0"/>
    <w:link w:val="a7"/>
    <w:uiPriority w:val="99"/>
    <w:rsid w:val="0072464C"/>
    <w:rPr>
      <w:rFonts w:ascii="Calibri" w:eastAsia="Calibri" w:hAnsi="Calibri" w:cs="David"/>
      <w:sz w:val="20"/>
      <w:szCs w:val="20"/>
    </w:rPr>
  </w:style>
  <w:style w:type="character" w:styleId="a9">
    <w:name w:val="footnote reference"/>
    <w:basedOn w:val="a0"/>
    <w:uiPriority w:val="99"/>
    <w:semiHidden/>
    <w:unhideWhenUsed/>
    <w:rsid w:val="0072464C"/>
    <w:rPr>
      <w:vertAlign w:val="superscript"/>
    </w:rPr>
  </w:style>
  <w:style w:type="character" w:customStyle="1" w:styleId="10">
    <w:name w:val="כותרת 1 תו"/>
    <w:basedOn w:val="a0"/>
    <w:link w:val="1"/>
    <w:uiPriority w:val="9"/>
    <w:rsid w:val="0072464C"/>
    <w:rPr>
      <w:rFonts w:ascii="Calibri" w:eastAsia="Calibri" w:hAnsi="Calibri" w:cs="David"/>
      <w:b/>
      <w:bCs/>
      <w:sz w:val="36"/>
      <w:szCs w:val="36"/>
    </w:rPr>
  </w:style>
  <w:style w:type="character" w:customStyle="1" w:styleId="20">
    <w:name w:val="כותרת 2 תו"/>
    <w:basedOn w:val="a0"/>
    <w:link w:val="2"/>
    <w:uiPriority w:val="9"/>
    <w:rsid w:val="0072464C"/>
    <w:rPr>
      <w:rFonts w:ascii="Calibri" w:eastAsia="Calibri" w:hAnsi="Calibri" w:cs="David"/>
      <w:b/>
      <w:bCs/>
      <w:sz w:val="28"/>
      <w:szCs w:val="28"/>
    </w:rPr>
  </w:style>
  <w:style w:type="character" w:customStyle="1" w:styleId="30">
    <w:name w:val="כותרת 3 תו"/>
    <w:basedOn w:val="a0"/>
    <w:link w:val="3"/>
    <w:uiPriority w:val="9"/>
    <w:rsid w:val="0072464C"/>
    <w:rPr>
      <w:rFonts w:ascii="Calibri" w:eastAsia="Calibri" w:hAnsi="Calibri" w:cs="David"/>
      <w:b/>
      <w:bCs/>
    </w:rPr>
  </w:style>
  <w:style w:type="character" w:customStyle="1" w:styleId="40">
    <w:name w:val="כותרת 4 תו"/>
    <w:basedOn w:val="a0"/>
    <w:link w:val="4"/>
    <w:uiPriority w:val="9"/>
    <w:rsid w:val="0072464C"/>
    <w:rPr>
      <w:rFonts w:ascii="Calibri" w:eastAsia="Calibri" w:hAnsi="Calibri" w:cs="David"/>
      <w:b/>
      <w:bCs/>
    </w:rPr>
  </w:style>
  <w:style w:type="paragraph" w:styleId="aa">
    <w:name w:val="List Paragraph"/>
    <w:basedOn w:val="a"/>
    <w:uiPriority w:val="34"/>
    <w:qFormat/>
    <w:rsid w:val="0072464C"/>
    <w:pPr>
      <w:ind w:left="720"/>
      <w:contextualSpacing/>
    </w:pPr>
  </w:style>
  <w:style w:type="paragraph" w:styleId="ab">
    <w:name w:val="Quote"/>
    <w:basedOn w:val="a"/>
    <w:next w:val="a"/>
    <w:link w:val="ac"/>
    <w:uiPriority w:val="29"/>
    <w:qFormat/>
    <w:rsid w:val="0072464C"/>
    <w:pPr>
      <w:spacing w:after="0"/>
      <w:ind w:left="720" w:firstLine="0"/>
    </w:pPr>
  </w:style>
  <w:style w:type="character" w:customStyle="1" w:styleId="ac">
    <w:name w:val="ציטוט תו"/>
    <w:basedOn w:val="a0"/>
    <w:link w:val="ab"/>
    <w:uiPriority w:val="29"/>
    <w:rsid w:val="0072464C"/>
    <w:rPr>
      <w:rFonts w:ascii="Calibri" w:eastAsia="Calibri" w:hAnsi="Calibri" w:cs="David"/>
    </w:rPr>
  </w:style>
  <w:style w:type="paragraph" w:styleId="ad">
    <w:name w:val="Intense Quote"/>
    <w:basedOn w:val="a"/>
    <w:next w:val="a"/>
    <w:link w:val="ae"/>
    <w:uiPriority w:val="30"/>
    <w:qFormat/>
    <w:rsid w:val="0072464C"/>
    <w:pPr>
      <w:ind w:firstLine="720"/>
    </w:pPr>
  </w:style>
  <w:style w:type="character" w:customStyle="1" w:styleId="ae">
    <w:name w:val="ציטוט חזק תו"/>
    <w:basedOn w:val="a0"/>
    <w:link w:val="ad"/>
    <w:uiPriority w:val="30"/>
    <w:rsid w:val="0072464C"/>
    <w:rPr>
      <w:rFonts w:ascii="Calibri" w:eastAsia="Calibri" w:hAnsi="Calibri" w:cs="David"/>
    </w:rPr>
  </w:style>
  <w:style w:type="table" w:styleId="af">
    <w:name w:val="Table Grid"/>
    <w:basedOn w:val="a1"/>
    <w:uiPriority w:val="59"/>
    <w:rsid w:val="00E333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a"/>
    <w:uiPriority w:val="99"/>
    <w:semiHidden/>
    <w:unhideWhenUsed/>
    <w:rsid w:val="00E33380"/>
    <w:rPr>
      <w:rFonts w:ascii="Times New Roman" w:hAnsi="Times New Roman" w:cs="Times New Roman"/>
      <w:sz w:val="24"/>
      <w:szCs w:val="24"/>
    </w:rPr>
  </w:style>
  <w:style w:type="character" w:styleId="Hyperlink">
    <w:name w:val="Hyperlink"/>
    <w:basedOn w:val="a0"/>
    <w:uiPriority w:val="99"/>
    <w:unhideWhenUsed/>
    <w:rsid w:val="00B26E02"/>
    <w:rPr>
      <w:color w:val="0000FF" w:themeColor="hyperlink"/>
      <w:u w:val="single"/>
    </w:rPr>
  </w:style>
  <w:style w:type="paragraph" w:styleId="af0">
    <w:name w:val="Balloon Text"/>
    <w:basedOn w:val="a"/>
    <w:link w:val="af1"/>
    <w:uiPriority w:val="99"/>
    <w:semiHidden/>
    <w:unhideWhenUsed/>
    <w:rsid w:val="00F6090B"/>
    <w:pPr>
      <w:spacing w:after="0" w:line="240" w:lineRule="auto"/>
    </w:pPr>
    <w:rPr>
      <w:rFonts w:ascii="Tahoma" w:hAnsi="Tahoma" w:cs="Tahoma"/>
      <w:sz w:val="16"/>
      <w:szCs w:val="16"/>
    </w:rPr>
  </w:style>
  <w:style w:type="character" w:customStyle="1" w:styleId="af1">
    <w:name w:val="טקסט בלונים תו"/>
    <w:basedOn w:val="a0"/>
    <w:link w:val="af0"/>
    <w:uiPriority w:val="99"/>
    <w:semiHidden/>
    <w:rsid w:val="00F6090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437596">
      <w:bodyDiv w:val="1"/>
      <w:marLeft w:val="0"/>
      <w:marRight w:val="0"/>
      <w:marTop w:val="0"/>
      <w:marBottom w:val="0"/>
      <w:divBdr>
        <w:top w:val="none" w:sz="0" w:space="0" w:color="auto"/>
        <w:left w:val="none" w:sz="0" w:space="0" w:color="auto"/>
        <w:bottom w:val="none" w:sz="0" w:space="0" w:color="auto"/>
        <w:right w:val="none" w:sz="0" w:space="0" w:color="auto"/>
      </w:divBdr>
      <w:divsChild>
        <w:div w:id="1099838601">
          <w:marLeft w:val="0"/>
          <w:marRight w:val="0"/>
          <w:marTop w:val="0"/>
          <w:marBottom w:val="0"/>
          <w:divBdr>
            <w:top w:val="none" w:sz="0" w:space="0" w:color="auto"/>
            <w:left w:val="none" w:sz="0" w:space="0" w:color="auto"/>
            <w:bottom w:val="none" w:sz="0" w:space="0" w:color="auto"/>
            <w:right w:val="none" w:sz="0" w:space="0" w:color="auto"/>
          </w:divBdr>
        </w:div>
        <w:div w:id="1976830588">
          <w:marLeft w:val="0"/>
          <w:marRight w:val="0"/>
          <w:marTop w:val="0"/>
          <w:marBottom w:val="0"/>
          <w:divBdr>
            <w:top w:val="none" w:sz="0" w:space="0" w:color="auto"/>
            <w:left w:val="none" w:sz="0" w:space="0" w:color="auto"/>
            <w:bottom w:val="none" w:sz="0" w:space="0" w:color="auto"/>
            <w:right w:val="none" w:sz="0" w:space="0" w:color="auto"/>
          </w:divBdr>
        </w:div>
      </w:divsChild>
    </w:div>
    <w:div w:id="284890029">
      <w:bodyDiv w:val="1"/>
      <w:marLeft w:val="0"/>
      <w:marRight w:val="0"/>
      <w:marTop w:val="0"/>
      <w:marBottom w:val="0"/>
      <w:divBdr>
        <w:top w:val="none" w:sz="0" w:space="0" w:color="auto"/>
        <w:left w:val="none" w:sz="0" w:space="0" w:color="auto"/>
        <w:bottom w:val="none" w:sz="0" w:space="0" w:color="auto"/>
        <w:right w:val="none" w:sz="0" w:space="0" w:color="auto"/>
      </w:divBdr>
      <w:divsChild>
        <w:div w:id="402456987">
          <w:marLeft w:val="0"/>
          <w:marRight w:val="0"/>
          <w:marTop w:val="0"/>
          <w:marBottom w:val="0"/>
          <w:divBdr>
            <w:top w:val="none" w:sz="0" w:space="0" w:color="auto"/>
            <w:left w:val="none" w:sz="0" w:space="0" w:color="auto"/>
            <w:bottom w:val="none" w:sz="0" w:space="0" w:color="auto"/>
            <w:right w:val="none" w:sz="0" w:space="0" w:color="auto"/>
          </w:divBdr>
        </w:div>
        <w:div w:id="704643860">
          <w:marLeft w:val="0"/>
          <w:marRight w:val="0"/>
          <w:marTop w:val="0"/>
          <w:marBottom w:val="0"/>
          <w:divBdr>
            <w:top w:val="none" w:sz="0" w:space="0" w:color="auto"/>
            <w:left w:val="none" w:sz="0" w:space="0" w:color="auto"/>
            <w:bottom w:val="none" w:sz="0" w:space="0" w:color="auto"/>
            <w:right w:val="none" w:sz="0" w:space="0" w:color="auto"/>
          </w:divBdr>
        </w:div>
      </w:divsChild>
    </w:div>
    <w:div w:id="759104383">
      <w:bodyDiv w:val="1"/>
      <w:marLeft w:val="0"/>
      <w:marRight w:val="0"/>
      <w:marTop w:val="0"/>
      <w:marBottom w:val="0"/>
      <w:divBdr>
        <w:top w:val="none" w:sz="0" w:space="0" w:color="auto"/>
        <w:left w:val="none" w:sz="0" w:space="0" w:color="auto"/>
        <w:bottom w:val="none" w:sz="0" w:space="0" w:color="auto"/>
        <w:right w:val="none" w:sz="0" w:space="0" w:color="auto"/>
      </w:divBdr>
      <w:divsChild>
        <w:div w:id="88476724">
          <w:marLeft w:val="0"/>
          <w:marRight w:val="0"/>
          <w:marTop w:val="0"/>
          <w:marBottom w:val="0"/>
          <w:divBdr>
            <w:top w:val="none" w:sz="0" w:space="0" w:color="auto"/>
            <w:left w:val="none" w:sz="0" w:space="0" w:color="auto"/>
            <w:bottom w:val="none" w:sz="0" w:space="0" w:color="auto"/>
            <w:right w:val="none" w:sz="0" w:space="0" w:color="auto"/>
          </w:divBdr>
        </w:div>
        <w:div w:id="861014407">
          <w:marLeft w:val="0"/>
          <w:marRight w:val="0"/>
          <w:marTop w:val="0"/>
          <w:marBottom w:val="0"/>
          <w:divBdr>
            <w:top w:val="none" w:sz="0" w:space="0" w:color="auto"/>
            <w:left w:val="none" w:sz="0" w:space="0" w:color="auto"/>
            <w:bottom w:val="none" w:sz="0" w:space="0" w:color="auto"/>
            <w:right w:val="none" w:sz="0" w:space="0" w:color="auto"/>
          </w:divBdr>
        </w:div>
      </w:divsChild>
    </w:div>
    <w:div w:id="852958338">
      <w:bodyDiv w:val="1"/>
      <w:marLeft w:val="0"/>
      <w:marRight w:val="0"/>
      <w:marTop w:val="0"/>
      <w:marBottom w:val="0"/>
      <w:divBdr>
        <w:top w:val="none" w:sz="0" w:space="0" w:color="auto"/>
        <w:left w:val="none" w:sz="0" w:space="0" w:color="auto"/>
        <w:bottom w:val="none" w:sz="0" w:space="0" w:color="auto"/>
        <w:right w:val="none" w:sz="0" w:space="0" w:color="auto"/>
      </w:divBdr>
      <w:divsChild>
        <w:div w:id="9913319">
          <w:marLeft w:val="0"/>
          <w:marRight w:val="0"/>
          <w:marTop w:val="0"/>
          <w:marBottom w:val="0"/>
          <w:divBdr>
            <w:top w:val="none" w:sz="0" w:space="0" w:color="auto"/>
            <w:left w:val="none" w:sz="0" w:space="0" w:color="auto"/>
            <w:bottom w:val="none" w:sz="0" w:space="0" w:color="auto"/>
            <w:right w:val="none" w:sz="0" w:space="0" w:color="auto"/>
          </w:divBdr>
        </w:div>
        <w:div w:id="298537531">
          <w:marLeft w:val="0"/>
          <w:marRight w:val="0"/>
          <w:marTop w:val="0"/>
          <w:marBottom w:val="0"/>
          <w:divBdr>
            <w:top w:val="none" w:sz="0" w:space="0" w:color="auto"/>
            <w:left w:val="none" w:sz="0" w:space="0" w:color="auto"/>
            <w:bottom w:val="none" w:sz="0" w:space="0" w:color="auto"/>
            <w:right w:val="none" w:sz="0" w:space="0" w:color="auto"/>
          </w:divBdr>
        </w:div>
      </w:divsChild>
    </w:div>
    <w:div w:id="1317412780">
      <w:bodyDiv w:val="1"/>
      <w:marLeft w:val="0"/>
      <w:marRight w:val="0"/>
      <w:marTop w:val="0"/>
      <w:marBottom w:val="0"/>
      <w:divBdr>
        <w:top w:val="none" w:sz="0" w:space="0" w:color="auto"/>
        <w:left w:val="none" w:sz="0" w:space="0" w:color="auto"/>
        <w:bottom w:val="none" w:sz="0" w:space="0" w:color="auto"/>
        <w:right w:val="none" w:sz="0" w:space="0" w:color="auto"/>
      </w:divBdr>
      <w:divsChild>
        <w:div w:id="1224175537">
          <w:marLeft w:val="0"/>
          <w:marRight w:val="0"/>
          <w:marTop w:val="0"/>
          <w:marBottom w:val="0"/>
          <w:divBdr>
            <w:top w:val="none" w:sz="0" w:space="0" w:color="auto"/>
            <w:left w:val="none" w:sz="0" w:space="0" w:color="auto"/>
            <w:bottom w:val="none" w:sz="0" w:space="0" w:color="auto"/>
            <w:right w:val="none" w:sz="0" w:space="0" w:color="auto"/>
          </w:divBdr>
        </w:div>
      </w:divsChild>
    </w:div>
    <w:div w:id="1344086499">
      <w:bodyDiv w:val="1"/>
      <w:marLeft w:val="0"/>
      <w:marRight w:val="0"/>
      <w:marTop w:val="0"/>
      <w:marBottom w:val="0"/>
      <w:divBdr>
        <w:top w:val="none" w:sz="0" w:space="0" w:color="auto"/>
        <w:left w:val="none" w:sz="0" w:space="0" w:color="auto"/>
        <w:bottom w:val="none" w:sz="0" w:space="0" w:color="auto"/>
        <w:right w:val="none" w:sz="0" w:space="0" w:color="auto"/>
      </w:divBdr>
      <w:divsChild>
        <w:div w:id="405879801">
          <w:marLeft w:val="0"/>
          <w:marRight w:val="0"/>
          <w:marTop w:val="0"/>
          <w:marBottom w:val="0"/>
          <w:divBdr>
            <w:top w:val="none" w:sz="0" w:space="0" w:color="auto"/>
            <w:left w:val="none" w:sz="0" w:space="0" w:color="auto"/>
            <w:bottom w:val="none" w:sz="0" w:space="0" w:color="auto"/>
            <w:right w:val="none" w:sz="0" w:space="0" w:color="auto"/>
          </w:divBdr>
        </w:div>
        <w:div w:id="1231577043">
          <w:marLeft w:val="0"/>
          <w:marRight w:val="0"/>
          <w:marTop w:val="0"/>
          <w:marBottom w:val="0"/>
          <w:divBdr>
            <w:top w:val="none" w:sz="0" w:space="0" w:color="auto"/>
            <w:left w:val="none" w:sz="0" w:space="0" w:color="auto"/>
            <w:bottom w:val="none" w:sz="0" w:space="0" w:color="auto"/>
            <w:right w:val="none" w:sz="0" w:space="0" w:color="auto"/>
          </w:divBdr>
        </w:div>
      </w:divsChild>
    </w:div>
    <w:div w:id="1684547852">
      <w:bodyDiv w:val="1"/>
      <w:marLeft w:val="0"/>
      <w:marRight w:val="0"/>
      <w:marTop w:val="0"/>
      <w:marBottom w:val="0"/>
      <w:divBdr>
        <w:top w:val="none" w:sz="0" w:space="0" w:color="auto"/>
        <w:left w:val="none" w:sz="0" w:space="0" w:color="auto"/>
        <w:bottom w:val="none" w:sz="0" w:space="0" w:color="auto"/>
        <w:right w:val="none" w:sz="0" w:space="0" w:color="auto"/>
      </w:divBdr>
      <w:divsChild>
        <w:div w:id="763769011">
          <w:marLeft w:val="0"/>
          <w:marRight w:val="0"/>
          <w:marTop w:val="0"/>
          <w:marBottom w:val="0"/>
          <w:divBdr>
            <w:top w:val="none" w:sz="0" w:space="0" w:color="auto"/>
            <w:left w:val="none" w:sz="0" w:space="0" w:color="auto"/>
            <w:bottom w:val="none" w:sz="0" w:space="0" w:color="auto"/>
            <w:right w:val="none" w:sz="0" w:space="0" w:color="auto"/>
          </w:divBdr>
        </w:div>
        <w:div w:id="1783526880">
          <w:marLeft w:val="0"/>
          <w:marRight w:val="0"/>
          <w:marTop w:val="0"/>
          <w:marBottom w:val="0"/>
          <w:divBdr>
            <w:top w:val="none" w:sz="0" w:space="0" w:color="auto"/>
            <w:left w:val="none" w:sz="0" w:space="0" w:color="auto"/>
            <w:bottom w:val="none" w:sz="0" w:space="0" w:color="auto"/>
            <w:right w:val="none" w:sz="0" w:space="0" w:color="auto"/>
          </w:divBdr>
        </w:div>
      </w:divsChild>
    </w:div>
    <w:div w:id="2054575437">
      <w:bodyDiv w:val="1"/>
      <w:marLeft w:val="0"/>
      <w:marRight w:val="0"/>
      <w:marTop w:val="0"/>
      <w:marBottom w:val="0"/>
      <w:divBdr>
        <w:top w:val="none" w:sz="0" w:space="0" w:color="auto"/>
        <w:left w:val="none" w:sz="0" w:space="0" w:color="auto"/>
        <w:bottom w:val="none" w:sz="0" w:space="0" w:color="auto"/>
        <w:right w:val="none" w:sz="0" w:space="0" w:color="auto"/>
      </w:divBdr>
      <w:divsChild>
        <w:div w:id="1489862257">
          <w:marLeft w:val="0"/>
          <w:marRight w:val="0"/>
          <w:marTop w:val="0"/>
          <w:marBottom w:val="0"/>
          <w:divBdr>
            <w:top w:val="none" w:sz="0" w:space="0" w:color="auto"/>
            <w:left w:val="none" w:sz="0" w:space="0" w:color="auto"/>
            <w:bottom w:val="none" w:sz="0" w:space="0" w:color="auto"/>
            <w:right w:val="none" w:sz="0" w:space="0" w:color="auto"/>
          </w:divBdr>
        </w:div>
      </w:divsChild>
    </w:div>
    <w:div w:id="2114010360">
      <w:bodyDiv w:val="1"/>
      <w:marLeft w:val="0"/>
      <w:marRight w:val="0"/>
      <w:marTop w:val="0"/>
      <w:marBottom w:val="0"/>
      <w:divBdr>
        <w:top w:val="none" w:sz="0" w:space="0" w:color="auto"/>
        <w:left w:val="none" w:sz="0" w:space="0" w:color="auto"/>
        <w:bottom w:val="none" w:sz="0" w:space="0" w:color="auto"/>
        <w:right w:val="none" w:sz="0" w:space="0" w:color="auto"/>
      </w:divBdr>
      <w:divsChild>
        <w:div w:id="488792259">
          <w:marLeft w:val="0"/>
          <w:marRight w:val="0"/>
          <w:marTop w:val="0"/>
          <w:marBottom w:val="0"/>
          <w:divBdr>
            <w:top w:val="none" w:sz="0" w:space="0" w:color="auto"/>
            <w:left w:val="none" w:sz="0" w:space="0" w:color="auto"/>
            <w:bottom w:val="none" w:sz="0" w:space="0" w:color="auto"/>
            <w:right w:val="none" w:sz="0" w:space="0" w:color="auto"/>
          </w:divBdr>
        </w:div>
        <w:div w:id="1354768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etzion.org.i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vbm-torah.org" TargetMode="External"/><Relationship Id="rId4" Type="http://schemas.microsoft.com/office/2007/relationships/stylesWithEffects" Target="stylesWithEffects.xml"/><Relationship Id="rId9" Type="http://schemas.openxmlformats.org/officeDocument/2006/relationships/hyperlink" Target="http://www.etzion.org.il/vb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AppData\Roaming\Microsoft\Templates\&#1514;&#1489;&#1504;&#1497;&#1514;%20&#1500;&#1508;&#1512;&#1511;&#1497;%20&#1504;&#1489;&#1497;&#1488;&#1497;&#1501;%20&#1489;&#1505;&#1508;&#1512;%20&#1502;&#1500;&#1499;&#1497;&#1501;.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AFBFF06-5608-4C9A-A8A2-9480A1902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לפרקי נביאים בספר מלכים</Template>
  <TotalTime>1</TotalTime>
  <Pages>6</Pages>
  <Words>2434</Words>
  <Characters>12170</Characters>
  <Application>Microsoft Office Word</Application>
  <DocSecurity>0</DocSecurity>
  <Lines>101</Lines>
  <Paragraphs>29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14575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משתמש כללי</cp:lastModifiedBy>
  <cp:revision>2</cp:revision>
  <dcterms:created xsi:type="dcterms:W3CDTF">2014-02-05T09:35:00Z</dcterms:created>
  <dcterms:modified xsi:type="dcterms:W3CDTF">2014-02-05T09:35:00Z</dcterms:modified>
</cp:coreProperties>
</file>