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141E8">
      <w:pPr>
        <w:pStyle w:val="a8"/>
        <w:spacing w:before="0" w:after="0"/>
        <w:rPr>
          <w:rFonts w:hint="cs"/>
          <w:b w:val="0"/>
          <w:bCs w:val="0"/>
          <w:sz w:val="16"/>
          <w:szCs w:val="16"/>
          <w:rtl/>
        </w:rPr>
      </w:pPr>
    </w:p>
    <w:p w:rsidR="00000000" w:rsidRDefault="00B141E8">
      <w:pPr>
        <w:pStyle w:val="a8"/>
        <w:spacing w:before="0" w:after="0"/>
        <w:rPr>
          <w:b w:val="0"/>
          <w:bCs w:val="0"/>
          <w:sz w:val="16"/>
          <w:szCs w:val="16"/>
          <w:rtl/>
        </w:rPr>
        <w:sectPr w:rsidR="00000000">
          <w:headerReference w:type="default" r:id="rId6"/>
          <w:type w:val="continuous"/>
          <w:pgSz w:w="11906" w:h="16838"/>
          <w:pgMar w:top="1134" w:right="1134" w:bottom="964" w:left="1134" w:header="709" w:footer="709" w:gutter="0"/>
          <w:cols w:space="709"/>
          <w:bidi/>
        </w:sectPr>
      </w:pPr>
    </w:p>
    <w:p w:rsidR="00000000" w:rsidRDefault="00B141E8" w:rsidP="00B141E8">
      <w:pPr>
        <w:pStyle w:val="ae"/>
        <w:rPr>
          <w:rtl/>
        </w:rPr>
      </w:pPr>
      <w:r>
        <w:rPr>
          <w:rtl/>
        </w:rPr>
        <w:lastRenderedPageBreak/>
        <w:t xml:space="preserve">הרב אהרן ליכטנשטיין </w:t>
      </w:r>
      <w:proofErr w:type="spellStart"/>
      <w:r>
        <w:rPr>
          <w:rFonts w:hint="cs"/>
          <w:rtl/>
        </w:rPr>
        <w:t>זצ</w:t>
      </w:r>
      <w:proofErr w:type="spellEnd"/>
      <w:r>
        <w:rPr>
          <w:rFonts w:hint="cs"/>
          <w:rtl/>
        </w:rPr>
        <w:t>"</w:t>
      </w:r>
      <w:r>
        <w:rPr>
          <w:rtl/>
        </w:rPr>
        <w:t xml:space="preserve"> </w:t>
      </w:r>
    </w:p>
    <w:p w:rsidR="00000000" w:rsidRDefault="00B141E8">
      <w:pPr>
        <w:pStyle w:val="a8"/>
        <w:rPr>
          <w:szCs w:val="40"/>
          <w:rtl/>
        </w:rPr>
      </w:pPr>
      <w:r>
        <w:rPr>
          <w:szCs w:val="40"/>
          <w:rtl/>
        </w:rPr>
        <w:t>אסתר כמודל לחיינו</w:t>
      </w:r>
    </w:p>
    <w:p w:rsidR="00000000" w:rsidRDefault="00B141E8">
      <w:pPr>
        <w:pStyle w:val="a8"/>
        <w:rPr>
          <w:rtl/>
        </w:rPr>
      </w:pPr>
      <w:r>
        <w:rPr>
          <w:rtl/>
        </w:rPr>
        <w:t>שיחה לפורים</w:t>
      </w:r>
      <w:r>
        <w:rPr>
          <w:rStyle w:val="a5"/>
          <w:rtl/>
        </w:rPr>
        <w:footnoteReference w:customMarkFollows="1" w:id="1"/>
        <w:t>*</w:t>
      </w:r>
      <w:r>
        <w:rPr>
          <w:rtl/>
        </w:rPr>
        <w:t xml:space="preserve"> </w:t>
      </w:r>
    </w:p>
    <w:p w:rsidR="00000000" w:rsidRDefault="00B141E8">
      <w:pPr>
        <w:rPr>
          <w:rFonts w:ascii="Arial" w:hAnsi="Arial"/>
          <w:noProof/>
          <w:rtl/>
        </w:rPr>
      </w:pPr>
      <w:r>
        <w:rPr>
          <w:rFonts w:ascii="Arial" w:hAnsi="Arial"/>
          <w:noProof/>
          <w:rtl/>
        </w:rPr>
        <w:t xml:space="preserve">במגילה אנו רואים שאסתר עוברת מהפך באישיותה מן הקצה אל הקצה. בתחילת סיפור המגילה אסתר מתגלית לנו </w:t>
      </w:r>
      <w:r>
        <w:rPr>
          <w:rFonts w:ascii="Arial" w:hAnsi="Arial"/>
          <w:noProof/>
          <w:rtl/>
        </w:rPr>
        <w:t>כפאסיבית לחלוטין - היא מתנהגת כחפצא נייח, וכך כתוב במגילה:</w:t>
      </w:r>
    </w:p>
    <w:p w:rsidR="00000000" w:rsidRDefault="00B141E8">
      <w:pPr>
        <w:pStyle w:val="a9"/>
        <w:ind w:left="567" w:right="0"/>
        <w:rPr>
          <w:rtl/>
        </w:rPr>
      </w:pPr>
      <w:r>
        <w:rPr>
          <w:rtl/>
        </w:rPr>
        <w:t>ובהגיע תר אסתר ... לא בקשה דבר.</w:t>
      </w:r>
      <w:r>
        <w:rPr>
          <w:rtl/>
        </w:rPr>
        <w:tab/>
        <w:t>(אסתר ב',</w:t>
      </w:r>
      <w:proofErr w:type="spellStart"/>
      <w:r>
        <w:rPr>
          <w:rtl/>
        </w:rPr>
        <w:t>יג</w:t>
      </w:r>
      <w:proofErr w:type="spellEnd"/>
      <w:r>
        <w:rPr>
          <w:rtl/>
        </w:rPr>
        <w:t xml:space="preserve">) </w:t>
      </w:r>
    </w:p>
    <w:p w:rsidR="00000000" w:rsidRDefault="00B141E8">
      <w:pPr>
        <w:pStyle w:val="a9"/>
        <w:ind w:left="567" w:right="0"/>
        <w:rPr>
          <w:rtl/>
        </w:rPr>
      </w:pPr>
      <w:r>
        <w:rPr>
          <w:rtl/>
        </w:rPr>
        <w:t xml:space="preserve">ואת מאמר מרדכי אסתר עשה כאשר </w:t>
      </w:r>
      <w:proofErr w:type="spellStart"/>
      <w:r>
        <w:rPr>
          <w:rtl/>
        </w:rPr>
        <w:t>היתה</w:t>
      </w:r>
      <w:proofErr w:type="spellEnd"/>
      <w:r>
        <w:rPr>
          <w:rtl/>
        </w:rPr>
        <w:t xml:space="preserve"> באמנה אתו. </w:t>
      </w:r>
      <w:r>
        <w:rPr>
          <w:rtl/>
        </w:rPr>
        <w:br/>
      </w:r>
      <w:r>
        <w:rPr>
          <w:rtl/>
        </w:rPr>
        <w:tab/>
        <w:t>(</w:t>
      </w:r>
      <w:proofErr w:type="spellStart"/>
      <w:r>
        <w:rPr>
          <w:rtl/>
        </w:rPr>
        <w:t>ב',כ</w:t>
      </w:r>
      <w:proofErr w:type="spellEnd"/>
      <w:r>
        <w:rPr>
          <w:rtl/>
        </w:rPr>
        <w:t>)</w:t>
      </w:r>
    </w:p>
    <w:p w:rsidR="00000000" w:rsidRDefault="00B141E8">
      <w:pPr>
        <w:rPr>
          <w:rtl/>
        </w:rPr>
      </w:pPr>
      <w:r>
        <w:rPr>
          <w:rtl/>
        </w:rPr>
        <w:t xml:space="preserve">בדרך מליצה ניתן לומר שמה שמייחד את אסתר בשלב זה הוא מאמר </w:t>
      </w:r>
      <w:proofErr w:type="spellStart"/>
      <w:r>
        <w:rPr>
          <w:rtl/>
        </w:rPr>
        <w:t>אביי</w:t>
      </w:r>
      <w:proofErr w:type="spellEnd"/>
      <w:r>
        <w:rPr>
          <w:rtl/>
        </w:rPr>
        <w:t xml:space="preserve"> "אסתר קרקע עולם </w:t>
      </w:r>
      <w:proofErr w:type="spellStart"/>
      <w:r>
        <w:rPr>
          <w:rtl/>
        </w:rPr>
        <w:t>היתה</w:t>
      </w:r>
      <w:proofErr w:type="spellEnd"/>
      <w:r>
        <w:rPr>
          <w:rtl/>
        </w:rPr>
        <w:t>" (סנהדרין עד:)</w:t>
      </w:r>
      <w:r>
        <w:rPr>
          <w:rtl/>
        </w:rPr>
        <w:t>.</w:t>
      </w:r>
    </w:p>
    <w:p w:rsidR="00000000" w:rsidRDefault="00B141E8">
      <w:pPr>
        <w:rPr>
          <w:rtl/>
        </w:rPr>
      </w:pPr>
      <w:r>
        <w:rPr>
          <w:rtl/>
        </w:rPr>
        <w:t xml:space="preserve">אך נקודת המהפך מתחילה בפרק ד': </w:t>
      </w:r>
    </w:p>
    <w:p w:rsidR="00000000" w:rsidRDefault="00B141E8">
      <w:pPr>
        <w:pStyle w:val="a9"/>
        <w:ind w:left="567" w:right="0"/>
        <w:rPr>
          <w:rtl/>
        </w:rPr>
      </w:pPr>
      <w:proofErr w:type="spellStart"/>
      <w:r>
        <w:rPr>
          <w:rtl/>
        </w:rPr>
        <w:t>ותצוהו</w:t>
      </w:r>
      <w:proofErr w:type="spellEnd"/>
      <w:r>
        <w:rPr>
          <w:rtl/>
        </w:rPr>
        <w:t xml:space="preserve"> אל מרדכי ... לך כנוס ... ויעש ככל אשר </w:t>
      </w:r>
      <w:proofErr w:type="spellStart"/>
      <w:r>
        <w:rPr>
          <w:rtl/>
        </w:rPr>
        <w:t>צותה</w:t>
      </w:r>
      <w:proofErr w:type="spellEnd"/>
      <w:r>
        <w:rPr>
          <w:rtl/>
        </w:rPr>
        <w:t xml:space="preserve"> עליו אסתר.</w:t>
      </w:r>
      <w:r>
        <w:rPr>
          <w:rtl/>
        </w:rPr>
        <w:tab/>
        <w:t>(ד',</w:t>
      </w:r>
      <w:proofErr w:type="spellStart"/>
      <w:r>
        <w:rPr>
          <w:rtl/>
        </w:rPr>
        <w:t>ט-יז</w:t>
      </w:r>
      <w:proofErr w:type="spellEnd"/>
      <w:r>
        <w:rPr>
          <w:rtl/>
        </w:rPr>
        <w:t>)</w:t>
      </w:r>
    </w:p>
    <w:p w:rsidR="00000000" w:rsidRDefault="00B141E8">
      <w:pPr>
        <w:rPr>
          <w:rtl/>
        </w:rPr>
      </w:pPr>
      <w:r>
        <w:rPr>
          <w:rtl/>
        </w:rPr>
        <w:t xml:space="preserve">פסוקים אלו מהווים, כמובן, את הניגוד הגמור לפסוקים שהבאנו קודם. כאן, ובפרק ה' בהמשך, אנו מוצאים את אסתר כפועלת, יוזמת, מצוה, ומשכנעת - מעבר </w:t>
      </w:r>
      <w:proofErr w:type="spellStart"/>
      <w:r>
        <w:rPr>
          <w:rtl/>
        </w:rPr>
        <w:t>מחפצא</w:t>
      </w:r>
      <w:proofErr w:type="spellEnd"/>
      <w:r>
        <w:rPr>
          <w:rtl/>
        </w:rPr>
        <w:t xml:space="preserve"> פאסיבי</w:t>
      </w:r>
      <w:r>
        <w:rPr>
          <w:rtl/>
        </w:rPr>
        <w:t xml:space="preserve"> לגברא אקטיבי.</w:t>
      </w:r>
    </w:p>
    <w:p w:rsidR="00000000" w:rsidRDefault="00B141E8">
      <w:pPr>
        <w:rPr>
          <w:rtl/>
        </w:rPr>
      </w:pPr>
    </w:p>
    <w:p w:rsidR="00000000" w:rsidRDefault="00B141E8">
      <w:pPr>
        <w:rPr>
          <w:rtl/>
        </w:rPr>
      </w:pPr>
      <w:r>
        <w:rPr>
          <w:rtl/>
        </w:rPr>
        <w:t>השינוי שעברה אסתר ראוי שישמש מודל לכל אחד ואחד. יש צורך לטפח את האישיות לחיה ותוססת בעלת צד אקטיבי ורענן. לא הרי עבודת ה' (או כל פעילות כללית אחרת) מתוך תחושת פאסיביות על אש קטנה, כהרי אישיות בה תורת ה' וערכים בוערים בעצמות כאש. ה' יתברך מפ</w:t>
      </w:r>
      <w:r>
        <w:rPr>
          <w:rtl/>
        </w:rPr>
        <w:t xml:space="preserve">קיד ביד כל אדם את נשמתו ורוחו, ועל כן יש לו להתנהג כשומר לכל דבר - לא לפשוע בשמירה. מעבר לשמירה מפשיעה, יש לטפח ולפתח את </w:t>
      </w:r>
      <w:proofErr w:type="spellStart"/>
      <w:r>
        <w:rPr>
          <w:rtl/>
        </w:rPr>
        <w:t>הפקדון</w:t>
      </w:r>
      <w:proofErr w:type="spellEnd"/>
      <w:r>
        <w:rPr>
          <w:rtl/>
        </w:rPr>
        <w:t xml:space="preserve">, כפי שמקובל בתנאי השומר: </w:t>
      </w:r>
    </w:p>
    <w:p w:rsidR="00000000" w:rsidRDefault="00B141E8">
      <w:pPr>
        <w:pStyle w:val="a9"/>
        <w:ind w:left="567" w:right="0"/>
        <w:rPr>
          <w:rtl/>
        </w:rPr>
      </w:pPr>
      <w:r>
        <w:rPr>
          <w:rtl/>
        </w:rPr>
        <w:t>יראה לי שאם פשע השומר... חייב לשלם... שכל הפושע מזיק הוא... שהמוסר כרמו לשומר בין באריסות... והתנה עמו</w:t>
      </w:r>
      <w:r>
        <w:rPr>
          <w:rtl/>
        </w:rPr>
        <w:t xml:space="preserve"> שיחפור או יזמור או יאבק משלו ופשע לאל עשה חייב כמי שהפסיד </w:t>
      </w:r>
      <w:proofErr w:type="spellStart"/>
      <w:r>
        <w:rPr>
          <w:rtl/>
        </w:rPr>
        <w:t>בידים</w:t>
      </w:r>
      <w:proofErr w:type="spellEnd"/>
      <w:r>
        <w:rPr>
          <w:rtl/>
        </w:rPr>
        <w:t xml:space="preserve"> וכן כל כיוצא בזה שהפסיד </w:t>
      </w:r>
      <w:proofErr w:type="spellStart"/>
      <w:r>
        <w:rPr>
          <w:rtl/>
        </w:rPr>
        <w:t>בידים</w:t>
      </w:r>
      <w:proofErr w:type="spellEnd"/>
      <w:r>
        <w:rPr>
          <w:rtl/>
        </w:rPr>
        <w:t xml:space="preserve"> חייב על כל פנים.</w:t>
      </w:r>
      <w:r>
        <w:rPr>
          <w:rtl/>
        </w:rPr>
        <w:tab/>
        <w:t xml:space="preserve">(רמב"ם שכירות </w:t>
      </w:r>
      <w:proofErr w:type="spellStart"/>
      <w:r>
        <w:rPr>
          <w:rtl/>
        </w:rPr>
        <w:t>ב',ג</w:t>
      </w:r>
      <w:proofErr w:type="spellEnd"/>
      <w:r>
        <w:rPr>
          <w:rtl/>
        </w:rPr>
        <w:t xml:space="preserve">)  </w:t>
      </w:r>
    </w:p>
    <w:p w:rsidR="00000000" w:rsidRDefault="00B141E8">
      <w:pPr>
        <w:rPr>
          <w:rtl/>
        </w:rPr>
      </w:pPr>
      <w:r>
        <w:rPr>
          <w:rtl/>
        </w:rPr>
        <w:t xml:space="preserve">ה' יתברך, בנותנו לנו את </w:t>
      </w:r>
      <w:proofErr w:type="spellStart"/>
      <w:r>
        <w:rPr>
          <w:rtl/>
        </w:rPr>
        <w:t>נשמתינו</w:t>
      </w:r>
      <w:proofErr w:type="spellEnd"/>
      <w:r>
        <w:rPr>
          <w:rtl/>
        </w:rPr>
        <w:t xml:space="preserve"> מתנה עמנו לקיים מצוות - "אם לא בריתי יומם ולילה </w:t>
      </w:r>
      <w:proofErr w:type="spellStart"/>
      <w:r>
        <w:rPr>
          <w:rtl/>
        </w:rPr>
        <w:t>חקות</w:t>
      </w:r>
      <w:proofErr w:type="spellEnd"/>
      <w:r>
        <w:rPr>
          <w:rtl/>
        </w:rPr>
        <w:t xml:space="preserve"> שמים וארץ לא שמתי" (ירמיה </w:t>
      </w:r>
      <w:proofErr w:type="spellStart"/>
      <w:r>
        <w:rPr>
          <w:rtl/>
        </w:rPr>
        <w:t>ל"ג,כה</w:t>
      </w:r>
      <w:proofErr w:type="spellEnd"/>
      <w:r>
        <w:rPr>
          <w:rtl/>
        </w:rPr>
        <w:t>). כל</w:t>
      </w:r>
      <w:r>
        <w:rPr>
          <w:rtl/>
        </w:rPr>
        <w:t xml:space="preserve"> ההוויה היא עבור זה, ובהתאם לכך, מי שלא עומד בתנאים של הקב”ה (המפקיד) פושע, מזיק ומפסיד </w:t>
      </w:r>
      <w:proofErr w:type="spellStart"/>
      <w:r>
        <w:rPr>
          <w:rtl/>
        </w:rPr>
        <w:t>בידים</w:t>
      </w:r>
      <w:proofErr w:type="spellEnd"/>
      <w:r>
        <w:rPr>
          <w:rtl/>
        </w:rPr>
        <w:t xml:space="preserve"> וחייב </w:t>
      </w:r>
      <w:proofErr w:type="spellStart"/>
      <w:r>
        <w:rPr>
          <w:rtl/>
        </w:rPr>
        <w:t>לרבון</w:t>
      </w:r>
      <w:proofErr w:type="spellEnd"/>
      <w:r>
        <w:rPr>
          <w:rtl/>
        </w:rPr>
        <w:t xml:space="preserve"> העולמים, כביכול. </w:t>
      </w:r>
    </w:p>
    <w:p w:rsidR="00000000" w:rsidRDefault="00B141E8">
      <w:pPr>
        <w:rPr>
          <w:rtl/>
        </w:rPr>
      </w:pPr>
      <w:r>
        <w:rPr>
          <w:rtl/>
        </w:rPr>
        <w:t xml:space="preserve">כך אנו מוצאים גם באבות דר' נתן: </w:t>
      </w:r>
    </w:p>
    <w:p w:rsidR="00000000" w:rsidRDefault="00B141E8">
      <w:pPr>
        <w:pStyle w:val="a9"/>
        <w:ind w:left="567" w:right="0"/>
        <w:rPr>
          <w:rtl/>
        </w:rPr>
      </w:pPr>
      <w:r>
        <w:rPr>
          <w:rtl/>
        </w:rPr>
        <w:t>"</w:t>
      </w:r>
      <w:proofErr w:type="spellStart"/>
      <w:r>
        <w:rPr>
          <w:rtl/>
        </w:rPr>
        <w:t>רשב"י</w:t>
      </w:r>
      <w:proofErr w:type="spellEnd"/>
      <w:r>
        <w:rPr>
          <w:rtl/>
        </w:rPr>
        <w:t xml:space="preserve"> אומר... כך עתידים ישראל לומר לפני הקב"ה: רבש"ע אתה יודע ביצר הרע שהוא מסית בנו שנאמר 'כי הוא</w:t>
      </w:r>
      <w:r>
        <w:rPr>
          <w:rtl/>
        </w:rPr>
        <w:t xml:space="preserve"> ידע יצרנו' (תהלים ק"ג)".</w:t>
      </w:r>
      <w:r>
        <w:rPr>
          <w:rtl/>
        </w:rPr>
        <w:tab/>
        <w:t>(פרק ט"ז ד"ה ר' ראובן)</w:t>
      </w:r>
    </w:p>
    <w:p w:rsidR="00000000" w:rsidRDefault="00B141E8">
      <w:pPr>
        <w:rPr>
          <w:rtl/>
        </w:rPr>
      </w:pPr>
      <w:r>
        <w:rPr>
          <w:rtl/>
        </w:rPr>
        <w:t xml:space="preserve"> זהו אמנם תירוץ </w:t>
      </w:r>
      <w:proofErr w:type="spellStart"/>
      <w:r>
        <w:rPr>
          <w:rtl/>
        </w:rPr>
        <w:t>לכשלונו</w:t>
      </w:r>
      <w:proofErr w:type="spellEnd"/>
      <w:r>
        <w:rPr>
          <w:rtl/>
        </w:rPr>
        <w:t xml:space="preserve"> של האדם, אך ודאי וודאי שעל האדם לפעול בכל כוחו לא </w:t>
      </w:r>
      <w:proofErr w:type="spellStart"/>
      <w:r>
        <w:rPr>
          <w:rtl/>
        </w:rPr>
        <w:t>להכשל</w:t>
      </w:r>
      <w:proofErr w:type="spellEnd"/>
      <w:r>
        <w:rPr>
          <w:rtl/>
        </w:rPr>
        <w:t xml:space="preserve"> ולא לפשוע במטלה שהטיל עליו אדונו המפקיד- הקב"ה. </w:t>
      </w:r>
    </w:p>
    <w:p w:rsidR="00000000" w:rsidRDefault="00B141E8">
      <w:pPr>
        <w:rPr>
          <w:rtl/>
        </w:rPr>
      </w:pPr>
    </w:p>
    <w:p w:rsidR="00000000" w:rsidRDefault="00B141E8">
      <w:pPr>
        <w:rPr>
          <w:rtl/>
        </w:rPr>
      </w:pPr>
      <w:r>
        <w:rPr>
          <w:rtl/>
        </w:rPr>
        <w:lastRenderedPageBreak/>
        <w:t>בהקשר זה ראוי להזכיר את הברייתא בברכות:</w:t>
      </w:r>
    </w:p>
    <w:p w:rsidR="00000000" w:rsidRDefault="00B141E8">
      <w:pPr>
        <w:pStyle w:val="a9"/>
        <w:ind w:left="567" w:right="0"/>
        <w:rPr>
          <w:rtl/>
        </w:rPr>
      </w:pPr>
      <w:r>
        <w:rPr>
          <w:rtl/>
        </w:rPr>
        <w:t xml:space="preserve">ת"ר ארבעה </w:t>
      </w:r>
      <w:proofErr w:type="spellStart"/>
      <w:r>
        <w:rPr>
          <w:rtl/>
        </w:rPr>
        <w:t>צריכין</w:t>
      </w:r>
      <w:proofErr w:type="spellEnd"/>
      <w:r>
        <w:rPr>
          <w:rtl/>
        </w:rPr>
        <w:t xml:space="preserve"> </w:t>
      </w:r>
      <w:proofErr w:type="spellStart"/>
      <w:r>
        <w:rPr>
          <w:rtl/>
        </w:rPr>
        <w:t>חזוק</w:t>
      </w:r>
      <w:proofErr w:type="spellEnd"/>
      <w:r>
        <w:rPr>
          <w:rtl/>
        </w:rPr>
        <w:t xml:space="preserve"> ואלו הן: תורה, </w:t>
      </w:r>
      <w:r>
        <w:rPr>
          <w:rtl/>
        </w:rPr>
        <w:t>ומעשים טובים, תפלה ודרך ארץ.</w:t>
      </w:r>
      <w:r>
        <w:rPr>
          <w:rtl/>
        </w:rPr>
        <w:tab/>
        <w:t>(ברכות ל"ב:)</w:t>
      </w:r>
    </w:p>
    <w:p w:rsidR="00000000" w:rsidRDefault="00B141E8">
      <w:pPr>
        <w:rPr>
          <w:rtl/>
        </w:rPr>
      </w:pPr>
      <w:r>
        <w:rPr>
          <w:rtl/>
        </w:rPr>
        <w:t xml:space="preserve">ומפרש רש"י: </w:t>
      </w:r>
    </w:p>
    <w:p w:rsidR="00000000" w:rsidRDefault="00B141E8">
      <w:pPr>
        <w:pStyle w:val="a9"/>
        <w:ind w:left="567" w:right="0"/>
        <w:rPr>
          <w:rtl/>
        </w:rPr>
      </w:pPr>
      <w:proofErr w:type="spellStart"/>
      <w:r>
        <w:rPr>
          <w:rtl/>
        </w:rPr>
        <w:t>צריכין</w:t>
      </w:r>
      <w:proofErr w:type="spellEnd"/>
      <w:r>
        <w:rPr>
          <w:rtl/>
        </w:rPr>
        <w:t xml:space="preserve"> </w:t>
      </w:r>
      <w:proofErr w:type="spellStart"/>
      <w:r>
        <w:rPr>
          <w:rtl/>
        </w:rPr>
        <w:t>חזוק</w:t>
      </w:r>
      <w:proofErr w:type="spellEnd"/>
      <w:r>
        <w:rPr>
          <w:rtl/>
        </w:rPr>
        <w:t xml:space="preserve">- שיתחזק אדם בהן תמיד בכל כוחו.  </w:t>
      </w:r>
    </w:p>
    <w:p w:rsidR="00000000" w:rsidRDefault="00B141E8">
      <w:pPr>
        <w:rPr>
          <w:rtl/>
        </w:rPr>
      </w:pPr>
      <w:r>
        <w:rPr>
          <w:rtl/>
        </w:rPr>
        <w:t xml:space="preserve">משפט זה איננו מהווה רק </w:t>
      </w:r>
      <w:proofErr w:type="spellStart"/>
      <w:r>
        <w:rPr>
          <w:rtl/>
        </w:rPr>
        <w:t>ציפיה</w:t>
      </w:r>
      <w:proofErr w:type="spellEnd"/>
      <w:r>
        <w:rPr>
          <w:rtl/>
        </w:rPr>
        <w:t xml:space="preserve"> בעלמא, אלא כמובן שיש פה דרישה ותביעה מהאדם שיתחזק בכך. על מנת כן יש צורך וחובה לפתח כוחותיו עבור בנייתו האישית, כדי שיהיו לו הי</w:t>
      </w:r>
      <w:r>
        <w:rPr>
          <w:rtl/>
        </w:rPr>
        <w:t xml:space="preserve">כולת </w:t>
      </w:r>
      <w:proofErr w:type="spellStart"/>
      <w:r>
        <w:rPr>
          <w:rtl/>
        </w:rPr>
        <w:t>והכח</w:t>
      </w:r>
      <w:proofErr w:type="spellEnd"/>
      <w:r>
        <w:rPr>
          <w:rtl/>
        </w:rPr>
        <w:t xml:space="preserve"> לפעול במרץ ורעננות במישורים הנ"ל.</w:t>
      </w:r>
    </w:p>
    <w:p w:rsidR="00000000" w:rsidRDefault="00B141E8">
      <w:pPr>
        <w:rPr>
          <w:rtl/>
        </w:rPr>
      </w:pPr>
    </w:p>
    <w:p w:rsidR="00000000" w:rsidRDefault="00B141E8">
      <w:pPr>
        <w:rPr>
          <w:rtl/>
        </w:rPr>
      </w:pPr>
      <w:r>
        <w:rPr>
          <w:rtl/>
        </w:rPr>
        <w:t>דרישה זו מן האדם אליה וקוץ בה. מחד, זה מעיד על גדולת האדם, שבניגוד למלאכים, הוא בעל כושר בחירה. ככל שמתפתחת אישיותו הוא נהיה יותר "אדם" ומאפשר לעצמו יותר "בחירה". אך מאידך, ככל שעולה בניית האישיות גוברת הסכנה שא</w:t>
      </w:r>
      <w:r>
        <w:rPr>
          <w:rtl/>
        </w:rPr>
        <w:t xml:space="preserve">ותם כוחות יופנו לאפיקים לא רצויים. האחריות כעת גוברת - </w:t>
      </w:r>
      <w:proofErr w:type="spellStart"/>
      <w:r>
        <w:rPr>
          <w:rtl/>
        </w:rPr>
        <w:t>דוקא</w:t>
      </w:r>
      <w:proofErr w:type="spellEnd"/>
      <w:r>
        <w:rPr>
          <w:rtl/>
        </w:rPr>
        <w:t xml:space="preserve"> משום שפיתח עצמו. אמנם "אליה" אך "קוץ בה". </w:t>
      </w:r>
      <w:proofErr w:type="spellStart"/>
      <w:r>
        <w:rPr>
          <w:rtl/>
        </w:rPr>
        <w:t>התקוה</w:t>
      </w:r>
      <w:proofErr w:type="spellEnd"/>
      <w:r>
        <w:rPr>
          <w:rtl/>
        </w:rPr>
        <w:t xml:space="preserve"> היא שכשאדם בונה כוחותיו יפנה אותם לערוצים חיוביים. נראה, שזהו הפשט של "לעבדו בכל לבבך- בשני יצריך". כלומר, היצרים, שפוטנציאלית יכולים להיות גם רע - </w:t>
      </w:r>
      <w:r>
        <w:rPr>
          <w:rtl/>
        </w:rPr>
        <w:t xml:space="preserve">יכוונם למישור של "טוב". יזהר אדם לעבוד את הקב"ה בשני יצריו, ולא </w:t>
      </w:r>
      <w:proofErr w:type="spellStart"/>
      <w:r>
        <w:rPr>
          <w:rtl/>
        </w:rPr>
        <w:t>שח"ו</w:t>
      </w:r>
      <w:proofErr w:type="spellEnd"/>
      <w:r>
        <w:rPr>
          <w:rtl/>
        </w:rPr>
        <w:t xml:space="preserve"> </w:t>
      </w:r>
      <w:proofErr w:type="spellStart"/>
      <w:r>
        <w:rPr>
          <w:rtl/>
        </w:rPr>
        <w:t>יפול</w:t>
      </w:r>
      <w:proofErr w:type="spellEnd"/>
      <w:r>
        <w:rPr>
          <w:rtl/>
        </w:rPr>
        <w:t xml:space="preserve"> בשניהם. שהלא לעיתים הגרזן- מתוך שהוא משוכלל ומסוגל לנפלאות, מתפאר על החוצב בו. הפיתוח העצמי והדאגה לעצמו, מקשה לעיתים למלא </w:t>
      </w:r>
      <w:proofErr w:type="spellStart"/>
      <w:r>
        <w:rPr>
          <w:rtl/>
        </w:rPr>
        <w:t>יעודו</w:t>
      </w:r>
      <w:proofErr w:type="spellEnd"/>
      <w:r>
        <w:rPr>
          <w:rtl/>
        </w:rPr>
        <w:t xml:space="preserve"> הבסיסי של "עבד קמי מריה"- הכנעה, קבלת עול מלכות שמים </w:t>
      </w:r>
      <w:r>
        <w:rPr>
          <w:rtl/>
        </w:rPr>
        <w:t>ועול מצוות.</w:t>
      </w:r>
    </w:p>
    <w:p w:rsidR="00000000" w:rsidRDefault="00B141E8">
      <w:pPr>
        <w:rPr>
          <w:rtl/>
        </w:rPr>
      </w:pPr>
    </w:p>
    <w:p w:rsidR="00000000" w:rsidRDefault="00B141E8">
      <w:pPr>
        <w:rPr>
          <w:rtl/>
        </w:rPr>
      </w:pPr>
      <w:r>
        <w:rPr>
          <w:rtl/>
        </w:rPr>
        <w:t xml:space="preserve">אכן, כבר עמד הקב"ה על סכנה זו וכפי שמובא בנביא "בנים גדלתי ורוממתי והם פשעו בי" (ישעיה </w:t>
      </w:r>
      <w:proofErr w:type="spellStart"/>
      <w:r>
        <w:rPr>
          <w:rtl/>
        </w:rPr>
        <w:t>א',ב</w:t>
      </w:r>
      <w:proofErr w:type="spellEnd"/>
      <w:r>
        <w:rPr>
          <w:rtl/>
        </w:rPr>
        <w:t xml:space="preserve">). כלומר, בגלל שבנים גידלתי לכן פשעו בי - ובבחינת "וישמן ישורון ויבעט שמנת </w:t>
      </w:r>
      <w:proofErr w:type="spellStart"/>
      <w:r>
        <w:rPr>
          <w:rtl/>
        </w:rPr>
        <w:t>עבית</w:t>
      </w:r>
      <w:proofErr w:type="spellEnd"/>
      <w:r>
        <w:rPr>
          <w:rtl/>
        </w:rPr>
        <w:t xml:space="preserve"> כשית </w:t>
      </w:r>
      <w:proofErr w:type="spellStart"/>
      <w:r>
        <w:rPr>
          <w:rtl/>
        </w:rPr>
        <w:t>ויטש</w:t>
      </w:r>
      <w:proofErr w:type="spellEnd"/>
      <w:r>
        <w:rPr>
          <w:rtl/>
        </w:rPr>
        <w:t xml:space="preserve"> א-</w:t>
      </w:r>
      <w:proofErr w:type="spellStart"/>
      <w:r>
        <w:rPr>
          <w:rtl/>
        </w:rPr>
        <w:t>לוה</w:t>
      </w:r>
      <w:proofErr w:type="spellEnd"/>
      <w:r>
        <w:rPr>
          <w:rtl/>
        </w:rPr>
        <w:t xml:space="preserve"> עשהו" (שברים </w:t>
      </w:r>
      <w:proofErr w:type="spellStart"/>
      <w:r>
        <w:rPr>
          <w:rtl/>
        </w:rPr>
        <w:t>ל"ב,טו</w:t>
      </w:r>
      <w:proofErr w:type="spellEnd"/>
      <w:r>
        <w:rPr>
          <w:rtl/>
        </w:rPr>
        <w:t xml:space="preserve">). הפיתוח העצמי עלול לגרור </w:t>
      </w:r>
      <w:proofErr w:type="spellStart"/>
      <w:r>
        <w:rPr>
          <w:rtl/>
        </w:rPr>
        <w:t>גאוה</w:t>
      </w:r>
      <w:proofErr w:type="spellEnd"/>
      <w:r>
        <w:rPr>
          <w:rtl/>
        </w:rPr>
        <w:t xml:space="preserve"> שלילי</w:t>
      </w:r>
      <w:r>
        <w:rPr>
          <w:rtl/>
        </w:rPr>
        <w:t xml:space="preserve">ת, ולא להביא להכנעה כלפי שמיא. לפעמים, </w:t>
      </w:r>
      <w:proofErr w:type="spellStart"/>
      <w:r>
        <w:rPr>
          <w:rtl/>
        </w:rPr>
        <w:t>דוקא</w:t>
      </w:r>
      <w:proofErr w:type="spellEnd"/>
      <w:r>
        <w:rPr>
          <w:rtl/>
        </w:rPr>
        <w:t xml:space="preserve"> מתוך שאדם העשיר עצמו בערכים תורניים ואוניברסליים, הוא מגלה שזה "עושר שמור לבעליו לרעתו" בכך שכעת עובד את עצמו וכבר לא את הקב"ה. </w:t>
      </w:r>
    </w:p>
    <w:p w:rsidR="00000000" w:rsidRDefault="00B141E8">
      <w:pPr>
        <w:rPr>
          <w:rtl/>
        </w:rPr>
      </w:pPr>
      <w:r>
        <w:rPr>
          <w:rtl/>
        </w:rPr>
        <w:t>סכנה זו אימננטית, ויהיו כאלה שיטענו על כן, שעדיף אישיות קטנה שעובדת את ה' על פני אי</w:t>
      </w:r>
      <w:r>
        <w:rPr>
          <w:rtl/>
        </w:rPr>
        <w:t>שיות מרשימה אך מתמרדת. אולם, לדעתנו, לגישה זו מחיר נורא וכבד ויש לראות בו השלמה עם מצב - קיבלנו שדה נסתפק עם מעט ולעת פקודה נשלוף את הברייתא באבות דרבי נתן שהובאה לעיל. וכי ככה נבנה את עולמינו ואת עצמנו? אמנם, אם באמת יתברר לאדם או לישיבה כי הברירה היא בין</w:t>
      </w:r>
      <w:r>
        <w:rPr>
          <w:rtl/>
        </w:rPr>
        <w:t xml:space="preserve"> להיות אישיות מזערית אך יראת שמים, לבין אישיות מטופחת אך פורקת עול - בלית ברירה נהיה גמדים. אלא שאין אנו רוצים לעמוד בפני ברירה כזו ולהגיע למסקנה כואבת זו. בכל </w:t>
      </w:r>
      <w:proofErr w:type="spellStart"/>
      <w:r>
        <w:rPr>
          <w:rtl/>
        </w:rPr>
        <w:t>מאודינו</w:t>
      </w:r>
      <w:proofErr w:type="spellEnd"/>
      <w:r>
        <w:rPr>
          <w:rtl/>
        </w:rPr>
        <w:t xml:space="preserve"> רוצים אנו לדבוק באמונתנו השלמה של טיפוח וגידול הבניה האישית הגוררת אחריה עליה והתרוממות </w:t>
      </w:r>
      <w:r>
        <w:rPr>
          <w:rtl/>
        </w:rPr>
        <w:t xml:space="preserve">בעבודת ה', ובתפיסה הגורסת שיש לזרוע את השדה, לזרוע ולקשקש כך שאותה כרם </w:t>
      </w:r>
      <w:proofErr w:type="spellStart"/>
      <w:r>
        <w:rPr>
          <w:rtl/>
        </w:rPr>
        <w:t>פוריה</w:t>
      </w:r>
      <w:proofErr w:type="spellEnd"/>
      <w:r>
        <w:rPr>
          <w:rtl/>
        </w:rPr>
        <w:t xml:space="preserve"> ורענן יוציא פירות וענבים ולא ר"ל באושים. יהא זה יום שחור אם נגיע ח"ו למסקנה שהרחבת אופקים גובים מחיר עד כדי שנדרשים אנו להתגמד. חז"ל היו ערים לכך, ועל כן </w:t>
      </w:r>
      <w:proofErr w:type="spellStart"/>
      <w:r>
        <w:rPr>
          <w:rtl/>
        </w:rPr>
        <w:t>היתוו</w:t>
      </w:r>
      <w:proofErr w:type="spellEnd"/>
      <w:r>
        <w:rPr>
          <w:rtl/>
        </w:rPr>
        <w:t xml:space="preserve"> כקו במסכת אבות את ה</w:t>
      </w:r>
      <w:r>
        <w:rPr>
          <w:rtl/>
        </w:rPr>
        <w:t xml:space="preserve">נדרש מהאדם: "יראתו קודמת לחכמתו"- כרונולוגית, פסיכולוגית </w:t>
      </w:r>
      <w:proofErr w:type="spellStart"/>
      <w:r>
        <w:rPr>
          <w:rtl/>
        </w:rPr>
        <w:t>ואקסיולוגית</w:t>
      </w:r>
      <w:proofErr w:type="spellEnd"/>
      <w:r>
        <w:rPr>
          <w:rtl/>
        </w:rPr>
        <w:t xml:space="preserve">. כל פעם שלומד תורה ישאל עצמו מבחינה ערכית - מה משמש את מה? באיזו מידה יראת שמים מכוונת את </w:t>
      </w:r>
      <w:proofErr w:type="spellStart"/>
      <w:r>
        <w:rPr>
          <w:rtl/>
        </w:rPr>
        <w:t>הכל</w:t>
      </w:r>
      <w:proofErr w:type="spellEnd"/>
      <w:r>
        <w:rPr>
          <w:rtl/>
        </w:rPr>
        <w:t xml:space="preserve">? רק כך תורתנו תתקיים, ואם המצב הוא להיפך גם הכמותי לא יתקיים - "עושר שמור לבעליו </w:t>
      </w:r>
      <w:r>
        <w:rPr>
          <w:rtl/>
        </w:rPr>
        <w:lastRenderedPageBreak/>
        <w:t>לרעתו". יש ל</w:t>
      </w:r>
      <w:r>
        <w:rPr>
          <w:rtl/>
        </w:rPr>
        <w:t xml:space="preserve">ראות שהאדם יהפוך ל"אני" אחר ולא לאותו "אני" רק גבוה וחזק יותר בכישורים מיותרים. משימה זו, לאורך חיי אדם היא, </w:t>
      </w:r>
      <w:proofErr w:type="spellStart"/>
      <w:r>
        <w:rPr>
          <w:rtl/>
        </w:rPr>
        <w:t>ובודאי</w:t>
      </w:r>
      <w:proofErr w:type="spellEnd"/>
      <w:r>
        <w:rPr>
          <w:rtl/>
        </w:rPr>
        <w:t xml:space="preserve"> לתקופה שבה מתעצם ומתעמק. </w:t>
      </w:r>
    </w:p>
    <w:p w:rsidR="00000000" w:rsidRDefault="00B141E8">
      <w:pPr>
        <w:rPr>
          <w:rtl/>
        </w:rPr>
      </w:pPr>
      <w:r>
        <w:rPr>
          <w:rtl/>
        </w:rPr>
        <w:t xml:space="preserve">יהי רצון שנצליח במשימה זו- שמחד נשקה ונטפח את </w:t>
      </w:r>
      <w:proofErr w:type="spellStart"/>
      <w:r>
        <w:rPr>
          <w:rtl/>
        </w:rPr>
        <w:t>הפקדון</w:t>
      </w:r>
      <w:proofErr w:type="spellEnd"/>
      <w:r>
        <w:rPr>
          <w:rtl/>
        </w:rPr>
        <w:t xml:space="preserve"> שהפקיד בידינו ה' יתברך- אנו עצמנו, ויחד עם זאת נתרומם ונגדל מ</w:t>
      </w:r>
      <w:r>
        <w:rPr>
          <w:rtl/>
        </w:rPr>
        <w:t xml:space="preserve">תוך כך בעבודת ה' ויראת שמים </w:t>
      </w:r>
      <w:proofErr w:type="spellStart"/>
      <w:r>
        <w:rPr>
          <w:rtl/>
        </w:rPr>
        <w:t>אמיתית</w:t>
      </w:r>
      <w:proofErr w:type="spellEnd"/>
      <w:r>
        <w:rPr>
          <w:rtl/>
        </w:rPr>
        <w:t xml:space="preserve">.     </w:t>
      </w:r>
    </w:p>
    <w:p w:rsidR="00000000" w:rsidRDefault="00B141E8">
      <w:pPr>
        <w:jc w:val="left"/>
        <w:rPr>
          <w:rFonts w:ascii="Tahoma" w:hAnsi="Tahoma" w:cs="David"/>
          <w:sz w:val="24"/>
          <w:szCs w:val="24"/>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tblPrEx>
          <w:tblCellMar>
            <w:top w:w="0" w:type="dxa"/>
            <w:bottom w:w="0" w:type="dxa"/>
          </w:tblCellMar>
        </w:tblPrEx>
        <w:tc>
          <w:tcPr>
            <w:tcW w:w="283" w:type="dxa"/>
            <w:tcBorders>
              <w:top w:val="nil"/>
              <w:left w:val="nil"/>
              <w:bottom w:val="nil"/>
              <w:right w:val="nil"/>
            </w:tcBorders>
          </w:tcPr>
          <w:p w:rsidR="00000000" w:rsidRDefault="00B141E8">
            <w:pPr>
              <w:pStyle w:val="e7"/>
              <w:rPr>
                <w:b w:val="0"/>
                <w:bCs w:val="0"/>
                <w:rtl/>
              </w:rPr>
            </w:pPr>
            <w:r>
              <w:rPr>
                <w:b w:val="0"/>
                <w:bCs w:val="0"/>
                <w:rtl/>
              </w:rPr>
              <w:t>*</w:t>
            </w:r>
          </w:p>
        </w:tc>
        <w:tc>
          <w:tcPr>
            <w:tcW w:w="4111" w:type="dxa"/>
            <w:tcBorders>
              <w:top w:val="nil"/>
              <w:left w:val="nil"/>
              <w:bottom w:val="nil"/>
              <w:right w:val="nil"/>
            </w:tcBorders>
          </w:tcPr>
          <w:p w:rsidR="00000000" w:rsidRDefault="00B141E8">
            <w:pPr>
              <w:pStyle w:val="e7"/>
              <w:rPr>
                <w:b w:val="0"/>
                <w:bCs w:val="0"/>
                <w:rtl/>
              </w:rPr>
            </w:pPr>
            <w:r>
              <w:rPr>
                <w:b w:val="0"/>
                <w:bCs w:val="0"/>
                <w:rtl/>
              </w:rPr>
              <w:t>**********************************************************</w:t>
            </w:r>
          </w:p>
        </w:tc>
        <w:tc>
          <w:tcPr>
            <w:tcW w:w="284" w:type="dxa"/>
            <w:tcBorders>
              <w:top w:val="nil"/>
              <w:left w:val="nil"/>
              <w:bottom w:val="nil"/>
              <w:right w:val="nil"/>
            </w:tcBorders>
          </w:tcPr>
          <w:p w:rsidR="00000000" w:rsidRDefault="00B141E8">
            <w:pPr>
              <w:pStyle w:val="e7"/>
              <w:rPr>
                <w:b w:val="0"/>
                <w:bCs w:val="0"/>
                <w:rtl/>
              </w:rPr>
            </w:pPr>
            <w:r>
              <w:rPr>
                <w:b w:val="0"/>
                <w:bCs w:val="0"/>
                <w:rtl/>
              </w:rPr>
              <w:t>*</w:t>
            </w:r>
          </w:p>
        </w:tc>
      </w:tr>
      <w:tr w:rsidR="00000000">
        <w:tblPrEx>
          <w:tblCellMar>
            <w:top w:w="0" w:type="dxa"/>
            <w:bottom w:w="0" w:type="dxa"/>
          </w:tblCellMar>
        </w:tblPrEx>
        <w:tc>
          <w:tcPr>
            <w:tcW w:w="283" w:type="dxa"/>
            <w:tcBorders>
              <w:top w:val="nil"/>
              <w:left w:val="nil"/>
              <w:bottom w:val="nil"/>
              <w:right w:val="nil"/>
            </w:tcBorders>
          </w:tcPr>
          <w:p w:rsidR="00000000" w:rsidRDefault="00B141E8">
            <w:pPr>
              <w:pStyle w:val="e7"/>
              <w:rPr>
                <w:b w:val="0"/>
                <w:bCs w:val="0"/>
                <w:rtl/>
              </w:rPr>
            </w:pPr>
            <w:r>
              <w:rPr>
                <w:b w:val="0"/>
                <w:bCs w:val="0"/>
                <w:rtl/>
              </w:rPr>
              <w:t>* * * * * * * * * *</w:t>
            </w:r>
          </w:p>
        </w:tc>
        <w:tc>
          <w:tcPr>
            <w:tcW w:w="4111" w:type="dxa"/>
            <w:tcBorders>
              <w:top w:val="nil"/>
              <w:left w:val="nil"/>
              <w:bottom w:val="nil"/>
              <w:right w:val="nil"/>
            </w:tcBorders>
          </w:tcPr>
          <w:p w:rsidR="00000000" w:rsidRDefault="00B141E8">
            <w:pPr>
              <w:pStyle w:val="e7"/>
              <w:rPr>
                <w:b w:val="0"/>
                <w:bCs w:val="0"/>
                <w:rtl/>
              </w:rPr>
            </w:pPr>
            <w:r>
              <w:rPr>
                <w:b w:val="0"/>
                <w:bCs w:val="0"/>
                <w:rtl/>
              </w:rPr>
              <w:t>כל הזכויות שמורות לישיבת הר עציון, תשס"ג</w:t>
            </w:r>
          </w:p>
          <w:p w:rsidR="00000000" w:rsidRDefault="00B141E8">
            <w:pPr>
              <w:pStyle w:val="e7"/>
              <w:rPr>
                <w:b w:val="0"/>
                <w:bCs w:val="0"/>
                <w:rtl/>
              </w:rPr>
            </w:pPr>
            <w:r>
              <w:rPr>
                <w:b w:val="0"/>
                <w:bCs w:val="0"/>
                <w:rtl/>
              </w:rPr>
              <w:t>*******************************************************</w:t>
            </w:r>
          </w:p>
          <w:p w:rsidR="00000000" w:rsidRDefault="00B141E8">
            <w:pPr>
              <w:pStyle w:val="e7"/>
              <w:rPr>
                <w:b w:val="0"/>
                <w:bCs w:val="0"/>
                <w:rtl/>
              </w:rPr>
            </w:pPr>
          </w:p>
          <w:p w:rsidR="00000000" w:rsidRDefault="00B141E8">
            <w:pPr>
              <w:pStyle w:val="e7"/>
              <w:rPr>
                <w:b w:val="0"/>
                <w:bCs w:val="0"/>
                <w:rtl/>
              </w:rPr>
            </w:pPr>
            <w:r>
              <w:rPr>
                <w:b w:val="0"/>
                <w:bCs w:val="0"/>
                <w:rtl/>
              </w:rPr>
              <w:t>בית המדרש הוירטואלי שליד ישיבת ה</w:t>
            </w:r>
            <w:r>
              <w:rPr>
                <w:b w:val="0"/>
                <w:bCs w:val="0"/>
                <w:rtl/>
              </w:rPr>
              <w:t>ר עציון</w:t>
            </w:r>
          </w:p>
          <w:p w:rsidR="00000000" w:rsidRDefault="00B141E8" w:rsidP="00B141E8">
            <w:pPr>
              <w:pStyle w:val="e7"/>
              <w:rPr>
                <w:b w:val="0"/>
                <w:bCs w:val="0"/>
                <w:noProof w:val="0"/>
                <w:rtl/>
              </w:rPr>
            </w:pPr>
            <w:r>
              <w:rPr>
                <w:b w:val="0"/>
                <w:bCs w:val="0"/>
                <w:rtl/>
              </w:rPr>
              <w:t>האתר בעברית:</w:t>
            </w:r>
            <w:r>
              <w:rPr>
                <w:b w:val="0"/>
                <w:bCs w:val="0"/>
                <w:rtl/>
              </w:rPr>
              <w:tab/>
            </w:r>
            <w:r>
              <w:rPr>
                <w:b w:val="0"/>
                <w:bCs w:val="0"/>
              </w:rPr>
              <w:t>http://etzion.org.il</w:t>
            </w:r>
          </w:p>
          <w:p w:rsidR="00000000" w:rsidRDefault="00B141E8">
            <w:pPr>
              <w:pStyle w:val="e7"/>
              <w:rPr>
                <w:b w:val="0"/>
                <w:bCs w:val="0"/>
                <w:noProof w:val="0"/>
                <w:rtl/>
              </w:rPr>
            </w:pPr>
            <w:r>
              <w:rPr>
                <w:b w:val="0"/>
                <w:bCs w:val="0"/>
                <w:rtl/>
              </w:rPr>
              <w:t>האתר באנגלית:</w:t>
            </w:r>
            <w:r>
              <w:rPr>
                <w:b w:val="0"/>
                <w:bCs w:val="0"/>
                <w:rtl/>
              </w:rPr>
              <w:tab/>
            </w:r>
            <w:r>
              <w:rPr>
                <w:b w:val="0"/>
                <w:bCs w:val="0"/>
              </w:rPr>
              <w:t>http://www.vbm-torah.org</w:t>
            </w:r>
          </w:p>
          <w:p w:rsidR="00000000" w:rsidRDefault="00B141E8">
            <w:pPr>
              <w:pStyle w:val="e7"/>
              <w:rPr>
                <w:b w:val="0"/>
                <w:bCs w:val="0"/>
                <w:rtl/>
              </w:rPr>
            </w:pPr>
          </w:p>
          <w:p w:rsidR="00000000" w:rsidRDefault="00B141E8" w:rsidP="00B141E8">
            <w:pPr>
              <w:pStyle w:val="e7"/>
              <w:rPr>
                <w:b w:val="0"/>
                <w:bCs w:val="0"/>
                <w:rtl/>
              </w:rPr>
            </w:pPr>
            <w:r>
              <w:rPr>
                <w:b w:val="0"/>
                <w:bCs w:val="0"/>
                <w:rtl/>
              </w:rPr>
              <w:t xml:space="preserve">משרדי בית המדרש הוירטואלי: </w:t>
            </w:r>
            <w:r>
              <w:rPr>
                <w:rFonts w:hint="cs"/>
                <w:b w:val="0"/>
                <w:bCs w:val="0"/>
                <w:rtl/>
              </w:rPr>
              <w:t>02-9937300</w:t>
            </w:r>
            <w:r>
              <w:rPr>
                <w:b w:val="0"/>
                <w:bCs w:val="0"/>
              </w:rPr>
              <w:t>-</w:t>
            </w:r>
            <w:r>
              <w:rPr>
                <w:b w:val="0"/>
                <w:bCs w:val="0"/>
                <w:rtl/>
              </w:rPr>
              <w:t xml:space="preserve"> שלוחה 5 </w:t>
            </w:r>
          </w:p>
          <w:p w:rsidR="00000000" w:rsidRDefault="00B141E8" w:rsidP="00B141E8">
            <w:pPr>
              <w:pStyle w:val="e7"/>
              <w:rPr>
                <w:b w:val="0"/>
                <w:bCs w:val="0"/>
                <w:rtl/>
              </w:rPr>
            </w:pPr>
            <w:r>
              <w:rPr>
                <w:b w:val="0"/>
                <w:bCs w:val="0"/>
                <w:rtl/>
              </w:rPr>
              <w:t xml:space="preserve">דוא"ל: </w:t>
            </w:r>
            <w:r>
              <w:rPr>
                <w:b w:val="0"/>
                <w:bCs w:val="0"/>
              </w:rPr>
              <w:t>office</w:t>
            </w:r>
            <w:r>
              <w:rPr>
                <w:b w:val="0"/>
                <w:bCs w:val="0"/>
              </w:rPr>
              <w:t>@etzion.org.il</w:t>
            </w:r>
          </w:p>
        </w:tc>
        <w:tc>
          <w:tcPr>
            <w:tcW w:w="284" w:type="dxa"/>
            <w:tcBorders>
              <w:top w:val="nil"/>
              <w:left w:val="nil"/>
              <w:bottom w:val="nil"/>
              <w:right w:val="nil"/>
            </w:tcBorders>
          </w:tcPr>
          <w:p w:rsidR="00000000" w:rsidRDefault="00B141E8">
            <w:pPr>
              <w:pStyle w:val="e7"/>
              <w:rPr>
                <w:b w:val="0"/>
                <w:bCs w:val="0"/>
                <w:rtl/>
              </w:rPr>
            </w:pPr>
            <w:r>
              <w:rPr>
                <w:b w:val="0"/>
                <w:bCs w:val="0"/>
                <w:rtl/>
              </w:rPr>
              <w:t>*</w:t>
            </w:r>
            <w:r>
              <w:rPr>
                <w:b w:val="0"/>
                <w:bCs w:val="0"/>
                <w:rtl/>
              </w:rPr>
              <w:t xml:space="preserve"> * * * * * * * * * </w:t>
            </w:r>
          </w:p>
        </w:tc>
      </w:tr>
      <w:tr w:rsidR="00000000">
        <w:tblPrEx>
          <w:tblCellMar>
            <w:top w:w="0" w:type="dxa"/>
            <w:bottom w:w="0" w:type="dxa"/>
          </w:tblCellMar>
        </w:tblPrEx>
        <w:tc>
          <w:tcPr>
            <w:tcW w:w="283" w:type="dxa"/>
            <w:tcBorders>
              <w:top w:val="nil"/>
              <w:left w:val="nil"/>
              <w:bottom w:val="nil"/>
              <w:right w:val="nil"/>
            </w:tcBorders>
          </w:tcPr>
          <w:p w:rsidR="00000000" w:rsidRDefault="00B141E8">
            <w:pPr>
              <w:pStyle w:val="e7"/>
              <w:rPr>
                <w:b w:val="0"/>
                <w:bCs w:val="0"/>
                <w:rtl/>
              </w:rPr>
            </w:pPr>
            <w:r>
              <w:rPr>
                <w:b w:val="0"/>
                <w:bCs w:val="0"/>
                <w:rtl/>
              </w:rPr>
              <w:t>*</w:t>
            </w:r>
          </w:p>
        </w:tc>
        <w:tc>
          <w:tcPr>
            <w:tcW w:w="4111" w:type="dxa"/>
            <w:tcBorders>
              <w:top w:val="nil"/>
              <w:left w:val="nil"/>
              <w:bottom w:val="nil"/>
              <w:right w:val="nil"/>
            </w:tcBorders>
          </w:tcPr>
          <w:p w:rsidR="00000000" w:rsidRDefault="00B141E8">
            <w:pPr>
              <w:pStyle w:val="e7"/>
              <w:rPr>
                <w:b w:val="0"/>
                <w:bCs w:val="0"/>
                <w:rtl/>
              </w:rPr>
            </w:pPr>
            <w:r>
              <w:rPr>
                <w:b w:val="0"/>
                <w:bCs w:val="0"/>
                <w:rtl/>
              </w:rPr>
              <w:t>**********************************************************</w:t>
            </w:r>
          </w:p>
        </w:tc>
        <w:tc>
          <w:tcPr>
            <w:tcW w:w="284" w:type="dxa"/>
            <w:tcBorders>
              <w:top w:val="nil"/>
              <w:left w:val="nil"/>
              <w:bottom w:val="nil"/>
              <w:right w:val="nil"/>
            </w:tcBorders>
          </w:tcPr>
          <w:p w:rsidR="00000000" w:rsidRDefault="00B141E8">
            <w:pPr>
              <w:pStyle w:val="e7"/>
              <w:rPr>
                <w:b w:val="0"/>
                <w:bCs w:val="0"/>
                <w:rtl/>
              </w:rPr>
            </w:pPr>
            <w:r>
              <w:rPr>
                <w:b w:val="0"/>
                <w:bCs w:val="0"/>
                <w:rtl/>
              </w:rPr>
              <w:t>*</w:t>
            </w:r>
          </w:p>
        </w:tc>
      </w:tr>
    </w:tbl>
    <w:p w:rsidR="00000000" w:rsidRDefault="00B141E8">
      <w:pPr>
        <w:spacing w:after="0" w:line="240" w:lineRule="auto"/>
        <w:rPr>
          <w:rFonts w:hint="cs"/>
          <w:sz w:val="4"/>
          <w:szCs w:val="4"/>
        </w:rPr>
      </w:pPr>
      <w:bookmarkStart w:id="0" w:name="_GoBack"/>
      <w:bookmarkEnd w:id="0"/>
    </w:p>
    <w:sectPr w:rsidR="00000000">
      <w:headerReference w:type="default" r:id="rId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41E8">
      <w:pPr>
        <w:spacing w:after="0" w:line="240" w:lineRule="auto"/>
      </w:pPr>
      <w:r>
        <w:separator/>
      </w:r>
    </w:p>
  </w:endnote>
  <w:endnote w:type="continuationSeparator" w:id="0">
    <w:p w:rsidR="00000000" w:rsidRDefault="00B1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41E8">
      <w:pPr>
        <w:spacing w:after="0" w:line="240" w:lineRule="auto"/>
      </w:pPr>
      <w:r>
        <w:separator/>
      </w:r>
    </w:p>
  </w:footnote>
  <w:footnote w:type="continuationSeparator" w:id="0">
    <w:p w:rsidR="00000000" w:rsidRDefault="00B141E8">
      <w:pPr>
        <w:spacing w:after="0" w:line="240" w:lineRule="auto"/>
      </w:pPr>
      <w:r>
        <w:continuationSeparator/>
      </w:r>
    </w:p>
  </w:footnote>
  <w:footnote w:id="1">
    <w:p w:rsidR="00000000" w:rsidRDefault="00B141E8">
      <w:pPr>
        <w:pStyle w:val="a3"/>
        <w:ind w:left="225" w:right="0"/>
      </w:pPr>
      <w:r>
        <w:rPr>
          <w:rStyle w:val="a5"/>
          <w:szCs w:val="18"/>
          <w:rtl/>
        </w:rPr>
        <w:t>*</w:t>
      </w:r>
      <w:r>
        <w:rPr>
          <w:szCs w:val="18"/>
          <w:rtl/>
        </w:rPr>
        <w:t xml:space="preserve"> </w:t>
      </w:r>
      <w:r>
        <w:rPr>
          <w:szCs w:val="18"/>
          <w:rtl/>
        </w:rPr>
        <w:tab/>
        <w:t xml:space="preserve">השיחה נאמרה בתענית אסתר </w:t>
      </w:r>
      <w:proofErr w:type="spellStart"/>
      <w:r>
        <w:rPr>
          <w:szCs w:val="18"/>
          <w:rtl/>
        </w:rPr>
        <w:t>התשס"א</w:t>
      </w:r>
      <w:proofErr w:type="spellEnd"/>
      <w:r>
        <w:rPr>
          <w:szCs w:val="18"/>
          <w:rtl/>
        </w:rPr>
        <w:t xml:space="preserve">, וסוכמה ע"י זאב </w:t>
      </w:r>
      <w:proofErr w:type="spellStart"/>
      <w:r>
        <w:rPr>
          <w:szCs w:val="18"/>
          <w:rtl/>
        </w:rPr>
        <w:t>פרימר</w:t>
      </w:r>
      <w:proofErr w:type="spellEnd"/>
      <w:r>
        <w:rPr>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6" w:space="0" w:color="auto"/>
      </w:tblBorders>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Borders>
            <w:top w:val="nil"/>
            <w:left w:val="nil"/>
            <w:bottom w:val="double" w:sz="6" w:space="0" w:color="auto"/>
            <w:right w:val="nil"/>
          </w:tcBorders>
        </w:tcPr>
        <w:p w:rsidR="00000000" w:rsidRDefault="00B141E8">
          <w:pPr>
            <w:pStyle w:val="a6"/>
            <w:tabs>
              <w:tab w:val="clear" w:pos="4153"/>
              <w:tab w:val="clear" w:pos="8306"/>
              <w:tab w:val="center" w:pos="4818"/>
              <w:tab w:val="right" w:pos="8220"/>
            </w:tabs>
            <w:spacing w:after="0"/>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000000" w:rsidRDefault="00B141E8">
          <w:pPr>
            <w:pStyle w:val="a6"/>
            <w:tabs>
              <w:tab w:val="clear" w:pos="4153"/>
              <w:tab w:val="clear" w:pos="8306"/>
              <w:tab w:val="center" w:pos="4818"/>
              <w:tab w:val="right" w:pos="8220"/>
            </w:tabs>
            <w:spacing w:after="0"/>
            <w:rPr>
              <w:rtl/>
            </w:rPr>
          </w:pPr>
          <w:r>
            <w:rPr>
              <w:rtl/>
            </w:rPr>
            <w:t>שיחות מאת ראשי ישיבת הר עציון</w:t>
          </w:r>
        </w:p>
      </w:tc>
      <w:tc>
        <w:tcPr>
          <w:tcW w:w="4927" w:type="dxa"/>
          <w:tcBorders>
            <w:top w:val="nil"/>
            <w:left w:val="nil"/>
            <w:bottom w:val="double" w:sz="6" w:space="0" w:color="auto"/>
            <w:right w:val="nil"/>
          </w:tcBorders>
        </w:tcPr>
        <w:p w:rsidR="00000000" w:rsidRDefault="00B141E8" w:rsidP="00B141E8">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000000" w:rsidRDefault="00B141E8">
    <w:pPr>
      <w:pStyle w:val="a6"/>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141E8">
    <w:pPr>
      <w:pStyle w:val="a6"/>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2</w:t>
    </w:r>
    <w:r>
      <w:rPr>
        <w:b/>
        <w:bCs/>
        <w:rtl/>
      </w:rPr>
      <w:fldChar w:fldCharType="end"/>
    </w:r>
    <w:r>
      <w:rPr>
        <w:b/>
        <w:b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1E8"/>
    <w:rsid w:val="00B1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CEC3EA-DFD0-4F40-89E3-5AE2D99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bidi/>
      <w:spacing w:after="60" w:line="-260" w:lineRule="auto"/>
      <w:jc w:val="both"/>
    </w:pPr>
    <w:rPr>
      <w:rFonts w:ascii="Times New Roman" w:hAnsi="Times New Roman" w:cs="Narkisim"/>
      <w:sz w:val="20"/>
      <w:szCs w:val="20"/>
    </w:rPr>
  </w:style>
  <w:style w:type="paragraph" w:styleId="1">
    <w:name w:val="heading 1"/>
    <w:basedOn w:val="a"/>
    <w:next w:val="a"/>
    <w:link w:val="10"/>
    <w:uiPriority w:val="99"/>
    <w:qFormat/>
    <w:pPr>
      <w:keepNext/>
      <w:outlineLvl w:val="0"/>
    </w:pPr>
    <w:rPr>
      <w:rFonts w:cs="Miriam"/>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keepNext/>
      <w:spacing w:before="120" w:after="0" w:line="288" w:lineRule="auto"/>
      <w:jc w:val="center"/>
      <w:outlineLvl w:val="4"/>
    </w:pPr>
    <w:rPr>
      <w:rFonts w:cs="Miriam"/>
      <w:sz w:val="24"/>
      <w:szCs w:val="36"/>
      <w:u w:val="single"/>
    </w:rPr>
  </w:style>
  <w:style w:type="paragraph" w:styleId="6">
    <w:name w:val="heading 6"/>
    <w:basedOn w:val="a"/>
    <w:next w:val="a"/>
    <w:link w:val="60"/>
    <w:uiPriority w:val="99"/>
    <w:qFormat/>
    <w:pPr>
      <w:keepNext/>
      <w:spacing w:before="120" w:after="0" w:line="288" w:lineRule="auto"/>
      <w:jc w:val="center"/>
      <w:outlineLvl w:val="5"/>
    </w:pPr>
    <w:rPr>
      <w:rFonts w:cs="Miriam"/>
      <w:sz w:val="24"/>
      <w:szCs w:val="36"/>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rPr>
  </w:style>
  <w:style w:type="character" w:customStyle="1" w:styleId="40">
    <w:name w:val="כותרת 4 תו"/>
    <w:basedOn w:val="a0"/>
    <w:link w:val="4"/>
    <w:uiPriority w:val="9"/>
    <w:semiHidden/>
    <w:rPr>
      <w:b/>
      <w:bCs/>
      <w:sz w:val="28"/>
      <w:szCs w:val="28"/>
    </w:rPr>
  </w:style>
  <w:style w:type="character" w:customStyle="1" w:styleId="50">
    <w:name w:val="כותרת 5 תו"/>
    <w:basedOn w:val="a0"/>
    <w:link w:val="5"/>
    <w:uiPriority w:val="9"/>
    <w:semiHidden/>
    <w:rPr>
      <w:b/>
      <w:bCs/>
      <w:i/>
      <w:iCs/>
      <w:sz w:val="26"/>
      <w:szCs w:val="26"/>
    </w:rPr>
  </w:style>
  <w:style w:type="character" w:customStyle="1" w:styleId="60">
    <w:name w:val="כותרת 6 תו"/>
    <w:basedOn w:val="a0"/>
    <w:link w:val="6"/>
    <w:uiPriority w:val="9"/>
    <w:semiHidden/>
    <w:rPr>
      <w:b/>
      <w:bCs/>
    </w:rPr>
  </w:style>
  <w:style w:type="paragraph" w:styleId="a3">
    <w:name w:val="footnote text"/>
    <w:basedOn w:val="a"/>
    <w:link w:val="a4"/>
    <w:uiPriority w:val="99"/>
    <w:pPr>
      <w:spacing w:line="-200" w:lineRule="auto"/>
      <w:ind w:right="225" w:hanging="225"/>
    </w:pPr>
    <w:rPr>
      <w:szCs w:val="16"/>
    </w:rPr>
  </w:style>
  <w:style w:type="character" w:customStyle="1" w:styleId="a4">
    <w:name w:val="טקסט הערת שוליים תו"/>
    <w:basedOn w:val="a0"/>
    <w:link w:val="a3"/>
    <w:uiPriority w:val="99"/>
    <w:semiHidden/>
    <w:rPr>
      <w:rFonts w:ascii="Times New Roman" w:hAnsi="Times New Roman" w:cs="Narkisim"/>
      <w:sz w:val="20"/>
      <w:szCs w:val="20"/>
    </w:rPr>
  </w:style>
  <w:style w:type="character" w:styleId="a5">
    <w:name w:val="footnote reference"/>
    <w:basedOn w:val="a0"/>
    <w:uiPriority w:val="99"/>
    <w:rPr>
      <w:rFonts w:cs="Narkisim"/>
      <w:position w:val="4"/>
      <w:szCs w:val="20"/>
      <w:vertAlign w:val="superscript"/>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rPr>
      <w:rFonts w:ascii="Times New Roman" w:hAnsi="Times New Roman" w:cs="Narkisim"/>
      <w:sz w:val="20"/>
      <w:szCs w:val="20"/>
    </w:rPr>
  </w:style>
  <w:style w:type="paragraph" w:customStyle="1" w:styleId="a8">
    <w:name w:val="פרשה"/>
    <w:basedOn w:val="1"/>
    <w:uiPriority w:val="99"/>
    <w:pPr>
      <w:spacing w:before="240" w:after="240" w:line="240" w:lineRule="auto"/>
      <w:jc w:val="center"/>
      <w:outlineLvl w:val="9"/>
    </w:pPr>
    <w:rPr>
      <w:rFonts w:cs="Narkisim"/>
      <w:b/>
      <w:bCs/>
      <w:sz w:val="32"/>
      <w:szCs w:val="32"/>
    </w:rPr>
  </w:style>
  <w:style w:type="paragraph" w:styleId="a9">
    <w:name w:val="Quote"/>
    <w:basedOn w:val="a"/>
    <w:link w:val="aa"/>
    <w:uiPriority w:val="99"/>
    <w:qFormat/>
    <w:pPr>
      <w:tabs>
        <w:tab w:val="right" w:pos="4620"/>
      </w:tabs>
      <w:ind w:right="567"/>
    </w:pPr>
  </w:style>
  <w:style w:type="character" w:customStyle="1" w:styleId="aa">
    <w:name w:val="ציטוט תו"/>
    <w:basedOn w:val="a0"/>
    <w:link w:val="a9"/>
    <w:uiPriority w:val="29"/>
    <w:rPr>
      <w:rFonts w:ascii="Times New Roman" w:hAnsi="Times New Roman" w:cs="Narkisim"/>
      <w:i/>
      <w:iCs/>
      <w:color w:val="404040" w:themeColor="text1" w:themeTint="BF"/>
      <w:sz w:val="20"/>
      <w:szCs w:val="20"/>
    </w:rPr>
  </w:style>
  <w:style w:type="paragraph" w:customStyle="1" w:styleId="ab">
    <w:name w:val="כות"/>
    <w:basedOn w:val="a"/>
    <w:uiPriority w:val="99"/>
    <w:pPr>
      <w:keepNext/>
      <w:spacing w:before="360" w:after="240" w:line="240" w:lineRule="auto"/>
      <w:jc w:val="center"/>
    </w:pPr>
    <w:rPr>
      <w:b/>
      <w:bCs/>
      <w:sz w:val="36"/>
      <w:szCs w:val="36"/>
    </w:rPr>
  </w:style>
  <w:style w:type="paragraph" w:customStyle="1" w:styleId="21">
    <w:name w:val="כותרת2"/>
    <w:basedOn w:val="ab"/>
    <w:uiPriority w:val="99"/>
    <w:pPr>
      <w:spacing w:after="60"/>
      <w:jc w:val="left"/>
    </w:pPr>
    <w:rPr>
      <w:sz w:val="26"/>
      <w:szCs w:val="26"/>
    </w:rPr>
  </w:style>
  <w:style w:type="paragraph" w:customStyle="1" w:styleId="e7">
    <w:name w:val="לוגו תנe7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style>
  <w:style w:type="character" w:customStyle="1" w:styleId="ad">
    <w:name w:val="כותרת תחתונה תו"/>
    <w:basedOn w:val="a0"/>
    <w:link w:val="ac"/>
    <w:uiPriority w:val="99"/>
    <w:semiHidden/>
    <w:rPr>
      <w:rFonts w:ascii="Times New Roman" w:hAnsi="Times New Roman" w:cs="Narkisim"/>
      <w:sz w:val="20"/>
      <w:szCs w:val="20"/>
    </w:rPr>
  </w:style>
  <w:style w:type="paragraph" w:customStyle="1" w:styleId="ae">
    <w:name w:val="מחבר"/>
    <w:basedOn w:val="21"/>
    <w:uiPriority w:val="99"/>
    <w:pPr>
      <w:spacing w:before="240" w:after="0"/>
    </w:pPr>
  </w:style>
  <w:style w:type="paragraph" w:styleId="22">
    <w:name w:val="Body Text 2"/>
    <w:basedOn w:val="a"/>
    <w:link w:val="23"/>
    <w:uiPriority w:val="99"/>
    <w:pPr>
      <w:spacing w:before="120" w:after="0" w:line="288" w:lineRule="auto"/>
    </w:pPr>
    <w:rPr>
      <w:rFonts w:cs="Miriam"/>
      <w:b/>
      <w:bCs/>
      <w:sz w:val="24"/>
      <w:szCs w:val="24"/>
    </w:rPr>
  </w:style>
  <w:style w:type="character" w:customStyle="1" w:styleId="23">
    <w:name w:val="גוף טקסט 2 תו"/>
    <w:basedOn w:val="a0"/>
    <w:link w:val="22"/>
    <w:uiPriority w:val="99"/>
    <w:semiHidden/>
    <w:rPr>
      <w:rFonts w:ascii="Times New Roman" w:hAnsi="Times New Roman" w:cs="Narkisim"/>
      <w:sz w:val="20"/>
      <w:szCs w:val="20"/>
    </w:rPr>
  </w:style>
  <w:style w:type="paragraph" w:customStyle="1" w:styleId="11">
    <w:name w:val="כותרת1"/>
    <w:basedOn w:val="ae"/>
    <w:uiPriority w:val="99"/>
    <w:pPr>
      <w:keepNext w:val="0"/>
      <w:spacing w:before="360" w:after="240"/>
      <w:jc w:val="center"/>
    </w:pPr>
    <w:rPr>
      <w:sz w:val="20"/>
      <w:szCs w:val="32"/>
    </w:rPr>
  </w:style>
  <w:style w:type="paragraph" w:styleId="af">
    <w:name w:val="Body Text"/>
    <w:basedOn w:val="a"/>
    <w:link w:val="af0"/>
    <w:uiPriority w:val="99"/>
    <w:pPr>
      <w:spacing w:after="0" w:line="240" w:lineRule="auto"/>
    </w:pPr>
    <w:rPr>
      <w:rFonts w:cs="Miriam"/>
      <w:sz w:val="24"/>
      <w:szCs w:val="24"/>
    </w:rPr>
  </w:style>
  <w:style w:type="character" w:customStyle="1" w:styleId="af0">
    <w:name w:val="גוף טקסט תו"/>
    <w:basedOn w:val="a0"/>
    <w:link w:val="af"/>
    <w:uiPriority w:val="99"/>
    <w:semiHidden/>
    <w:rPr>
      <w:rFonts w:ascii="Times New Roman" w:hAnsi="Times New Roman" w:cs="Narkisim"/>
      <w:sz w:val="20"/>
      <w:szCs w:val="20"/>
    </w:rPr>
  </w:style>
  <w:style w:type="paragraph" w:styleId="af1">
    <w:name w:val="Title"/>
    <w:basedOn w:val="a"/>
    <w:link w:val="af2"/>
    <w:uiPriority w:val="99"/>
    <w:qFormat/>
    <w:pPr>
      <w:spacing w:before="120" w:after="0" w:line="288" w:lineRule="auto"/>
      <w:jc w:val="center"/>
    </w:pPr>
    <w:rPr>
      <w:rFonts w:cs="Miriam"/>
      <w:sz w:val="24"/>
      <w:szCs w:val="32"/>
    </w:rPr>
  </w:style>
  <w:style w:type="character" w:customStyle="1" w:styleId="af2">
    <w:name w:val="כותרת טקסט תו"/>
    <w:basedOn w:val="a0"/>
    <w:link w:val="af1"/>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877</Words>
  <Characters>4387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yeshivat har etzion</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דבורה ברקוביץ</cp:lastModifiedBy>
  <cp:revision>2</cp:revision>
  <cp:lastPrinted>2003-01-20T16:45:00Z</cp:lastPrinted>
  <dcterms:created xsi:type="dcterms:W3CDTF">2020-03-05T09:04:00Z</dcterms:created>
  <dcterms:modified xsi:type="dcterms:W3CDTF">2020-03-05T09:04:00Z</dcterms:modified>
</cp:coreProperties>
</file>