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05119802" w:rsidR="00BD0D01" w:rsidRDefault="00E10606" w:rsidP="00E10606">
      <w:pPr>
        <w:pStyle w:val="1"/>
        <w:contextualSpacing/>
        <w:rPr>
          <w:rtl/>
        </w:rPr>
      </w:pPr>
      <w:bookmarkStart w:id="0" w:name="OLE_LINK1"/>
      <w:r>
        <w:rPr>
          <w:rFonts w:hint="cs"/>
          <w:rtl/>
        </w:rPr>
        <w:t>20</w:t>
      </w:r>
      <w:r w:rsidR="00605B50">
        <w:rPr>
          <w:rFonts w:hint="cs"/>
          <w:rtl/>
        </w:rPr>
        <w:t xml:space="preserve"> </w:t>
      </w:r>
      <w:bookmarkEnd w:id="0"/>
      <w:r>
        <w:rPr>
          <w:rFonts w:hint="cs"/>
          <w:rtl/>
        </w:rPr>
        <w:t>מנחת ביכורים</w:t>
      </w:r>
    </w:p>
    <w:p w14:paraId="41D6E121" w14:textId="77777777" w:rsidR="00437A07" w:rsidRDefault="00437A07" w:rsidP="004C6137">
      <w:pPr>
        <w:rPr>
          <w:rtl/>
        </w:rPr>
      </w:pPr>
    </w:p>
    <w:p w14:paraId="1DABA277" w14:textId="49034E9B" w:rsidR="00E10606" w:rsidRDefault="005964B2" w:rsidP="005964B2">
      <w:pPr>
        <w:ind w:left="720"/>
        <w:rPr>
          <w:snapToGrid w:val="0"/>
          <w:rtl/>
        </w:rPr>
      </w:pPr>
      <w:r>
        <w:rPr>
          <w:rFonts w:hint="cs"/>
          <w:snapToGrid w:val="0"/>
          <w:rtl/>
        </w:rPr>
        <w:t>"</w:t>
      </w:r>
      <w:r w:rsidR="00E10606">
        <w:rPr>
          <w:snapToGrid w:val="0"/>
          <w:rtl/>
        </w:rPr>
        <w:t>וְאִם תַּקְרִיב מִנְחַת בִּכּוּרִים לה'</w:t>
      </w:r>
    </w:p>
    <w:p w14:paraId="5C846B06" w14:textId="1EEB70F8" w:rsidR="00E10606" w:rsidRDefault="005964B2" w:rsidP="005964B2">
      <w:pPr>
        <w:ind w:left="720"/>
        <w:rPr>
          <w:snapToGrid w:val="0"/>
          <w:rtl/>
        </w:rPr>
      </w:pPr>
      <w:r>
        <w:rPr>
          <w:rFonts w:hint="cs"/>
          <w:snapToGrid w:val="0"/>
          <w:rtl/>
        </w:rPr>
        <w:t>"</w:t>
      </w:r>
      <w:r w:rsidR="00E10606">
        <w:rPr>
          <w:snapToGrid w:val="0"/>
          <w:rtl/>
        </w:rPr>
        <w:t>אָבִיב קָלוּי בָּאֵשׁ גֶּרֶשׂ כַּרְמֶל תַּקְרִיב אֵת מִנְחַת בִּכּוּרֶיךָ.</w:t>
      </w:r>
    </w:p>
    <w:p w14:paraId="5F0A9D12" w14:textId="495999B5" w:rsidR="00E10606" w:rsidRDefault="005964B2" w:rsidP="005964B2">
      <w:pPr>
        <w:ind w:left="720"/>
        <w:rPr>
          <w:snapToGrid w:val="0"/>
          <w:rtl/>
        </w:rPr>
      </w:pPr>
      <w:r>
        <w:rPr>
          <w:rFonts w:hint="cs"/>
          <w:snapToGrid w:val="0"/>
          <w:rtl/>
        </w:rPr>
        <w:t>"</w:t>
      </w:r>
      <w:r w:rsidR="00E10606">
        <w:rPr>
          <w:snapToGrid w:val="0"/>
          <w:rtl/>
        </w:rPr>
        <w:t>וְנָתַתָּ עָלֶיהָ שֶׁמֶן וְשַׂמְתָּ עָלֶיהָ לְבֹנָה מִנְחָה הִוא.</w:t>
      </w:r>
    </w:p>
    <w:p w14:paraId="353897DA" w14:textId="5927D04C" w:rsidR="00E10606" w:rsidRDefault="005964B2" w:rsidP="005964B2">
      <w:pPr>
        <w:ind w:left="720"/>
        <w:rPr>
          <w:rtl/>
        </w:rPr>
      </w:pPr>
      <w:r>
        <w:rPr>
          <w:rFonts w:hint="cs"/>
          <w:snapToGrid w:val="0"/>
          <w:rtl/>
        </w:rPr>
        <w:t>"</w:t>
      </w:r>
      <w:r w:rsidR="00E10606">
        <w:rPr>
          <w:snapToGrid w:val="0"/>
          <w:rtl/>
        </w:rPr>
        <w:t>וְהִקְטִיר הַכֹּהֵן אֶת אַזְכָּרָתָהּ</w:t>
      </w:r>
      <w:r w:rsidR="00E10606">
        <w:rPr>
          <w:rFonts w:hint="cs"/>
          <w:snapToGrid w:val="0"/>
          <w:rtl/>
        </w:rPr>
        <w:t xml:space="preserve"> </w:t>
      </w:r>
      <w:r w:rsidR="00E10606">
        <w:rPr>
          <w:snapToGrid w:val="0"/>
          <w:rtl/>
        </w:rPr>
        <w:t>מִגִּרְשָׂהּ וּמִשַּׁמְנָהּ עַל כָּל לְבֹנָתָה</w:t>
      </w:r>
      <w:r w:rsidR="00E10606">
        <w:rPr>
          <w:rFonts w:hint="cs"/>
          <w:snapToGrid w:val="0"/>
          <w:rtl/>
        </w:rPr>
        <w:t xml:space="preserve"> </w:t>
      </w:r>
      <w:r w:rsidR="00E10606">
        <w:rPr>
          <w:snapToGrid w:val="0"/>
          <w:rtl/>
        </w:rPr>
        <w:t>אִשֶּׁה לַה'</w:t>
      </w:r>
      <w:r>
        <w:rPr>
          <w:rFonts w:hint="cs"/>
          <w:snapToGrid w:val="0"/>
          <w:rtl/>
        </w:rPr>
        <w:t>"</w:t>
      </w:r>
      <w:r w:rsidR="00E10606">
        <w:rPr>
          <w:snapToGrid w:val="0"/>
          <w:rtl/>
        </w:rPr>
        <w:t xml:space="preserve"> </w:t>
      </w:r>
      <w:r>
        <w:rPr>
          <w:snapToGrid w:val="0"/>
          <w:rtl/>
        </w:rPr>
        <w:tab/>
      </w:r>
      <w:r w:rsidR="00E10606" w:rsidRPr="005964B2">
        <w:rPr>
          <w:sz w:val="20"/>
          <w:szCs w:val="20"/>
          <w:rtl/>
        </w:rPr>
        <w:t>(ויקרא ב', יד-טז)</w:t>
      </w:r>
      <w:r w:rsidR="00E10606">
        <w:rPr>
          <w:rtl/>
        </w:rPr>
        <w:t>.</w:t>
      </w:r>
    </w:p>
    <w:p w14:paraId="572657A4" w14:textId="209A0424" w:rsidR="00E10606" w:rsidRDefault="00E10606" w:rsidP="005C0C87">
      <w:pPr>
        <w:rPr>
          <w:rtl/>
        </w:rPr>
      </w:pPr>
      <w:r>
        <w:rPr>
          <w:rFonts w:hint="cs"/>
          <w:rtl/>
        </w:rPr>
        <w:t xml:space="preserve">משום מה, לאחר הנספחים </w:t>
      </w:r>
      <w:r>
        <w:rPr>
          <w:rtl/>
        </w:rPr>
        <w:t>–</w:t>
      </w:r>
      <w:r>
        <w:rPr>
          <w:rFonts w:hint="cs"/>
          <w:rtl/>
        </w:rPr>
        <w:t xml:space="preserve"> איסור חמץ וחובת הוספת המלח </w:t>
      </w:r>
      <w:r>
        <w:rPr>
          <w:rtl/>
        </w:rPr>
        <w:t>–</w:t>
      </w:r>
      <w:r>
        <w:rPr>
          <w:rFonts w:hint="cs"/>
          <w:rtl/>
        </w:rPr>
        <w:t xml:space="preserve"> משולבת אופציית מנחה נוספת </w:t>
      </w:r>
      <w:r>
        <w:rPr>
          <w:rtl/>
        </w:rPr>
        <w:t>("ואם")</w:t>
      </w:r>
      <w:r w:rsidR="007970DA">
        <w:rPr>
          <w:rFonts w:hint="cs"/>
          <w:rtl/>
        </w:rPr>
        <w:t>.</w:t>
      </w:r>
      <w:r>
        <w:rPr>
          <w:rFonts w:hint="cs"/>
          <w:rtl/>
        </w:rPr>
        <w:t xml:space="preserve"> מנחה </w:t>
      </w:r>
      <w:r w:rsidR="007970DA">
        <w:rPr>
          <w:rFonts w:hint="cs"/>
          <w:rtl/>
        </w:rPr>
        <w:t xml:space="preserve">זו </w:t>
      </w:r>
      <w:r>
        <w:rPr>
          <w:rFonts w:hint="cs"/>
          <w:rtl/>
        </w:rPr>
        <w:t>מכונה בכתוב 'מנחת ביכורים', ו</w:t>
      </w:r>
      <w:r>
        <w:rPr>
          <w:rtl/>
        </w:rPr>
        <w:t>דיניה שונים בכמה פרטים מדי</w:t>
      </w:r>
      <w:r>
        <w:rPr>
          <w:rFonts w:hint="cs"/>
          <w:rtl/>
        </w:rPr>
        <w:t>ני</w:t>
      </w:r>
      <w:r>
        <w:rPr>
          <w:rtl/>
        </w:rPr>
        <w:t xml:space="preserve"> המנחות </w:t>
      </w:r>
      <w:r>
        <w:rPr>
          <w:rFonts w:hint="cs"/>
          <w:rtl/>
        </w:rPr>
        <w:t xml:space="preserve">שהוזכרו </w:t>
      </w:r>
      <w:r>
        <w:rPr>
          <w:rtl/>
        </w:rPr>
        <w:t>ב</w:t>
      </w:r>
      <w:r>
        <w:rPr>
          <w:rFonts w:hint="cs"/>
          <w:rtl/>
        </w:rPr>
        <w:t xml:space="preserve">תחילת </w:t>
      </w:r>
      <w:r>
        <w:rPr>
          <w:rtl/>
        </w:rPr>
        <w:t>הפרק</w:t>
      </w:r>
      <w:r>
        <w:rPr>
          <w:rFonts w:hint="cs"/>
          <w:rtl/>
        </w:rPr>
        <w:t xml:space="preserve">. </w:t>
      </w:r>
      <w:r>
        <w:rPr>
          <w:rtl/>
        </w:rPr>
        <w:t xml:space="preserve">ההבדל המרכזי הוא שהמנחות הרגילות </w:t>
      </w:r>
      <w:r>
        <w:rPr>
          <w:rFonts w:hint="cs"/>
          <w:rtl/>
        </w:rPr>
        <w:t xml:space="preserve">באות </w:t>
      </w:r>
      <w:r>
        <w:rPr>
          <w:rtl/>
        </w:rPr>
        <w:t>מחיטה ("סלת"), בעוד מנחה זו מובאת מן השעורים ("אביב")</w:t>
      </w:r>
      <w:r>
        <w:rPr>
          <w:rFonts w:hint="cs"/>
          <w:rtl/>
        </w:rPr>
        <w:t>.</w:t>
      </w:r>
      <w:r>
        <w:rPr>
          <w:rStyle w:val="a5"/>
          <w:rtl/>
        </w:rPr>
        <w:footnoteReference w:id="1"/>
      </w:r>
      <w:r>
        <w:rPr>
          <w:rFonts w:hint="cs"/>
          <w:rtl/>
        </w:rPr>
        <w:t xml:space="preserve"> הסיבה לשינוי ברורה: </w:t>
      </w:r>
      <w:r>
        <w:rPr>
          <w:rtl/>
        </w:rPr>
        <w:t xml:space="preserve">השעורה מבכירה </w:t>
      </w:r>
      <w:r>
        <w:rPr>
          <w:rFonts w:hint="cs"/>
          <w:rtl/>
        </w:rPr>
        <w:t xml:space="preserve">הרי </w:t>
      </w:r>
      <w:r>
        <w:rPr>
          <w:rtl/>
        </w:rPr>
        <w:t>לפני החיטה, ובמנחת ביכורים עסקינן.</w:t>
      </w:r>
      <w:r>
        <w:rPr>
          <w:rStyle w:val="a5"/>
          <w:rtl/>
        </w:rPr>
        <w:footnoteReference w:id="2"/>
      </w:r>
      <w:r>
        <w:rPr>
          <w:rtl/>
        </w:rPr>
        <w:t xml:space="preserve"> פער זה </w:t>
      </w:r>
      <w:r>
        <w:rPr>
          <w:rFonts w:hint="cs"/>
          <w:rtl/>
        </w:rPr>
        <w:t>מוביל להבדל סגנוני נוסף. ב</w:t>
      </w:r>
      <w:r>
        <w:rPr>
          <w:rtl/>
        </w:rPr>
        <w:t>מנחת ביכורים</w:t>
      </w:r>
      <w:r>
        <w:rPr>
          <w:rFonts w:hint="cs"/>
          <w:rtl/>
        </w:rPr>
        <w:t xml:space="preserve"> נאמר</w:t>
      </w:r>
      <w:r>
        <w:rPr>
          <w:rtl/>
        </w:rPr>
        <w:t>: "</w:t>
      </w:r>
      <w:r>
        <w:rPr>
          <w:snapToGrid w:val="0"/>
          <w:rtl/>
        </w:rPr>
        <w:t>וְהִקְטִיר הַכֹּהֵן אֶת אַזְכָּרָתָהּ</w:t>
      </w:r>
      <w:r>
        <w:rPr>
          <w:rFonts w:hint="cs"/>
          <w:snapToGrid w:val="0"/>
          <w:rtl/>
        </w:rPr>
        <w:t xml:space="preserve"> </w:t>
      </w:r>
      <w:r w:rsidRPr="008D6E74">
        <w:rPr>
          <w:b/>
          <w:bCs/>
          <w:snapToGrid w:val="0"/>
          <w:rtl/>
        </w:rPr>
        <w:t>מִגִּרְשָׂהּ</w:t>
      </w:r>
      <w:r>
        <w:rPr>
          <w:snapToGrid w:val="0"/>
          <w:rtl/>
        </w:rPr>
        <w:t xml:space="preserve"> וּמִשַּׁמְנָהּ</w:t>
      </w:r>
      <w:r>
        <w:rPr>
          <w:rtl/>
        </w:rPr>
        <w:t xml:space="preserve">" </w:t>
      </w:r>
      <w:r w:rsidRPr="00B13A6F">
        <w:rPr>
          <w:sz w:val="20"/>
          <w:szCs w:val="20"/>
          <w:rtl/>
        </w:rPr>
        <w:t>(ב', טז)</w:t>
      </w:r>
      <w:r>
        <w:rPr>
          <w:rtl/>
        </w:rPr>
        <w:t xml:space="preserve">, </w:t>
      </w:r>
      <w:r>
        <w:rPr>
          <w:rFonts w:hint="cs"/>
          <w:rtl/>
        </w:rPr>
        <w:t xml:space="preserve">שלא כמו הביטוי המקביל במנחה הרגילה: </w:t>
      </w:r>
      <w:r>
        <w:rPr>
          <w:rtl/>
        </w:rPr>
        <w:t>"</w:t>
      </w:r>
      <w:r>
        <w:rPr>
          <w:rFonts w:hint="cs"/>
          <w:rtl/>
        </w:rPr>
        <w:t>וְקָמַץ</w:t>
      </w:r>
      <w:r>
        <w:rPr>
          <w:rtl/>
        </w:rPr>
        <w:t xml:space="preserve"> </w:t>
      </w:r>
      <w:r>
        <w:rPr>
          <w:rFonts w:hint="cs"/>
          <w:rtl/>
        </w:rPr>
        <w:t>מִשָּׁם</w:t>
      </w:r>
      <w:r>
        <w:rPr>
          <w:rtl/>
        </w:rPr>
        <w:t xml:space="preserve"> </w:t>
      </w:r>
      <w:r>
        <w:rPr>
          <w:rFonts w:hint="cs"/>
          <w:rtl/>
        </w:rPr>
        <w:t>מְלֹא</w:t>
      </w:r>
      <w:r>
        <w:rPr>
          <w:rtl/>
        </w:rPr>
        <w:t xml:space="preserve"> </w:t>
      </w:r>
      <w:r>
        <w:rPr>
          <w:rFonts w:hint="cs"/>
          <w:rtl/>
        </w:rPr>
        <w:t>קֻמְצוֹ</w:t>
      </w:r>
      <w:r>
        <w:rPr>
          <w:rtl/>
        </w:rPr>
        <w:t xml:space="preserve"> </w:t>
      </w:r>
      <w:r w:rsidRPr="008D6E74">
        <w:rPr>
          <w:rFonts w:hint="cs"/>
          <w:b/>
          <w:bCs/>
          <w:rtl/>
        </w:rPr>
        <w:t>מִסָּלְתָּהּ</w:t>
      </w:r>
      <w:r>
        <w:rPr>
          <w:rtl/>
        </w:rPr>
        <w:t xml:space="preserve"> </w:t>
      </w:r>
      <w:r>
        <w:rPr>
          <w:rFonts w:hint="cs"/>
          <w:rtl/>
        </w:rPr>
        <w:t>וּמִשַּׁמְנָהּ"</w:t>
      </w:r>
      <w:r>
        <w:rPr>
          <w:rtl/>
        </w:rPr>
        <w:t xml:space="preserve"> </w:t>
      </w:r>
      <w:r w:rsidRPr="00B13A6F">
        <w:rPr>
          <w:sz w:val="20"/>
          <w:szCs w:val="20"/>
          <w:rtl/>
        </w:rPr>
        <w:t>(ב', ב)</w:t>
      </w:r>
      <w:r>
        <w:rPr>
          <w:rtl/>
        </w:rPr>
        <w:t xml:space="preserve">. </w:t>
      </w:r>
      <w:r>
        <w:rPr>
          <w:rFonts w:hint="cs"/>
          <w:rtl/>
        </w:rPr>
        <w:t xml:space="preserve">מהי מנחת הביכורים שמדובר עליה בפסוקים אלו? הבלבול ברור מאליו: יש כידוע מצוות ביכורים מגוונות (ביכורי פירות, בכור בהמה, בכור אדם), ויותר מכך </w:t>
      </w:r>
      <w:r>
        <w:rPr>
          <w:rtl/>
        </w:rPr>
        <w:t>–</w:t>
      </w:r>
      <w:r>
        <w:rPr>
          <w:rFonts w:hint="cs"/>
          <w:rtl/>
        </w:rPr>
        <w:t xml:space="preserve"> בויקרא כ"ג יש עיסוק אינטנסיבי גם בביכורי חיטה </w:t>
      </w:r>
      <w:r>
        <w:rPr>
          <w:rtl/>
        </w:rPr>
        <w:t>–</w:t>
      </w:r>
      <w:r>
        <w:rPr>
          <w:rFonts w:hint="cs"/>
          <w:rtl/>
        </w:rPr>
        <w:t xml:space="preserve"> הן הנפת עומר ראשית </w:t>
      </w:r>
      <w:r w:rsidR="007970DA">
        <w:rPr>
          <w:rFonts w:hint="cs"/>
          <w:rtl/>
        </w:rPr>
        <w:t>הקציר</w:t>
      </w:r>
      <w:r>
        <w:rPr>
          <w:rFonts w:hint="cs"/>
          <w:rtl/>
        </w:rPr>
        <w:t xml:space="preserve">, והן לאחר חמישים יום </w:t>
      </w:r>
      <w:r w:rsidR="005C0C87">
        <w:rPr>
          <w:rFonts w:hint="cs"/>
          <w:rtl/>
        </w:rPr>
        <w:t>מ</w:t>
      </w:r>
      <w:r>
        <w:rPr>
          <w:rFonts w:hint="cs"/>
          <w:rtl/>
        </w:rPr>
        <w:t>הקרב</w:t>
      </w:r>
      <w:r w:rsidR="005C0C87">
        <w:rPr>
          <w:rFonts w:hint="cs"/>
          <w:rtl/>
        </w:rPr>
        <w:t>ת</w:t>
      </w:r>
      <w:r>
        <w:rPr>
          <w:rFonts w:hint="cs"/>
          <w:rtl/>
        </w:rPr>
        <w:t xml:space="preserve"> מנחת ביכורים </w:t>
      </w:r>
      <w:r>
        <w:rPr>
          <w:rtl/>
        </w:rPr>
        <w:t>–</w:t>
      </w:r>
      <w:r>
        <w:rPr>
          <w:rFonts w:hint="cs"/>
          <w:rtl/>
        </w:rPr>
        <w:t xml:space="preserve"> שתי הלחם מן התבואה החדשה. מהו </w:t>
      </w:r>
      <w:r w:rsidR="005C0C87">
        <w:rPr>
          <w:rFonts w:hint="cs"/>
          <w:rtl/>
        </w:rPr>
        <w:t>אפוא</w:t>
      </w:r>
      <w:r>
        <w:rPr>
          <w:rFonts w:hint="cs"/>
          <w:rtl/>
        </w:rPr>
        <w:t xml:space="preserve"> היחס בין הפסוקים המשולבים בסוף הדיון בקורבן המנחה בויקרא ב', </w:t>
      </w:r>
      <w:r w:rsidR="005C0C87">
        <w:rPr>
          <w:rFonts w:hint="cs"/>
          <w:rtl/>
        </w:rPr>
        <w:t>ו</w:t>
      </w:r>
      <w:r>
        <w:rPr>
          <w:rFonts w:hint="cs"/>
          <w:rtl/>
        </w:rPr>
        <w:t xml:space="preserve">בין עולם הביכורים האחר המוכר לנו? יש </w:t>
      </w:r>
      <w:r>
        <w:rPr>
          <w:rFonts w:hint="cs"/>
          <w:rtl/>
        </w:rPr>
        <w:t xml:space="preserve">בדבר מחלוקת קוטבית </w:t>
      </w:r>
      <w:r w:rsidR="005C0C87">
        <w:rPr>
          <w:rFonts w:hint="cs"/>
          <w:rtl/>
        </w:rPr>
        <w:t>ה</w:t>
      </w:r>
      <w:r>
        <w:rPr>
          <w:rFonts w:hint="cs"/>
          <w:rtl/>
        </w:rPr>
        <w:t>משקפת שתי קריאות שונות לגמרי של הפסוקים הללו.</w:t>
      </w:r>
    </w:p>
    <w:p w14:paraId="74FD196C" w14:textId="1FC44936" w:rsidR="00E10606" w:rsidRDefault="00E10606" w:rsidP="00E10606">
      <w:pPr>
        <w:rPr>
          <w:rtl/>
        </w:rPr>
      </w:pPr>
      <w:r>
        <w:rPr>
          <w:rtl/>
        </w:rPr>
        <w:t xml:space="preserve">חז"ל דרשו פסוקים אלו כעוסקים במנחת העומר, </w:t>
      </w:r>
      <w:r>
        <w:rPr>
          <w:rFonts w:hint="cs"/>
          <w:rtl/>
        </w:rPr>
        <w:t xml:space="preserve">שאותה יש להניף בט"ז בניסן: </w:t>
      </w:r>
      <w:r>
        <w:rPr>
          <w:rtl/>
        </w:rPr>
        <w:t xml:space="preserve">"ואם תקריב מנחת בכרים לה' </w:t>
      </w:r>
      <w:r w:rsidR="00FA628D">
        <w:rPr>
          <w:rtl/>
        </w:rPr>
        <w:t>–</w:t>
      </w:r>
      <w:r>
        <w:rPr>
          <w:rtl/>
        </w:rPr>
        <w:t xml:space="preserve"> זו מנחת העומר".</w:t>
      </w:r>
      <w:r>
        <w:rPr>
          <w:rStyle w:val="a5"/>
          <w:rtl/>
        </w:rPr>
        <w:footnoteReference w:id="3"/>
      </w:r>
      <w:r>
        <w:rPr>
          <w:rFonts w:hint="cs"/>
          <w:rtl/>
        </w:rPr>
        <w:t xml:space="preserve"> בציווי על הנפת העומר </w:t>
      </w:r>
      <w:r w:rsidRPr="00FA628D">
        <w:rPr>
          <w:rFonts w:hint="cs"/>
          <w:sz w:val="20"/>
          <w:szCs w:val="20"/>
          <w:rtl/>
        </w:rPr>
        <w:t>(ויקרא כ"ג)</w:t>
      </w:r>
      <w:r>
        <w:rPr>
          <w:rFonts w:hint="cs"/>
          <w:rtl/>
        </w:rPr>
        <w:t xml:space="preserve"> באמת לא נאמר מה יש לעשות עם העומר לאחר הנפתו: </w:t>
      </w:r>
    </w:p>
    <w:p w14:paraId="2CC54530" w14:textId="6A1AD84D" w:rsidR="00E10606" w:rsidRPr="00B101E9" w:rsidRDefault="00FA628D" w:rsidP="007B0635">
      <w:pPr>
        <w:ind w:left="720"/>
        <w:rPr>
          <w:rFonts w:ascii="David" w:hAnsi="David"/>
          <w:rtl/>
        </w:rPr>
      </w:pPr>
      <w:r>
        <w:rPr>
          <w:rFonts w:ascii="David" w:hAnsi="David" w:hint="cs"/>
          <w:rtl/>
        </w:rPr>
        <w:t>"</w:t>
      </w:r>
      <w:r w:rsidR="00E10606" w:rsidRPr="00B101E9">
        <w:rPr>
          <w:rFonts w:ascii="David" w:hAnsi="David"/>
          <w:rtl/>
        </w:rPr>
        <w:t>דַּבֵּר אֶל בְּנֵי יִשְׂרָאֵל וְאָמַרְתָּ אֲלֵהֶם כִּי תָבֹאוּ אֶל הָאָרֶץ אֲשֶׁר אֲנִי נֹתֵן לָכֶם וּקְצַרְתֶּם אֶת קְצִירָהּ וַהֲבֵאתֶם אֶת עֹמֶר רֵאשִׁית קְצִירְכֶם אֶל הַכֹּהֵן</w:t>
      </w:r>
      <w:r w:rsidR="00E10606" w:rsidRPr="00B101E9">
        <w:rPr>
          <w:rFonts w:ascii="David" w:hAnsi="David" w:hint="cs"/>
          <w:rtl/>
        </w:rPr>
        <w:t>.</w:t>
      </w:r>
      <w:r w:rsidR="00E10606" w:rsidRPr="00B101E9">
        <w:rPr>
          <w:rFonts w:ascii="David" w:hAnsi="David"/>
          <w:rtl/>
        </w:rPr>
        <w:t xml:space="preserve"> וְהֵנִיף אֶת הָעֹמֶר לִפְנֵי ה' לִרְצֹנְכֶם מִמָּחֳרַת הַשַּׁבָּת יְנִיפֶנּוּ הַכֹּהֵן</w:t>
      </w:r>
      <w:r w:rsidR="00E10606" w:rsidRPr="00B101E9">
        <w:rPr>
          <w:rFonts w:ascii="David" w:hAnsi="David" w:hint="cs"/>
          <w:rtl/>
        </w:rPr>
        <w:t>.</w:t>
      </w:r>
      <w:r w:rsidR="00E10606" w:rsidRPr="00B101E9">
        <w:rPr>
          <w:rFonts w:ascii="David" w:hAnsi="David"/>
          <w:rtl/>
        </w:rPr>
        <w:t xml:space="preserve"> וַעֲשִׂיתֶם בְּיוֹם הֲנִיפְכֶם אֶת הָעֹמֶר כֶּבֶשׂ תָּמִים בֶּן שְׁנָתוֹ לְעֹלָה לַה'</w:t>
      </w:r>
      <w:r w:rsidR="00E10606" w:rsidRPr="00B101E9">
        <w:rPr>
          <w:rFonts w:ascii="David" w:hAnsi="David" w:hint="cs"/>
          <w:rtl/>
        </w:rPr>
        <w:t>.</w:t>
      </w:r>
      <w:r w:rsidR="00E10606" w:rsidRPr="00B101E9">
        <w:rPr>
          <w:rFonts w:ascii="David" w:hAnsi="David"/>
          <w:rtl/>
        </w:rPr>
        <w:t xml:space="preserve"> וּמִנְחָתוֹ שְׁנֵי עֶשְׂרֹנִים סֹלֶת בְּלוּלָה בַשֶּׁמֶן אִשֶּׁה לַה' רֵיחַ נִיחֹחַ וְנִסְכֹּה יַיִן רְבִיעִת הַהִין</w:t>
      </w:r>
      <w:r>
        <w:rPr>
          <w:rFonts w:ascii="David" w:hAnsi="David" w:hint="cs"/>
          <w:rtl/>
        </w:rPr>
        <w:t>"</w:t>
      </w:r>
      <w:r w:rsidR="00E10606" w:rsidRPr="00B101E9">
        <w:rPr>
          <w:rFonts w:ascii="David" w:hAnsi="David" w:hint="cs"/>
          <w:rtl/>
        </w:rPr>
        <w:t xml:space="preserve"> </w:t>
      </w:r>
      <w:r>
        <w:rPr>
          <w:rFonts w:ascii="David" w:hAnsi="David"/>
          <w:rtl/>
        </w:rPr>
        <w:tab/>
      </w:r>
      <w:r w:rsidR="00E10606" w:rsidRPr="00FA628D">
        <w:rPr>
          <w:rFonts w:ascii="David" w:hAnsi="David" w:hint="cs"/>
          <w:sz w:val="20"/>
          <w:szCs w:val="20"/>
          <w:rtl/>
        </w:rPr>
        <w:t>(ויקרא כ"ג, י-יג)</w:t>
      </w:r>
      <w:r w:rsidR="00E10606">
        <w:rPr>
          <w:rFonts w:ascii="David" w:hAnsi="David" w:hint="cs"/>
          <w:rtl/>
        </w:rPr>
        <w:t>.</w:t>
      </w:r>
    </w:p>
    <w:p w14:paraId="26FC0D25" w14:textId="05F641A8" w:rsidR="00E10606" w:rsidRDefault="00E10606" w:rsidP="00E10606">
      <w:pPr>
        <w:rPr>
          <w:rtl/>
        </w:rPr>
      </w:pPr>
      <w:r>
        <w:rPr>
          <w:rFonts w:hint="cs"/>
          <w:rtl/>
        </w:rPr>
        <w:t>לפי חז"ל</w:t>
      </w:r>
      <w:r w:rsidR="00CB1E2B">
        <w:rPr>
          <w:rFonts w:hint="cs"/>
          <w:rtl/>
        </w:rPr>
        <w:t>,</w:t>
      </w:r>
      <w:r>
        <w:rPr>
          <w:rFonts w:hint="cs"/>
          <w:rtl/>
        </w:rPr>
        <w:t xml:space="preserve"> השלמת התמונה באה אצלנו בפרק ב'. כאן מתואר שיש לקחת מהעומר שהונף, לקלות אותו ("</w:t>
      </w:r>
      <w:r>
        <w:rPr>
          <w:snapToGrid w:val="0"/>
          <w:rtl/>
        </w:rPr>
        <w:t>קָלוּי בָּאֵשׁ</w:t>
      </w:r>
      <w:r>
        <w:rPr>
          <w:rFonts w:hint="cs"/>
          <w:snapToGrid w:val="0"/>
          <w:rtl/>
        </w:rPr>
        <w:t>"</w:t>
      </w:r>
      <w:r>
        <w:rPr>
          <w:rFonts w:hint="cs"/>
          <w:rtl/>
        </w:rPr>
        <w:t>), לטחון אותו ("</w:t>
      </w:r>
      <w:r>
        <w:rPr>
          <w:snapToGrid w:val="0"/>
          <w:rtl/>
        </w:rPr>
        <w:t>גֶּרֶשׂ</w:t>
      </w:r>
      <w:r>
        <w:rPr>
          <w:rFonts w:hint="cs"/>
          <w:rtl/>
        </w:rPr>
        <w:t>"), לבלול בשמן (</w:t>
      </w:r>
      <w:r>
        <w:rPr>
          <w:rFonts w:hint="cs"/>
          <w:snapToGrid w:val="0"/>
          <w:rtl/>
        </w:rPr>
        <w:t>"</w:t>
      </w:r>
      <w:r>
        <w:rPr>
          <w:snapToGrid w:val="0"/>
          <w:rtl/>
        </w:rPr>
        <w:t>וְנָתַתָּ עָלֶיהָ שֶׁמֶן</w:t>
      </w:r>
      <w:r>
        <w:rPr>
          <w:rFonts w:hint="cs"/>
          <w:snapToGrid w:val="0"/>
          <w:rtl/>
        </w:rPr>
        <w:t xml:space="preserve">" </w:t>
      </w:r>
      <w:r>
        <w:rPr>
          <w:snapToGrid w:val="0"/>
          <w:rtl/>
        </w:rPr>
        <w:t>–</w:t>
      </w:r>
      <w:r>
        <w:rPr>
          <w:rFonts w:hint="cs"/>
          <w:snapToGrid w:val="0"/>
          <w:rtl/>
        </w:rPr>
        <w:t xml:space="preserve"> </w:t>
      </w:r>
      <w:r>
        <w:rPr>
          <w:rFonts w:hint="cs"/>
          <w:rtl/>
        </w:rPr>
        <w:t>חז"ל לימדו שיש לבלול רק עישרון בשמן והוא המתקדש), להוסיף לו לבונה ("</w:t>
      </w:r>
      <w:r>
        <w:rPr>
          <w:snapToGrid w:val="0"/>
          <w:rtl/>
        </w:rPr>
        <w:t>וְשַׂמְתָּ עָלֶיהָ לְבֹנָה</w:t>
      </w:r>
      <w:r>
        <w:rPr>
          <w:rFonts w:hint="cs"/>
          <w:snapToGrid w:val="0"/>
          <w:rtl/>
        </w:rPr>
        <w:t xml:space="preserve">"), </w:t>
      </w:r>
      <w:r>
        <w:rPr>
          <w:rFonts w:hint="cs"/>
          <w:rtl/>
        </w:rPr>
        <w:t>לקמוץ ולהקטיר על גבי המזבח ("</w:t>
      </w:r>
      <w:r>
        <w:rPr>
          <w:snapToGrid w:val="0"/>
          <w:rtl/>
        </w:rPr>
        <w:t>וְהִקְטִיר הַכֹּהֵן אֶת אַזְכָּרָתָהּ</w:t>
      </w:r>
      <w:r>
        <w:rPr>
          <w:rFonts w:hint="cs"/>
          <w:snapToGrid w:val="0"/>
          <w:rtl/>
        </w:rPr>
        <w:t>").</w:t>
      </w:r>
    </w:p>
    <w:p w14:paraId="2E90FB97" w14:textId="3CD01954" w:rsidR="00E10606" w:rsidRDefault="00E10606" w:rsidP="00441895">
      <w:pPr>
        <w:rPr>
          <w:rtl/>
        </w:rPr>
      </w:pPr>
      <w:r>
        <w:rPr>
          <w:rFonts w:hint="cs"/>
          <w:rtl/>
        </w:rPr>
        <w:t xml:space="preserve">לשון אחר, לפי חז"ל מנחת הביכורים הנדונה בויקרא ב' היא חובת ציבור ומשום מה הכתוב פיצל את דיניה של חובה זו </w:t>
      </w:r>
      <w:r w:rsidR="00CB1E2B">
        <w:rPr>
          <w:rFonts w:hint="cs"/>
          <w:rtl/>
        </w:rPr>
        <w:t xml:space="preserve">לשתי </w:t>
      </w:r>
      <w:r>
        <w:rPr>
          <w:rFonts w:hint="cs"/>
          <w:rtl/>
        </w:rPr>
        <w:t xml:space="preserve">פרשיות שונות (מלבד מנחת העומר יש רק עוד שתי מנחות ציבור: שתי הלחם שמניפים בשבועות </w:t>
      </w:r>
      <w:r>
        <w:rPr>
          <w:rFonts w:hint="cs"/>
          <w:rtl/>
        </w:rPr>
        <w:t>ולחם הפנים שעל השולחן</w:t>
      </w:r>
      <w:r w:rsidR="00441895">
        <w:rPr>
          <w:rFonts w:hint="cs"/>
          <w:rtl/>
        </w:rPr>
        <w:t>).</w:t>
      </w:r>
      <w:r w:rsidR="00441895">
        <w:rPr>
          <w:rStyle w:val="a5"/>
          <w:rtl/>
        </w:rPr>
        <w:footnoteReference w:id="4"/>
      </w:r>
    </w:p>
    <w:p w14:paraId="0B109DB6" w14:textId="098531F3" w:rsidR="00E10606" w:rsidRDefault="00E10606" w:rsidP="00FA628D">
      <w:pPr>
        <w:rPr>
          <w:rtl/>
        </w:rPr>
      </w:pPr>
      <w:r>
        <w:rPr>
          <w:rtl/>
        </w:rPr>
        <w:t xml:space="preserve">רש"י </w:t>
      </w:r>
      <w:r>
        <w:rPr>
          <w:rFonts w:hint="cs"/>
          <w:rtl/>
        </w:rPr>
        <w:t xml:space="preserve">פירש </w:t>
      </w:r>
      <w:r>
        <w:rPr>
          <w:rtl/>
        </w:rPr>
        <w:t>בעקבות חז"ל: "</w:t>
      </w:r>
      <w:r>
        <w:rPr>
          <w:rFonts w:hint="cs"/>
          <w:rtl/>
        </w:rPr>
        <w:t>'</w:t>
      </w:r>
      <w:r>
        <w:rPr>
          <w:rtl/>
        </w:rPr>
        <w:t>ואם תקריב</w:t>
      </w:r>
      <w:r>
        <w:rPr>
          <w:rFonts w:hint="cs"/>
          <w:rtl/>
        </w:rPr>
        <w:t>'</w:t>
      </w:r>
      <w:r>
        <w:rPr>
          <w:rtl/>
        </w:rPr>
        <w:t xml:space="preserve"> – הרי אם משמש בלשון כי, שהרי אין זה רשות, שהרי במנחת העומר הכתוב מדבר, שהיא חובה" </w:t>
      </w:r>
      <w:r w:rsidRPr="00FA628D">
        <w:rPr>
          <w:sz w:val="20"/>
          <w:szCs w:val="20"/>
          <w:rtl/>
        </w:rPr>
        <w:t>(</w:t>
      </w:r>
      <w:r w:rsidR="00FA628D">
        <w:rPr>
          <w:rFonts w:hint="cs"/>
          <w:sz w:val="20"/>
          <w:szCs w:val="20"/>
          <w:rtl/>
        </w:rPr>
        <w:t xml:space="preserve">רש"י ויקרא </w:t>
      </w:r>
      <w:r w:rsidRPr="00FA628D">
        <w:rPr>
          <w:sz w:val="20"/>
          <w:szCs w:val="20"/>
          <w:rtl/>
        </w:rPr>
        <w:t>ב', יד)</w:t>
      </w:r>
      <w:r>
        <w:rPr>
          <w:rtl/>
        </w:rPr>
        <w:t>.</w:t>
      </w:r>
      <w:r>
        <w:rPr>
          <w:rStyle w:val="a5"/>
          <w:rtl/>
        </w:rPr>
        <w:footnoteReference w:id="5"/>
      </w:r>
      <w:r>
        <w:rPr>
          <w:rtl/>
        </w:rPr>
        <w:t xml:space="preserve"> </w:t>
      </w:r>
      <w:r>
        <w:rPr>
          <w:rFonts w:hint="cs"/>
          <w:rtl/>
        </w:rPr>
        <w:t xml:space="preserve">לפי דבריו, מאחר שמדובר במנחת העומר </w:t>
      </w:r>
      <w:r>
        <w:rPr>
          <w:rtl/>
        </w:rPr>
        <w:t xml:space="preserve">יש לקרוא את הביטוי הפותח: "ואם", כחובה ולא כרשות, שהרי מנחת </w:t>
      </w:r>
      <w:r>
        <w:rPr>
          <w:rtl/>
        </w:rPr>
        <w:lastRenderedPageBreak/>
        <w:t>העומר איננה רשות.</w:t>
      </w:r>
      <w:r>
        <w:rPr>
          <w:rStyle w:val="a5"/>
          <w:rtl/>
        </w:rPr>
        <w:footnoteReference w:id="6"/>
      </w:r>
      <w:r>
        <w:rPr>
          <w:rtl/>
        </w:rPr>
        <w:t xml:space="preserve"> באופן פשוט יותר אומר זאת הרשב"ם: "ואם תקריב – לכשתקריב מנחת העומר" </w:t>
      </w:r>
      <w:r w:rsidRPr="00FA628D">
        <w:rPr>
          <w:sz w:val="20"/>
          <w:szCs w:val="20"/>
          <w:rtl/>
        </w:rPr>
        <w:t>(פירושו במקום)</w:t>
      </w:r>
      <w:r>
        <w:rPr>
          <w:rtl/>
        </w:rPr>
        <w:t>.</w:t>
      </w:r>
    </w:p>
    <w:p w14:paraId="177EF808" w14:textId="6EA936E6" w:rsidR="00E10606" w:rsidRPr="00FD514A" w:rsidRDefault="00E10606" w:rsidP="00CB1E2B">
      <w:pPr>
        <w:rPr>
          <w:snapToGrid w:val="0"/>
          <w:rtl/>
        </w:rPr>
      </w:pPr>
      <w:r>
        <w:rPr>
          <w:rtl/>
        </w:rPr>
        <w:t xml:space="preserve">לזיהוי מנחת הביכורים של פרקנו עם הנפת העומר משמעויות נרחבות. </w:t>
      </w:r>
      <w:r>
        <w:rPr>
          <w:rFonts w:hint="cs"/>
          <w:rtl/>
        </w:rPr>
        <w:t xml:space="preserve">בראש ובראשונה </w:t>
      </w:r>
      <w:r>
        <w:rPr>
          <w:rtl/>
        </w:rPr>
        <w:t>–</w:t>
      </w:r>
      <w:r>
        <w:rPr>
          <w:rFonts w:hint="cs"/>
          <w:rtl/>
        </w:rPr>
        <w:t xml:space="preserve"> כמובן </w:t>
      </w:r>
      <w:r>
        <w:rPr>
          <w:rtl/>
        </w:rPr>
        <w:t>–</w:t>
      </w:r>
      <w:r>
        <w:rPr>
          <w:rFonts w:hint="cs"/>
          <w:rtl/>
        </w:rPr>
        <w:t xml:space="preserve"> עצם הקטרת העומר שהונף. לולא זיהוי פרק ב' עם פרק כ"ג ניתן היה לחשוב שהעומר מונף אך לא מוקטר. </w:t>
      </w:r>
      <w:r>
        <w:rPr>
          <w:rtl/>
        </w:rPr>
        <w:t>עצם רעיון שכזה אינו מופרך, שהרי אנו מכירים תופעה דומה ב</w:t>
      </w:r>
      <w:r>
        <w:rPr>
          <w:rFonts w:hint="cs"/>
          <w:rtl/>
        </w:rPr>
        <w:t>ק</w:t>
      </w:r>
      <w:r w:rsidR="00CB1E2B">
        <w:rPr>
          <w:rFonts w:hint="cs"/>
          <w:rtl/>
        </w:rPr>
        <w:t>ו</w:t>
      </w:r>
      <w:r>
        <w:rPr>
          <w:rFonts w:hint="cs"/>
          <w:rtl/>
        </w:rPr>
        <w:t>רבנות אחרים.</w:t>
      </w:r>
      <w:r>
        <w:rPr>
          <w:rtl/>
        </w:rPr>
        <w:t xml:space="preserve"> את חלק הכוהנים מקורבן </w:t>
      </w:r>
      <w:r>
        <w:rPr>
          <w:rFonts w:hint="cs"/>
          <w:rtl/>
        </w:rPr>
        <w:t xml:space="preserve">זבח </w:t>
      </w:r>
      <w:r>
        <w:rPr>
          <w:rtl/>
        </w:rPr>
        <w:t>שלמים (חזה ושוק) צריך הכהן להניף ורק אז הוא מקבלם</w:t>
      </w:r>
      <w:r>
        <w:rPr>
          <w:rFonts w:hint="cs"/>
          <w:rtl/>
        </w:rPr>
        <w:t xml:space="preserve">; הכהן </w:t>
      </w:r>
      <w:r>
        <w:rPr>
          <w:rtl/>
        </w:rPr>
        <w:t>מניף את "</w:t>
      </w:r>
      <w:r>
        <w:rPr>
          <w:snapToGrid w:val="0"/>
          <w:rtl/>
        </w:rPr>
        <w:t xml:space="preserve">הַזְּרֹעַ בְּשֵׁלָה מִן הָאַיִל וְחַלַּת מַצָּה אַחַת מִן הַסַּל וּרְקִיק מַצָּה אֶחָד" </w:t>
      </w:r>
      <w:r w:rsidRPr="00FA628D">
        <w:rPr>
          <w:snapToGrid w:val="0"/>
          <w:sz w:val="20"/>
          <w:szCs w:val="20"/>
          <w:rtl/>
        </w:rPr>
        <w:t>(במדבר ו', יט-כ)</w:t>
      </w:r>
      <w:r>
        <w:rPr>
          <w:snapToGrid w:val="0"/>
          <w:rtl/>
        </w:rPr>
        <w:t xml:space="preserve"> שמביא הנזיר ביום מלאת ימי נזרו, ואחר כך </w:t>
      </w:r>
      <w:r>
        <w:rPr>
          <w:rFonts w:hint="cs"/>
          <w:snapToGrid w:val="0"/>
          <w:rtl/>
        </w:rPr>
        <w:t xml:space="preserve">הוא </w:t>
      </w:r>
      <w:r>
        <w:rPr>
          <w:snapToGrid w:val="0"/>
          <w:rtl/>
        </w:rPr>
        <w:t xml:space="preserve">נוטלם והם אינם עולים כלל על גבי המזבח. </w:t>
      </w:r>
      <w:r>
        <w:rPr>
          <w:rFonts w:hint="cs"/>
          <w:snapToGrid w:val="0"/>
          <w:rtl/>
        </w:rPr>
        <w:t>גם א</w:t>
      </w:r>
      <w:r>
        <w:rPr>
          <w:snapToGrid w:val="0"/>
          <w:rtl/>
        </w:rPr>
        <w:t>הרן הניף את הלוויים כחלק מתהליך הקדשתם לעבודה (במדבר ח', יא)</w:t>
      </w:r>
      <w:r>
        <w:rPr>
          <w:rFonts w:hint="cs"/>
          <w:snapToGrid w:val="0"/>
          <w:rtl/>
        </w:rPr>
        <w:t xml:space="preserve">, ולמעשה, הדוגמה המידית ביותר מצויה בפרק כ"ג עצמו </w:t>
      </w:r>
      <w:r>
        <w:rPr>
          <w:snapToGrid w:val="0"/>
          <w:rtl/>
        </w:rPr>
        <w:t>–</w:t>
      </w:r>
      <w:r>
        <w:rPr>
          <w:rFonts w:hint="cs"/>
          <w:snapToGrid w:val="0"/>
          <w:rtl/>
        </w:rPr>
        <w:t xml:space="preserve"> </w:t>
      </w:r>
      <w:r w:rsidR="00CB1E2B">
        <w:rPr>
          <w:rFonts w:hint="cs"/>
          <w:snapToGrid w:val="0"/>
          <w:rtl/>
        </w:rPr>
        <w:t xml:space="preserve">קורבן </w:t>
      </w:r>
      <w:r>
        <w:rPr>
          <w:rFonts w:hint="cs"/>
          <w:snapToGrid w:val="0"/>
          <w:rtl/>
        </w:rPr>
        <w:t xml:space="preserve">שתי הלחם המונף בשבועות אינו </w:t>
      </w:r>
      <w:r w:rsidR="00CB1E2B">
        <w:rPr>
          <w:rFonts w:hint="cs"/>
          <w:snapToGrid w:val="0"/>
          <w:rtl/>
        </w:rPr>
        <w:t xml:space="preserve">מוגש </w:t>
      </w:r>
      <w:r>
        <w:rPr>
          <w:rFonts w:hint="cs"/>
          <w:snapToGrid w:val="0"/>
          <w:rtl/>
        </w:rPr>
        <w:t>למזבח אלא לכוהנים</w:t>
      </w:r>
      <w:r>
        <w:rPr>
          <w:snapToGrid w:val="0"/>
          <w:rtl/>
        </w:rPr>
        <w:t xml:space="preserve">. כאמור, </w:t>
      </w:r>
      <w:r>
        <w:rPr>
          <w:rFonts w:hint="cs"/>
          <w:snapToGrid w:val="0"/>
          <w:rtl/>
        </w:rPr>
        <w:t xml:space="preserve">לולא קראנו את מנחת הביכורים שבפרק ב' כהמשך להנפת העומר שבפרק כ"ג, היה </w:t>
      </w:r>
      <w:r>
        <w:rPr>
          <w:snapToGrid w:val="0"/>
          <w:rtl/>
        </w:rPr>
        <w:t>העומר מונף בלבד, כפי שמורה הכתוב לעשות בפרק כ"ג.</w:t>
      </w:r>
      <w:r>
        <w:rPr>
          <w:rStyle w:val="a5"/>
          <w:snapToGrid w:val="0"/>
          <w:color w:val="000000"/>
          <w:sz w:val="24"/>
          <w:rtl/>
        </w:rPr>
        <w:footnoteReference w:id="7"/>
      </w:r>
      <w:r>
        <w:rPr>
          <w:snapToGrid w:val="0"/>
          <w:rtl/>
        </w:rPr>
        <w:t xml:space="preserve"> אולם מאחר שעל פי דרשת חז"ל, גם מנחת הביכורים עוסקת בתהליך הבאת העומר, הרי שמעתה יש להקריב מן המנחה לאחר הנפתה: </w:t>
      </w:r>
      <w:r>
        <w:rPr>
          <w:rFonts w:hint="cs"/>
          <w:snapToGrid w:val="0"/>
          <w:rtl/>
        </w:rPr>
        <w:t>"</w:t>
      </w:r>
      <w:r w:rsidRPr="00FD514A">
        <w:rPr>
          <w:rFonts w:hint="cs"/>
          <w:snapToGrid w:val="0"/>
          <w:rtl/>
        </w:rPr>
        <w:t>קְצָרוּהוּ</w:t>
      </w:r>
      <w:r w:rsidRPr="00FD514A">
        <w:rPr>
          <w:snapToGrid w:val="0"/>
          <w:rtl/>
        </w:rPr>
        <w:t xml:space="preserve"> </w:t>
      </w:r>
      <w:r w:rsidRPr="00FD514A">
        <w:rPr>
          <w:rFonts w:hint="cs"/>
          <w:snapToGrid w:val="0"/>
          <w:rtl/>
        </w:rPr>
        <w:t>וּנְתָנוּהוּ</w:t>
      </w:r>
      <w:r w:rsidRPr="00FD514A">
        <w:rPr>
          <w:snapToGrid w:val="0"/>
          <w:rtl/>
        </w:rPr>
        <w:t xml:space="preserve"> </w:t>
      </w:r>
      <w:r w:rsidRPr="00FD514A">
        <w:rPr>
          <w:rFonts w:hint="cs"/>
          <w:snapToGrid w:val="0"/>
          <w:rtl/>
        </w:rPr>
        <w:t>בְקֻפּוֹת</w:t>
      </w:r>
      <w:r w:rsidRPr="00FD514A">
        <w:rPr>
          <w:snapToGrid w:val="0"/>
          <w:rtl/>
        </w:rPr>
        <w:t xml:space="preserve">, </w:t>
      </w:r>
      <w:r w:rsidRPr="00FD514A">
        <w:rPr>
          <w:rFonts w:hint="cs"/>
          <w:snapToGrid w:val="0"/>
          <w:rtl/>
        </w:rPr>
        <w:t>הֱבִיאוּהוּ</w:t>
      </w:r>
      <w:r w:rsidRPr="00FD514A">
        <w:rPr>
          <w:snapToGrid w:val="0"/>
          <w:rtl/>
        </w:rPr>
        <w:t xml:space="preserve"> </w:t>
      </w:r>
      <w:r w:rsidRPr="00FD514A">
        <w:rPr>
          <w:rFonts w:hint="cs"/>
          <w:snapToGrid w:val="0"/>
          <w:rtl/>
        </w:rPr>
        <w:t>לָעֲזָרָה</w:t>
      </w:r>
      <w:r w:rsidRPr="00FD514A">
        <w:rPr>
          <w:snapToGrid w:val="0"/>
          <w:rtl/>
        </w:rPr>
        <w:t xml:space="preserve">, </w:t>
      </w:r>
      <w:r w:rsidRPr="00FD514A">
        <w:rPr>
          <w:rFonts w:hint="cs"/>
          <w:snapToGrid w:val="0"/>
          <w:rtl/>
        </w:rPr>
        <w:t>הָיוּ</w:t>
      </w:r>
      <w:r w:rsidRPr="00FD514A">
        <w:rPr>
          <w:snapToGrid w:val="0"/>
          <w:rtl/>
        </w:rPr>
        <w:t xml:space="preserve"> </w:t>
      </w:r>
      <w:r w:rsidRPr="00FD514A">
        <w:rPr>
          <w:rFonts w:hint="cs"/>
          <w:snapToGrid w:val="0"/>
          <w:rtl/>
        </w:rPr>
        <w:t>מְהַבְהֲבִין</w:t>
      </w:r>
      <w:r w:rsidRPr="00FD514A">
        <w:rPr>
          <w:snapToGrid w:val="0"/>
          <w:rtl/>
        </w:rPr>
        <w:t xml:space="preserve"> </w:t>
      </w:r>
      <w:r w:rsidRPr="00FD514A">
        <w:rPr>
          <w:rFonts w:hint="cs"/>
          <w:snapToGrid w:val="0"/>
          <w:rtl/>
        </w:rPr>
        <w:t>אוֹתוֹ</w:t>
      </w:r>
      <w:r w:rsidRPr="00FD514A">
        <w:rPr>
          <w:snapToGrid w:val="0"/>
          <w:rtl/>
        </w:rPr>
        <w:t xml:space="preserve"> </w:t>
      </w:r>
      <w:r w:rsidRPr="00FD514A">
        <w:rPr>
          <w:rFonts w:hint="cs"/>
          <w:snapToGrid w:val="0"/>
          <w:rtl/>
        </w:rPr>
        <w:t>בָאוּר</w:t>
      </w:r>
      <w:r>
        <w:rPr>
          <w:rFonts w:hint="cs"/>
          <w:snapToGrid w:val="0"/>
          <w:rtl/>
        </w:rPr>
        <w:t xml:space="preserve">... </w:t>
      </w:r>
      <w:r w:rsidRPr="00FD514A">
        <w:rPr>
          <w:rFonts w:hint="cs"/>
          <w:snapToGrid w:val="0"/>
          <w:rtl/>
        </w:rPr>
        <w:t>בָא</w:t>
      </w:r>
      <w:r w:rsidRPr="00FD514A">
        <w:rPr>
          <w:snapToGrid w:val="0"/>
          <w:rtl/>
        </w:rPr>
        <w:t xml:space="preserve"> </w:t>
      </w:r>
      <w:r w:rsidRPr="00FD514A">
        <w:rPr>
          <w:rFonts w:hint="cs"/>
          <w:snapToGrid w:val="0"/>
          <w:rtl/>
        </w:rPr>
        <w:t>לוֹ</w:t>
      </w:r>
      <w:r w:rsidRPr="00FD514A">
        <w:rPr>
          <w:snapToGrid w:val="0"/>
          <w:rtl/>
        </w:rPr>
        <w:t xml:space="preserve"> </w:t>
      </w:r>
      <w:r w:rsidRPr="00FD514A">
        <w:rPr>
          <w:rFonts w:hint="cs"/>
          <w:snapToGrid w:val="0"/>
          <w:rtl/>
        </w:rPr>
        <w:t>לָעִשָּׂרוֹן</w:t>
      </w:r>
      <w:r w:rsidRPr="00FD514A">
        <w:rPr>
          <w:snapToGrid w:val="0"/>
          <w:rtl/>
        </w:rPr>
        <w:t xml:space="preserve">, </w:t>
      </w:r>
      <w:r w:rsidRPr="00FD514A">
        <w:rPr>
          <w:rFonts w:hint="cs"/>
          <w:snapToGrid w:val="0"/>
          <w:rtl/>
        </w:rPr>
        <w:t>וְנָתַן</w:t>
      </w:r>
      <w:r w:rsidRPr="00FD514A">
        <w:rPr>
          <w:snapToGrid w:val="0"/>
          <w:rtl/>
        </w:rPr>
        <w:t xml:space="preserve"> </w:t>
      </w:r>
      <w:r w:rsidRPr="00FD514A">
        <w:rPr>
          <w:rFonts w:hint="cs"/>
          <w:snapToGrid w:val="0"/>
          <w:rtl/>
        </w:rPr>
        <w:t>שַׁמְנוֹ</w:t>
      </w:r>
      <w:r w:rsidRPr="00FD514A">
        <w:rPr>
          <w:snapToGrid w:val="0"/>
          <w:rtl/>
        </w:rPr>
        <w:t xml:space="preserve"> </w:t>
      </w:r>
      <w:r w:rsidRPr="00FD514A">
        <w:rPr>
          <w:rFonts w:hint="cs"/>
          <w:snapToGrid w:val="0"/>
          <w:rtl/>
        </w:rPr>
        <w:t>וּלְבוֹנָתוֹ</w:t>
      </w:r>
      <w:r w:rsidRPr="00FD514A">
        <w:rPr>
          <w:snapToGrid w:val="0"/>
          <w:rtl/>
        </w:rPr>
        <w:t xml:space="preserve">, </w:t>
      </w:r>
      <w:r w:rsidRPr="00FD514A">
        <w:rPr>
          <w:rFonts w:hint="cs"/>
          <w:snapToGrid w:val="0"/>
          <w:rtl/>
        </w:rPr>
        <w:t>יָצַק</w:t>
      </w:r>
      <w:r w:rsidRPr="00FD514A">
        <w:rPr>
          <w:snapToGrid w:val="0"/>
          <w:rtl/>
        </w:rPr>
        <w:t xml:space="preserve">, </w:t>
      </w:r>
      <w:r w:rsidRPr="00FD514A">
        <w:rPr>
          <w:rFonts w:hint="cs"/>
          <w:snapToGrid w:val="0"/>
          <w:rtl/>
        </w:rPr>
        <w:t>וּבָלַל</w:t>
      </w:r>
      <w:r w:rsidRPr="00FD514A">
        <w:rPr>
          <w:snapToGrid w:val="0"/>
          <w:rtl/>
        </w:rPr>
        <w:t xml:space="preserve">, </w:t>
      </w:r>
      <w:r w:rsidRPr="00FD514A">
        <w:rPr>
          <w:rFonts w:hint="cs"/>
          <w:snapToGrid w:val="0"/>
          <w:rtl/>
        </w:rPr>
        <w:t>הֵנִיף</w:t>
      </w:r>
      <w:r w:rsidRPr="00FD514A">
        <w:rPr>
          <w:snapToGrid w:val="0"/>
          <w:rtl/>
        </w:rPr>
        <w:t xml:space="preserve">, </w:t>
      </w:r>
      <w:r w:rsidRPr="00FD514A">
        <w:rPr>
          <w:rFonts w:hint="cs"/>
          <w:snapToGrid w:val="0"/>
          <w:rtl/>
        </w:rPr>
        <w:t>וְהִגִּישׁ</w:t>
      </w:r>
      <w:r w:rsidRPr="00FD514A">
        <w:rPr>
          <w:snapToGrid w:val="0"/>
          <w:rtl/>
        </w:rPr>
        <w:t xml:space="preserve">, </w:t>
      </w:r>
      <w:r w:rsidRPr="00FD514A">
        <w:rPr>
          <w:rFonts w:hint="cs"/>
          <w:snapToGrid w:val="0"/>
          <w:rtl/>
        </w:rPr>
        <w:t>וְקָמַץ</w:t>
      </w:r>
      <w:r w:rsidRPr="00FD514A">
        <w:rPr>
          <w:snapToGrid w:val="0"/>
          <w:rtl/>
        </w:rPr>
        <w:t xml:space="preserve">, </w:t>
      </w:r>
      <w:r w:rsidRPr="00FD514A">
        <w:rPr>
          <w:rFonts w:hint="cs"/>
          <w:snapToGrid w:val="0"/>
          <w:rtl/>
        </w:rPr>
        <w:t>וְהִקְטִיר</w:t>
      </w:r>
      <w:r w:rsidRPr="00FD514A">
        <w:rPr>
          <w:snapToGrid w:val="0"/>
          <w:rtl/>
        </w:rPr>
        <w:t xml:space="preserve">, </w:t>
      </w:r>
      <w:r w:rsidRPr="00FD514A">
        <w:rPr>
          <w:rFonts w:hint="cs"/>
          <w:snapToGrid w:val="0"/>
          <w:rtl/>
        </w:rPr>
        <w:t>וְהַשְּׁאָר</w:t>
      </w:r>
      <w:r w:rsidRPr="00FD514A">
        <w:rPr>
          <w:snapToGrid w:val="0"/>
          <w:rtl/>
        </w:rPr>
        <w:t xml:space="preserve"> </w:t>
      </w:r>
      <w:r w:rsidRPr="00FD514A">
        <w:rPr>
          <w:rFonts w:hint="cs"/>
          <w:snapToGrid w:val="0"/>
          <w:rtl/>
        </w:rPr>
        <w:t>נֶאֱכָל</w:t>
      </w:r>
      <w:r w:rsidRPr="00FD514A">
        <w:rPr>
          <w:snapToGrid w:val="0"/>
          <w:rtl/>
        </w:rPr>
        <w:t xml:space="preserve"> </w:t>
      </w:r>
      <w:r w:rsidRPr="00FD514A">
        <w:rPr>
          <w:rFonts w:hint="cs"/>
          <w:snapToGrid w:val="0"/>
          <w:rtl/>
        </w:rPr>
        <w:t>לַכֹּהֲנִים</w:t>
      </w:r>
      <w:r>
        <w:rPr>
          <w:rFonts w:hint="cs"/>
          <w:snapToGrid w:val="0"/>
          <w:rtl/>
        </w:rPr>
        <w:t xml:space="preserve">" </w:t>
      </w:r>
      <w:r w:rsidRPr="00FA628D">
        <w:rPr>
          <w:rFonts w:hint="cs"/>
          <w:snapToGrid w:val="0"/>
          <w:sz w:val="20"/>
          <w:szCs w:val="20"/>
          <w:rtl/>
        </w:rPr>
        <w:t>(</w:t>
      </w:r>
      <w:r w:rsidRPr="00FA628D">
        <w:rPr>
          <w:snapToGrid w:val="0"/>
          <w:sz w:val="20"/>
          <w:szCs w:val="20"/>
          <w:rtl/>
        </w:rPr>
        <w:t>מנחות פ"י מ"ד)</w:t>
      </w:r>
      <w:r>
        <w:rPr>
          <w:snapToGrid w:val="0"/>
          <w:rtl/>
        </w:rPr>
        <w:t xml:space="preserve">.   </w:t>
      </w:r>
    </w:p>
    <w:p w14:paraId="7CFE051F" w14:textId="6CAC0ABD" w:rsidR="00E10606" w:rsidRDefault="00CB1E2B" w:rsidP="00E10606">
      <w:pPr>
        <w:rPr>
          <w:rtl/>
        </w:rPr>
      </w:pPr>
      <w:r>
        <w:rPr>
          <w:rFonts w:hint="cs"/>
          <w:rtl/>
        </w:rPr>
        <w:t xml:space="preserve">ברם </w:t>
      </w:r>
      <w:r w:rsidR="00E10606">
        <w:rPr>
          <w:rtl/>
        </w:rPr>
        <w:t xml:space="preserve">ראב"ע </w:t>
      </w:r>
      <w:r w:rsidR="00E10606">
        <w:rPr>
          <w:rFonts w:hint="cs"/>
          <w:rtl/>
        </w:rPr>
        <w:t>חלק על קריאה זו, ו</w:t>
      </w:r>
      <w:r w:rsidR="00E10606">
        <w:rPr>
          <w:rtl/>
        </w:rPr>
        <w:t>לטענתו:</w:t>
      </w:r>
    </w:p>
    <w:p w14:paraId="38177BA3" w14:textId="729C6EEE" w:rsidR="00E10606" w:rsidRDefault="00FA628D" w:rsidP="00FA628D">
      <w:pPr>
        <w:ind w:left="720"/>
        <w:rPr>
          <w:rtl/>
        </w:rPr>
      </w:pPr>
      <w:r>
        <w:rPr>
          <w:rFonts w:hint="cs"/>
          <w:rtl/>
        </w:rPr>
        <w:t>"</w:t>
      </w:r>
      <w:r w:rsidR="00E10606">
        <w:rPr>
          <w:rtl/>
        </w:rPr>
        <w:t>רבים אמרו שמלת 'אם' חיוב, ולפי דעתי כי אין צורך, כי החיוב הוא ראשית בכורים, ולא הבכורים, והרוצה להביא מנחה מבכורים נדבה, יביא</w:t>
      </w:r>
      <w:r>
        <w:rPr>
          <w:rFonts w:hint="cs"/>
          <w:rtl/>
        </w:rPr>
        <w:t>"</w:t>
      </w:r>
      <w:r w:rsidR="00E10606">
        <w:rPr>
          <w:rtl/>
        </w:rPr>
        <w:t xml:space="preserve"> </w:t>
      </w:r>
      <w:r>
        <w:rPr>
          <w:rtl/>
        </w:rPr>
        <w:tab/>
      </w:r>
      <w:r w:rsidR="00E10606" w:rsidRPr="00FA628D">
        <w:rPr>
          <w:sz w:val="20"/>
          <w:szCs w:val="20"/>
          <w:rtl/>
        </w:rPr>
        <w:t>(</w:t>
      </w:r>
      <w:r>
        <w:rPr>
          <w:rFonts w:hint="cs"/>
          <w:sz w:val="20"/>
          <w:szCs w:val="20"/>
          <w:rtl/>
        </w:rPr>
        <w:t xml:space="preserve">ראב"ע </w:t>
      </w:r>
      <w:r w:rsidR="00E10606" w:rsidRPr="00FA628D">
        <w:rPr>
          <w:rFonts w:hint="cs"/>
          <w:sz w:val="20"/>
          <w:szCs w:val="20"/>
          <w:rtl/>
        </w:rPr>
        <w:t>ויקרא ב', יד)</w:t>
      </w:r>
      <w:r>
        <w:rPr>
          <w:rtl/>
        </w:rPr>
        <w:t>.</w:t>
      </w:r>
    </w:p>
    <w:p w14:paraId="77EEDBFA" w14:textId="4EDC5DF2" w:rsidR="00E10606" w:rsidRDefault="00E10606" w:rsidP="00E10606">
      <w:pPr>
        <w:rPr>
          <w:rtl/>
        </w:rPr>
      </w:pPr>
      <w:r>
        <w:rPr>
          <w:rtl/>
        </w:rPr>
        <w:t>לדעתו, הציווי על מנחה זו מצטרף לציווי על שאר סוגי המנחות שהוזכרו בפרק זה</w:t>
      </w:r>
      <w:r>
        <w:rPr>
          <w:rFonts w:hint="cs"/>
          <w:rtl/>
        </w:rPr>
        <w:t>, וגם אופציה זו היא ק</w:t>
      </w:r>
      <w:r w:rsidR="00C00364">
        <w:rPr>
          <w:rFonts w:hint="cs"/>
          <w:rtl/>
        </w:rPr>
        <w:t>ו</w:t>
      </w:r>
      <w:r>
        <w:rPr>
          <w:rFonts w:hint="cs"/>
          <w:rtl/>
        </w:rPr>
        <w:t xml:space="preserve">רבן נדבת יחיד. </w:t>
      </w:r>
      <w:r>
        <w:rPr>
          <w:rtl/>
        </w:rPr>
        <w:t xml:space="preserve">אפשרות </w:t>
      </w:r>
      <w:r>
        <w:rPr>
          <w:rFonts w:hint="cs"/>
          <w:rtl/>
        </w:rPr>
        <w:t>המנחה המתוארת כאן היא ש</w:t>
      </w:r>
      <w:r>
        <w:rPr>
          <w:rtl/>
        </w:rPr>
        <w:t xml:space="preserve">אדם, שזה עתה הבכיר יבולו, </w:t>
      </w:r>
      <w:r>
        <w:rPr>
          <w:rFonts w:hint="cs"/>
          <w:rtl/>
        </w:rPr>
        <w:t xml:space="preserve">יכול </w:t>
      </w:r>
      <w:r>
        <w:rPr>
          <w:rtl/>
        </w:rPr>
        <w:t xml:space="preserve">להביא למשכן </w:t>
      </w:r>
      <w:r>
        <w:rPr>
          <w:rFonts w:hint="cs"/>
          <w:rtl/>
        </w:rPr>
        <w:t xml:space="preserve">מנחה </w:t>
      </w:r>
      <w:r>
        <w:rPr>
          <w:rtl/>
        </w:rPr>
        <w:t>מיבולו החדש (אם הוא מעוניין בכך). אמנם, בנוסף לאפשרות הקרבה זו ישנה חובה, המוטלת על הציבור כולו, להניף עומר</w:t>
      </w:r>
      <w:r>
        <w:rPr>
          <w:rFonts w:hint="cs"/>
          <w:rtl/>
        </w:rPr>
        <w:t xml:space="preserve"> מראשית הביכורים</w:t>
      </w:r>
      <w:r>
        <w:rPr>
          <w:rtl/>
        </w:rPr>
        <w:t>, כפי שמפורט בפרק כ"ג.</w:t>
      </w:r>
    </w:p>
    <w:p w14:paraId="2179F5C4" w14:textId="77777777" w:rsidR="00E10606" w:rsidRDefault="00E10606" w:rsidP="00E10606">
      <w:pPr>
        <w:rPr>
          <w:rtl/>
        </w:rPr>
      </w:pPr>
      <w:r>
        <w:rPr>
          <w:rFonts w:hint="cs"/>
          <w:rtl/>
        </w:rPr>
        <w:t xml:space="preserve">בדרכו של ראב"ע הלך גם הנצי"ב (שבדרך כלל משתדל לפרש את הכתובים בהתאמה למדרש ההלכתי): </w:t>
      </w:r>
    </w:p>
    <w:p w14:paraId="79EB4275" w14:textId="76589F9C" w:rsidR="00FA628D" w:rsidRDefault="00FA628D" w:rsidP="007B0635">
      <w:pPr>
        <w:ind w:left="720"/>
        <w:rPr>
          <w:rtl/>
        </w:rPr>
      </w:pPr>
      <w:r>
        <w:rPr>
          <w:rFonts w:hint="cs"/>
          <w:rtl/>
        </w:rPr>
        <w:t>"</w:t>
      </w:r>
      <w:r w:rsidR="00E10606">
        <w:rPr>
          <w:rFonts w:hint="cs"/>
          <w:rtl/>
        </w:rPr>
        <w:t xml:space="preserve">'ואם תקריב' </w:t>
      </w:r>
      <w:r w:rsidR="00E10606">
        <w:rPr>
          <w:rtl/>
        </w:rPr>
        <w:t>–</w:t>
      </w:r>
      <w:r w:rsidR="00E10606">
        <w:rPr>
          <w:rFonts w:hint="cs"/>
          <w:rtl/>
        </w:rPr>
        <w:t xml:space="preserve"> הדרש ידוע. אמנם לפי הפשט לשון 'ואם' כמשמעו. ולפי שמדבר בכל פרשיות הללו באהל מועד שבמדבר, ובמדבר </w:t>
      </w:r>
      <w:r w:rsidR="00E10606">
        <w:rPr>
          <w:rtl/>
        </w:rPr>
        <w:t>–</w:t>
      </w:r>
      <w:r w:rsidR="00E10606">
        <w:rPr>
          <w:rFonts w:hint="cs"/>
          <w:rtl/>
        </w:rPr>
        <w:t xml:space="preserve"> אע"ג שלא היה החיוב להביא העומר כדתנן במנחות בפר' התכלת </w:t>
      </w:r>
      <w:r w:rsidR="00E10606">
        <w:rPr>
          <w:rtl/>
        </w:rPr>
        <w:t>–</w:t>
      </w:r>
      <w:r w:rsidR="00E10606">
        <w:rPr>
          <w:rFonts w:hint="cs"/>
          <w:rtl/>
        </w:rPr>
        <w:t xml:space="preserve"> מכל מקום אם היה לישראל עומר מארץ ישראל היו רשאין להקריב גם במדבר, משום הכי כתיב 'ואם'</w:t>
      </w:r>
      <w:r>
        <w:rPr>
          <w:rFonts w:hint="cs"/>
          <w:rtl/>
        </w:rPr>
        <w:t>"</w:t>
      </w:r>
    </w:p>
    <w:p w14:paraId="5ED62210" w14:textId="413B70F6" w:rsidR="00E10606" w:rsidRDefault="00FA628D" w:rsidP="00FA628D">
      <w:pPr>
        <w:ind w:left="720"/>
        <w:rPr>
          <w:rtl/>
        </w:rPr>
      </w:pPr>
      <w:r>
        <w:rPr>
          <w:rtl/>
        </w:rPr>
        <w:tab/>
      </w:r>
      <w:r w:rsidR="00E10606" w:rsidRPr="00FA628D">
        <w:rPr>
          <w:rFonts w:hint="cs"/>
          <w:sz w:val="20"/>
          <w:szCs w:val="20"/>
          <w:rtl/>
        </w:rPr>
        <w:t xml:space="preserve"> (</w:t>
      </w:r>
      <w:r>
        <w:rPr>
          <w:rFonts w:hint="cs"/>
          <w:sz w:val="20"/>
          <w:szCs w:val="20"/>
          <w:rtl/>
        </w:rPr>
        <w:t xml:space="preserve">נצי"ב </w:t>
      </w:r>
      <w:r w:rsidR="00E10606" w:rsidRPr="00FA628D">
        <w:rPr>
          <w:rFonts w:hint="cs"/>
          <w:sz w:val="20"/>
          <w:szCs w:val="20"/>
          <w:rtl/>
        </w:rPr>
        <w:t>ויקרא ב', יד)</w:t>
      </w:r>
      <w:r>
        <w:rPr>
          <w:rFonts w:hint="cs"/>
          <w:rtl/>
        </w:rPr>
        <w:t>.</w:t>
      </w:r>
    </w:p>
    <w:p w14:paraId="57E5B30D" w14:textId="1F24F829" w:rsidR="00E10606" w:rsidRDefault="00E10606" w:rsidP="00C00364">
      <w:pPr>
        <w:rPr>
          <w:rtl/>
        </w:rPr>
      </w:pPr>
      <w:r>
        <w:rPr>
          <w:rFonts w:hint="cs"/>
          <w:rtl/>
        </w:rPr>
        <w:t>האוקימתא שבדבריו ("אם היה לישראל עומר מארץ ישראל") דחוקה בהבנת פשט הכתוב, אולם גם מדבריו עולה שהתורה מציגה כאן מנחת ביכורי נדבה ולא מנחת חובה</w:t>
      </w:r>
      <w:r>
        <w:rPr>
          <w:rFonts w:hint="cs"/>
          <w:rtl/>
        </w:rPr>
        <w:t>.</w:t>
      </w:r>
      <w:r>
        <w:rPr>
          <w:rStyle w:val="a5"/>
          <w:rtl/>
        </w:rPr>
        <w:footnoteReference w:id="8"/>
      </w:r>
    </w:p>
    <w:p w14:paraId="2212E180" w14:textId="0F58FE77" w:rsidR="00E10606" w:rsidRPr="00A71099" w:rsidRDefault="00E10606" w:rsidP="00C00364">
      <w:pPr>
        <w:rPr>
          <w:rFonts w:ascii="David" w:hAnsi="David"/>
          <w:rtl/>
        </w:rPr>
      </w:pPr>
      <w:r w:rsidRPr="00A71099">
        <w:rPr>
          <w:rFonts w:ascii="David" w:hAnsi="David" w:hint="cs"/>
          <w:rtl/>
        </w:rPr>
        <w:t>לפי שיט</w:t>
      </w:r>
      <w:r>
        <w:rPr>
          <w:rFonts w:ascii="David" w:hAnsi="David" w:hint="cs"/>
          <w:rtl/>
        </w:rPr>
        <w:t>ה זו יש לברר מה יש לעשות עם העומר המונף המתואר בפרק כ"ג</w:t>
      </w:r>
      <w:r w:rsidR="00C00364">
        <w:rPr>
          <w:rFonts w:ascii="David" w:hAnsi="David" w:hint="cs"/>
          <w:rtl/>
        </w:rPr>
        <w:t>, שכן דינו אינו מובא שם</w:t>
      </w:r>
      <w:r>
        <w:rPr>
          <w:rFonts w:ascii="David" w:hAnsi="David" w:hint="cs"/>
          <w:rtl/>
        </w:rPr>
        <w:t xml:space="preserve">. </w:t>
      </w:r>
      <w:r w:rsidRPr="00A71099">
        <w:rPr>
          <w:rFonts w:ascii="David" w:hAnsi="David" w:hint="cs"/>
          <w:rtl/>
        </w:rPr>
        <w:t>בפסוקים בויקרא כ</w:t>
      </w:r>
      <w:r>
        <w:rPr>
          <w:rFonts w:ascii="David" w:hAnsi="David" w:hint="cs"/>
          <w:rtl/>
        </w:rPr>
        <w:t>"</w:t>
      </w:r>
      <w:r w:rsidRPr="00A71099">
        <w:rPr>
          <w:rFonts w:ascii="David" w:hAnsi="David" w:hint="cs"/>
          <w:rtl/>
        </w:rPr>
        <w:t xml:space="preserve">ג </w:t>
      </w:r>
      <w:r>
        <w:rPr>
          <w:rFonts w:ascii="David" w:hAnsi="David" w:hint="cs"/>
          <w:rtl/>
        </w:rPr>
        <w:t xml:space="preserve">ראב"ע </w:t>
      </w:r>
      <w:r w:rsidRPr="00A71099">
        <w:rPr>
          <w:rFonts w:ascii="David" w:hAnsi="David" w:hint="cs"/>
          <w:rtl/>
        </w:rPr>
        <w:t xml:space="preserve">אינו מעיר </w:t>
      </w:r>
      <w:r>
        <w:rPr>
          <w:rFonts w:ascii="David" w:hAnsi="David" w:hint="cs"/>
          <w:rtl/>
        </w:rPr>
        <w:t xml:space="preserve">על כך </w:t>
      </w:r>
      <w:r w:rsidRPr="00A71099">
        <w:rPr>
          <w:rFonts w:ascii="David" w:hAnsi="David" w:hint="cs"/>
          <w:rtl/>
        </w:rPr>
        <w:t xml:space="preserve">דבר. </w:t>
      </w:r>
      <w:r w:rsidRPr="00A71099">
        <w:rPr>
          <w:rFonts w:ascii="David" w:hAnsi="David"/>
          <w:rtl/>
        </w:rPr>
        <w:t xml:space="preserve">החוקרים שאימצו את </w:t>
      </w:r>
      <w:r w:rsidRPr="00A71099">
        <w:rPr>
          <w:rFonts w:ascii="David" w:hAnsi="David" w:hint="cs"/>
          <w:rtl/>
        </w:rPr>
        <w:t xml:space="preserve">ביאורו של </w:t>
      </w:r>
      <w:r>
        <w:rPr>
          <w:rFonts w:ascii="David" w:hAnsi="David" w:hint="cs"/>
          <w:rtl/>
        </w:rPr>
        <w:t xml:space="preserve">ראב"ע </w:t>
      </w:r>
      <w:r w:rsidRPr="00A71099">
        <w:rPr>
          <w:rFonts w:ascii="David" w:hAnsi="David" w:hint="cs"/>
          <w:rtl/>
        </w:rPr>
        <w:t xml:space="preserve">לפסוקים </w:t>
      </w:r>
      <w:r>
        <w:rPr>
          <w:rFonts w:ascii="David" w:hAnsi="David" w:hint="cs"/>
          <w:rtl/>
        </w:rPr>
        <w:t xml:space="preserve">אצלנו, הניחו שדין הנפת העומר היא כדין הנפת שתי הלחם המתוארת בהמשך הפרק שם </w:t>
      </w:r>
      <w:r w:rsidRPr="00FA628D">
        <w:rPr>
          <w:rFonts w:ascii="David" w:hAnsi="David" w:hint="cs"/>
          <w:sz w:val="20"/>
          <w:szCs w:val="20"/>
          <w:rtl/>
        </w:rPr>
        <w:t>(ויקרא כ</w:t>
      </w:r>
      <w:r w:rsidR="00FA628D">
        <w:rPr>
          <w:rFonts w:ascii="David" w:hAnsi="David" w:hint="cs"/>
          <w:sz w:val="20"/>
          <w:szCs w:val="20"/>
          <w:rtl/>
        </w:rPr>
        <w:t>"</w:t>
      </w:r>
      <w:r w:rsidRPr="00FA628D">
        <w:rPr>
          <w:rFonts w:ascii="David" w:hAnsi="David" w:hint="cs"/>
          <w:sz w:val="20"/>
          <w:szCs w:val="20"/>
          <w:rtl/>
        </w:rPr>
        <w:t>ג,</w:t>
      </w:r>
      <w:r w:rsidR="00FA628D">
        <w:rPr>
          <w:rFonts w:ascii="David" w:hAnsi="David" w:hint="cs"/>
          <w:sz w:val="20"/>
          <w:szCs w:val="20"/>
          <w:rtl/>
        </w:rPr>
        <w:t xml:space="preserve"> </w:t>
      </w:r>
      <w:r w:rsidRPr="00FA628D">
        <w:rPr>
          <w:rFonts w:ascii="David" w:hAnsi="David" w:hint="cs"/>
          <w:sz w:val="20"/>
          <w:szCs w:val="20"/>
          <w:rtl/>
        </w:rPr>
        <w:t>יז-כ)</w:t>
      </w:r>
      <w:r>
        <w:rPr>
          <w:rFonts w:ascii="David" w:hAnsi="David" w:hint="cs"/>
          <w:rtl/>
        </w:rPr>
        <w:t xml:space="preserve">. שתי הלחם מונפות וניתנות לכהן </w:t>
      </w:r>
      <w:r>
        <w:rPr>
          <w:rFonts w:ascii="David" w:hAnsi="David"/>
          <w:rtl/>
        </w:rPr>
        <w:t>–</w:t>
      </w:r>
      <w:r>
        <w:rPr>
          <w:rFonts w:ascii="David" w:hAnsi="David" w:hint="cs"/>
          <w:rtl/>
        </w:rPr>
        <w:t xml:space="preserve"> והן אינן עולות על המזבח </w:t>
      </w:r>
      <w:r>
        <w:rPr>
          <w:rFonts w:ascii="David" w:hAnsi="David"/>
          <w:rtl/>
        </w:rPr>
        <w:t>–</w:t>
      </w:r>
      <w:r>
        <w:rPr>
          <w:rFonts w:ascii="David" w:hAnsi="David" w:hint="cs"/>
          <w:rtl/>
        </w:rPr>
        <w:t xml:space="preserve"> כך גם, לפי שיטה זו, יש לנהוג בעומר המונף: לתת אותו לכהן ולא להקטירו על גבי המזבח.</w:t>
      </w:r>
      <w:r>
        <w:rPr>
          <w:rStyle w:val="a5"/>
          <w:rFonts w:ascii="David" w:hAnsi="David"/>
          <w:sz w:val="24"/>
          <w:rtl/>
        </w:rPr>
        <w:footnoteReference w:id="9"/>
      </w:r>
    </w:p>
    <w:p w14:paraId="4961B4EE" w14:textId="6426DD3E" w:rsidR="00E10606" w:rsidRDefault="00E10606" w:rsidP="00F722D7">
      <w:pPr>
        <w:rPr>
          <w:rtl/>
        </w:rPr>
      </w:pPr>
      <w:r>
        <w:rPr>
          <w:rtl/>
        </w:rPr>
        <w:tab/>
        <w:t>יש</w:t>
      </w:r>
      <w:r>
        <w:rPr>
          <w:rFonts w:hint="cs"/>
          <w:rtl/>
        </w:rPr>
        <w:t xml:space="preserve"> </w:t>
      </w:r>
      <w:r w:rsidR="00F722D7">
        <w:rPr>
          <w:rFonts w:hint="cs"/>
          <w:rtl/>
        </w:rPr>
        <w:t xml:space="preserve">אפוא </w:t>
      </w:r>
      <w:r>
        <w:rPr>
          <w:rtl/>
        </w:rPr>
        <w:t xml:space="preserve">שתי נקודות </w:t>
      </w:r>
      <w:r>
        <w:rPr>
          <w:rFonts w:hint="cs"/>
          <w:rtl/>
        </w:rPr>
        <w:t xml:space="preserve">מחלוקת בין שתי הקריאות. </w:t>
      </w:r>
      <w:r>
        <w:rPr>
          <w:rtl/>
        </w:rPr>
        <w:t xml:space="preserve">ראשית, לפי </w:t>
      </w:r>
      <w:r>
        <w:rPr>
          <w:rFonts w:hint="cs"/>
          <w:rtl/>
        </w:rPr>
        <w:t xml:space="preserve">קריאת </w:t>
      </w:r>
      <w:r>
        <w:rPr>
          <w:rtl/>
        </w:rPr>
        <w:t xml:space="preserve">חז"ל מדובר כאן בקורבן ציבור, בעוד שלפי ראב"ע מדובר בקורבן יחיד. שנית, לפי </w:t>
      </w:r>
      <w:r>
        <w:rPr>
          <w:rFonts w:hint="cs"/>
          <w:rtl/>
        </w:rPr>
        <w:t xml:space="preserve">קריאת </w:t>
      </w:r>
      <w:r>
        <w:rPr>
          <w:rtl/>
        </w:rPr>
        <w:t xml:space="preserve">חז"ל </w:t>
      </w:r>
      <w:r>
        <w:rPr>
          <w:rFonts w:hint="cs"/>
          <w:rtl/>
        </w:rPr>
        <w:t>מדובר ב</w:t>
      </w:r>
      <w:r>
        <w:rPr>
          <w:rtl/>
        </w:rPr>
        <w:t>קורבן חובה, ואילו לפירושו של ראב"ע בקורבן נדבה עסקינן.</w:t>
      </w:r>
    </w:p>
    <w:p w14:paraId="4466E89A" w14:textId="77777777" w:rsidR="00E10606" w:rsidRDefault="00E10606" w:rsidP="00E10606">
      <w:pPr>
        <w:rPr>
          <w:rtl/>
        </w:rPr>
      </w:pPr>
      <w:r>
        <w:rPr>
          <w:rtl/>
        </w:rPr>
        <w:t xml:space="preserve">במבט ראשון, פרשנות חז"ל למנחה זו, נראית </w:t>
      </w:r>
      <w:r>
        <w:rPr>
          <w:rFonts w:hint="cs"/>
          <w:rtl/>
        </w:rPr>
        <w:t>קשה בפשטי המקראות והדעת נוטה לאמץ את עמדת ראב"ע. שלוש סיבות מרכזיות יש לכך:</w:t>
      </w:r>
    </w:p>
    <w:p w14:paraId="3AF62321" w14:textId="556E587F" w:rsidR="00E10606" w:rsidRDefault="007B0635" w:rsidP="00343750">
      <w:pPr>
        <w:rPr>
          <w:rtl/>
        </w:rPr>
      </w:pPr>
      <w:r w:rsidRPr="007B0635">
        <w:rPr>
          <w:rFonts w:hint="cs"/>
          <w:b/>
          <w:bCs/>
          <w:rtl/>
        </w:rPr>
        <w:t>א.</w:t>
      </w:r>
      <w:r>
        <w:rPr>
          <w:rFonts w:hint="cs"/>
          <w:rtl/>
        </w:rPr>
        <w:t xml:space="preserve"> </w:t>
      </w:r>
      <w:r w:rsidR="00E10606">
        <w:rPr>
          <w:rtl/>
        </w:rPr>
        <w:t xml:space="preserve">הביטוי הפותח </w:t>
      </w:r>
      <w:r w:rsidR="00E10606">
        <w:rPr>
          <w:rFonts w:hint="cs"/>
          <w:rtl/>
        </w:rPr>
        <w:t xml:space="preserve">את הציווי על מנחת הביכורים </w:t>
      </w:r>
      <w:r w:rsidR="00E10606">
        <w:rPr>
          <w:rtl/>
        </w:rPr>
        <w:t>הוא "אם תקריב"</w:t>
      </w:r>
      <w:r w:rsidR="00E10606">
        <w:rPr>
          <w:rFonts w:hint="cs"/>
          <w:rtl/>
        </w:rPr>
        <w:t xml:space="preserve"> והקריאה הפשוטה של מונח זה היא 'אם תרצה'</w:t>
      </w:r>
      <w:r w:rsidR="00E10606">
        <w:rPr>
          <w:rtl/>
        </w:rPr>
        <w:t>. א</w:t>
      </w:r>
      <w:r w:rsidR="00481042">
        <w:rPr>
          <w:rFonts w:hint="cs"/>
          <w:rtl/>
        </w:rPr>
        <w:t>ו</w:t>
      </w:r>
      <w:r w:rsidR="00E10606">
        <w:rPr>
          <w:rtl/>
        </w:rPr>
        <w:t xml:space="preserve">מנם </w:t>
      </w:r>
      <w:r w:rsidR="00E10606">
        <w:rPr>
          <w:rFonts w:hint="cs"/>
          <w:rtl/>
        </w:rPr>
        <w:t xml:space="preserve">צודק </w:t>
      </w:r>
      <w:r w:rsidR="00E10606">
        <w:rPr>
          <w:rtl/>
        </w:rPr>
        <w:t xml:space="preserve">רש"י </w:t>
      </w:r>
      <w:r w:rsidR="00E10606">
        <w:rPr>
          <w:rFonts w:hint="cs"/>
          <w:rtl/>
        </w:rPr>
        <w:t>שיש במקרא '</w:t>
      </w:r>
      <w:r w:rsidR="00E10606">
        <w:rPr>
          <w:rtl/>
        </w:rPr>
        <w:t>אם</w:t>
      </w:r>
      <w:r w:rsidR="00E10606">
        <w:rPr>
          <w:rFonts w:hint="cs"/>
          <w:rtl/>
        </w:rPr>
        <w:t>'</w:t>
      </w:r>
      <w:r w:rsidR="00E10606">
        <w:rPr>
          <w:rtl/>
        </w:rPr>
        <w:t xml:space="preserve"> </w:t>
      </w:r>
      <w:r w:rsidR="00E10606">
        <w:rPr>
          <w:rFonts w:hint="cs"/>
          <w:rtl/>
        </w:rPr>
        <w:t>ש</w:t>
      </w:r>
      <w:r w:rsidR="00E10606">
        <w:rPr>
          <w:rtl/>
        </w:rPr>
        <w:t xml:space="preserve">אינו מורה על רשות אלא </w:t>
      </w:r>
      <w:r w:rsidR="00E10606">
        <w:rPr>
          <w:rFonts w:hint="cs"/>
          <w:rtl/>
        </w:rPr>
        <w:t xml:space="preserve">בא כתיאור זמן, כמו 'כאשר'. </w:t>
      </w:r>
      <w:r w:rsidR="00E10606">
        <w:rPr>
          <w:rtl/>
        </w:rPr>
        <w:t>אולם בהקשר הספציפי של פרקנו פירושו של רש"י קשה</w:t>
      </w:r>
      <w:r w:rsidR="00E10606">
        <w:rPr>
          <w:rFonts w:hint="cs"/>
          <w:rtl/>
        </w:rPr>
        <w:t xml:space="preserve">, שהרי </w:t>
      </w:r>
      <w:r w:rsidR="00E10606">
        <w:rPr>
          <w:rtl/>
        </w:rPr>
        <w:t xml:space="preserve">לאורך הפרק </w:t>
      </w:r>
      <w:r w:rsidR="00E10606">
        <w:rPr>
          <w:rFonts w:hint="cs"/>
          <w:rtl/>
        </w:rPr>
        <w:t>'</w:t>
      </w:r>
      <w:r w:rsidR="00E10606">
        <w:rPr>
          <w:rtl/>
        </w:rPr>
        <w:t>אם</w:t>
      </w:r>
      <w:r w:rsidR="00E10606">
        <w:rPr>
          <w:rFonts w:hint="cs"/>
          <w:rtl/>
        </w:rPr>
        <w:t>'</w:t>
      </w:r>
      <w:r w:rsidR="00E10606">
        <w:rPr>
          <w:rtl/>
        </w:rPr>
        <w:t xml:space="preserve"> פתח אפשרו</w:t>
      </w:r>
      <w:r w:rsidR="00E10606">
        <w:rPr>
          <w:rFonts w:hint="cs"/>
          <w:rtl/>
        </w:rPr>
        <w:t>יו</w:t>
      </w:r>
      <w:r w:rsidR="00E10606">
        <w:rPr>
          <w:rtl/>
        </w:rPr>
        <w:t xml:space="preserve">ת של הקרבת </w:t>
      </w:r>
      <w:r w:rsidR="00E10606">
        <w:rPr>
          <w:rtl/>
        </w:rPr>
        <w:t>קורבן מנחת נדבה</w:t>
      </w:r>
      <w:r w:rsidR="00E10606">
        <w:rPr>
          <w:rFonts w:hint="cs"/>
          <w:rtl/>
        </w:rPr>
        <w:t xml:space="preserve">: </w:t>
      </w:r>
      <w:r w:rsidR="00E10606">
        <w:rPr>
          <w:rtl/>
        </w:rPr>
        <w:t xml:space="preserve">"ואם מנחה על המחבת קרבנך" </w:t>
      </w:r>
      <w:r w:rsidR="00E10606" w:rsidRPr="00FA628D">
        <w:rPr>
          <w:sz w:val="20"/>
          <w:szCs w:val="20"/>
          <w:rtl/>
        </w:rPr>
        <w:t xml:space="preserve">(ב', </w:t>
      </w:r>
      <w:r w:rsidR="00E10606" w:rsidRPr="00FA628D">
        <w:rPr>
          <w:sz w:val="20"/>
          <w:szCs w:val="20"/>
          <w:rtl/>
        </w:rPr>
        <w:lastRenderedPageBreak/>
        <w:t>ה)</w:t>
      </w:r>
      <w:r w:rsidR="00E10606">
        <w:rPr>
          <w:rtl/>
        </w:rPr>
        <w:t xml:space="preserve">; "ואם מנחת מרחשת קרבנך" </w:t>
      </w:r>
      <w:r w:rsidR="00E10606" w:rsidRPr="00FA628D">
        <w:rPr>
          <w:sz w:val="20"/>
          <w:szCs w:val="20"/>
          <w:rtl/>
        </w:rPr>
        <w:t>(ב', ז)</w:t>
      </w:r>
      <w:r w:rsidR="00E10606">
        <w:rPr>
          <w:rtl/>
        </w:rPr>
        <w:t xml:space="preserve">. במקרים אלו </w:t>
      </w:r>
      <w:r w:rsidR="00E10606">
        <w:rPr>
          <w:rFonts w:hint="cs"/>
          <w:rtl/>
        </w:rPr>
        <w:t>נראה שהמונח '</w:t>
      </w:r>
      <w:r w:rsidR="00E10606">
        <w:rPr>
          <w:rtl/>
        </w:rPr>
        <w:t>אם</w:t>
      </w:r>
      <w:r w:rsidR="00E10606">
        <w:rPr>
          <w:rFonts w:hint="cs"/>
          <w:rtl/>
        </w:rPr>
        <w:t>'</w:t>
      </w:r>
      <w:r w:rsidR="00E10606">
        <w:rPr>
          <w:rtl/>
        </w:rPr>
        <w:t xml:space="preserve"> מורה על אפשרות הפתוחה בפני האדם לנדב מנחת מחבת או מרחשת. ממילא </w:t>
      </w:r>
      <w:r w:rsidR="00E10606">
        <w:rPr>
          <w:rFonts w:hint="cs"/>
          <w:rtl/>
        </w:rPr>
        <w:t xml:space="preserve">זו הקריאה הפשוטה יותר גם בפתח מנחת הביכורים: </w:t>
      </w:r>
      <w:r w:rsidR="00E10606">
        <w:rPr>
          <w:rtl/>
        </w:rPr>
        <w:t>"ואם תקריב מנחת ביכורים"</w:t>
      </w:r>
      <w:r w:rsidR="00E10606">
        <w:rPr>
          <w:rFonts w:hint="cs"/>
          <w:rtl/>
        </w:rPr>
        <w:t xml:space="preserve"> </w:t>
      </w:r>
      <w:r w:rsidR="00E10606">
        <w:rPr>
          <w:rtl/>
        </w:rPr>
        <w:t>–</w:t>
      </w:r>
      <w:r w:rsidR="00E10606">
        <w:rPr>
          <w:rFonts w:hint="cs"/>
          <w:rtl/>
        </w:rPr>
        <w:t xml:space="preserve"> אם תרצה להקריב מנחת ביכורים.</w:t>
      </w:r>
      <w:r w:rsidR="00E10606">
        <w:rPr>
          <w:rStyle w:val="a5"/>
          <w:rtl/>
        </w:rPr>
        <w:footnoteReference w:id="10"/>
      </w:r>
      <w:r w:rsidR="00E10606">
        <w:rPr>
          <w:rFonts w:hint="cs"/>
          <w:rtl/>
        </w:rPr>
        <w:t xml:space="preserve"> </w:t>
      </w:r>
      <w:r w:rsidR="00E10606">
        <w:rPr>
          <w:rFonts w:hint="cs"/>
          <w:rtl/>
        </w:rPr>
        <w:t xml:space="preserve">בצדק גם העיר הרב ברוך קהת, שדווקא בשל הפיצול העקרוני שיש בחטיבת הקורבנות בין הכותרת הכללית </w:t>
      </w:r>
      <w:r w:rsidR="00E10606">
        <w:rPr>
          <w:rtl/>
        </w:rPr>
        <w:t>–</w:t>
      </w:r>
      <w:r w:rsidR="00E10606">
        <w:rPr>
          <w:rFonts w:hint="cs"/>
          <w:rtl/>
        </w:rPr>
        <w:t xml:space="preserve"> "כי", </w:t>
      </w:r>
      <w:r w:rsidR="00343750">
        <w:rPr>
          <w:rFonts w:hint="cs"/>
          <w:rtl/>
        </w:rPr>
        <w:t>ו</w:t>
      </w:r>
      <w:r w:rsidR="00E10606">
        <w:rPr>
          <w:rFonts w:hint="cs"/>
          <w:rtl/>
        </w:rPr>
        <w:t xml:space="preserve">בין כותרת המשנה </w:t>
      </w:r>
      <w:r w:rsidR="00E10606">
        <w:rPr>
          <w:rtl/>
        </w:rPr>
        <w:t>–</w:t>
      </w:r>
      <w:r w:rsidR="00E10606">
        <w:rPr>
          <w:rFonts w:hint="cs"/>
          <w:rtl/>
        </w:rPr>
        <w:t xml:space="preserve"> "אם", לא סביר שהכתוב עובר כאן למנחת חובה ציבורית בכותרת המשנה "ואם מנחת בכורים"</w:t>
      </w:r>
      <w:r w:rsidR="00343750">
        <w:rPr>
          <w:rFonts w:hint="cs"/>
          <w:rtl/>
        </w:rPr>
        <w:t xml:space="preserve">, שכן זו </w:t>
      </w:r>
      <w:r w:rsidR="00E10606">
        <w:rPr>
          <w:rFonts w:hint="cs"/>
          <w:rtl/>
        </w:rPr>
        <w:t>משרה תחושה של המשך פירוט הרשימה הקודמת.</w:t>
      </w:r>
      <w:r w:rsidR="00E10606">
        <w:rPr>
          <w:rStyle w:val="a5"/>
          <w:rtl/>
        </w:rPr>
        <w:footnoteReference w:id="11"/>
      </w:r>
    </w:p>
    <w:p w14:paraId="0FAE71E6" w14:textId="5752C494" w:rsidR="00E10606" w:rsidRDefault="007B0635" w:rsidP="00F97571">
      <w:pPr>
        <w:rPr>
          <w:rtl/>
        </w:rPr>
      </w:pPr>
      <w:r w:rsidRPr="007B0635">
        <w:rPr>
          <w:rFonts w:hint="cs"/>
          <w:b/>
          <w:bCs/>
          <w:rtl/>
        </w:rPr>
        <w:t>ב.</w:t>
      </w:r>
      <w:r>
        <w:rPr>
          <w:rFonts w:hint="cs"/>
          <w:rtl/>
        </w:rPr>
        <w:t xml:space="preserve"> </w:t>
      </w:r>
      <w:r w:rsidR="00E10606">
        <w:rPr>
          <w:rtl/>
        </w:rPr>
        <w:t>עצם מיקום הציווי על מנחה זו</w:t>
      </w:r>
      <w:r w:rsidR="00E10606">
        <w:rPr>
          <w:rFonts w:hint="cs"/>
          <w:rtl/>
        </w:rPr>
        <w:t xml:space="preserve"> מורה שמדובר במנחת יחיד</w:t>
      </w:r>
      <w:r w:rsidR="00E10606">
        <w:rPr>
          <w:rtl/>
        </w:rPr>
        <w:t xml:space="preserve">. פרשת ויקרא כולה </w:t>
      </w:r>
      <w:r w:rsidR="00E10606">
        <w:rPr>
          <w:rFonts w:hint="cs"/>
          <w:rtl/>
        </w:rPr>
        <w:t>מוקדשת לק</w:t>
      </w:r>
      <w:r w:rsidR="00F97571">
        <w:rPr>
          <w:rFonts w:hint="cs"/>
          <w:rtl/>
        </w:rPr>
        <w:t>ו</w:t>
      </w:r>
      <w:r w:rsidR="00E10606">
        <w:rPr>
          <w:rFonts w:hint="cs"/>
          <w:rtl/>
        </w:rPr>
        <w:t>רבנות היחיד,</w:t>
      </w:r>
      <w:r w:rsidR="00E10606">
        <w:rPr>
          <w:rStyle w:val="a5"/>
          <w:rtl/>
        </w:rPr>
        <w:footnoteReference w:id="12"/>
      </w:r>
      <w:r w:rsidR="00E10606">
        <w:rPr>
          <w:rFonts w:hint="cs"/>
          <w:rtl/>
        </w:rPr>
        <w:t xml:space="preserve"> וכבר בכך יש בכדי להטות את הכף לטובת הקריאה של ראב"ע, שגם מנחת הביכורים היא מנחת יחיד. מאחר שאנו אוחזים בחלק המוקדש לק</w:t>
      </w:r>
      <w:r w:rsidR="00F97571">
        <w:rPr>
          <w:rFonts w:hint="cs"/>
          <w:rtl/>
        </w:rPr>
        <w:t>ו</w:t>
      </w:r>
      <w:r w:rsidR="00E10606">
        <w:rPr>
          <w:rFonts w:hint="cs"/>
          <w:rtl/>
        </w:rPr>
        <w:t xml:space="preserve">רבנות נדבה, סביר שגם מנחת הביכורים המובאת כאן איננה מנחת יחיד </w:t>
      </w:r>
      <w:r w:rsidR="00F97571">
        <w:rPr>
          <w:rFonts w:hint="cs"/>
          <w:rtl/>
        </w:rPr>
        <w:t xml:space="preserve">גרידא </w:t>
      </w:r>
      <w:r w:rsidR="00E10606">
        <w:rPr>
          <w:rFonts w:hint="cs"/>
          <w:rtl/>
        </w:rPr>
        <w:t xml:space="preserve">אלא מנחת נדבת יחיד. אם אומנם כטענת חז"ל מדובר כאן בהמשך תהליך הנפת העומר </w:t>
      </w:r>
      <w:r w:rsidR="00E10606">
        <w:rPr>
          <w:rtl/>
        </w:rPr>
        <w:t>–</w:t>
      </w:r>
      <w:r w:rsidR="00E10606">
        <w:rPr>
          <w:rFonts w:hint="cs"/>
          <w:rtl/>
        </w:rPr>
        <w:t xml:space="preserve"> מדוע הוא נזכר כאן </w:t>
      </w:r>
      <w:r w:rsidR="00F97571">
        <w:rPr>
          <w:rFonts w:hint="cs"/>
          <w:rtl/>
        </w:rPr>
        <w:t>ב</w:t>
      </w:r>
      <w:r w:rsidR="00E10606">
        <w:rPr>
          <w:rFonts w:hint="cs"/>
          <w:rtl/>
        </w:rPr>
        <w:t>מנותק מכל הקשר</w:t>
      </w:r>
      <w:r w:rsidR="00F97571">
        <w:rPr>
          <w:rFonts w:hint="cs"/>
          <w:rtl/>
        </w:rPr>
        <w:t>, ו</w:t>
      </w:r>
      <w:r w:rsidR="00E10606">
        <w:rPr>
          <w:rFonts w:hint="cs"/>
          <w:rtl/>
        </w:rPr>
        <w:t>ללא רמז לעובדה שמדובר בטקס מפותח ושעליו להיעשות "למחרת השבת"?</w:t>
      </w:r>
    </w:p>
    <w:p w14:paraId="32542DEB" w14:textId="0FBE09E7" w:rsidR="00E10606" w:rsidRDefault="007B0635" w:rsidP="00E10606">
      <w:r w:rsidRPr="007B0635">
        <w:rPr>
          <w:rFonts w:hint="cs"/>
          <w:b/>
          <w:bCs/>
          <w:rtl/>
        </w:rPr>
        <w:t>ג.</w:t>
      </w:r>
      <w:r>
        <w:rPr>
          <w:rFonts w:hint="cs"/>
          <w:rtl/>
        </w:rPr>
        <w:t xml:space="preserve"> </w:t>
      </w:r>
      <w:r w:rsidR="00E10606">
        <w:rPr>
          <w:rtl/>
        </w:rPr>
        <w:t xml:space="preserve">גם </w:t>
      </w:r>
      <w:r w:rsidR="00E10606">
        <w:rPr>
          <w:rFonts w:hint="cs"/>
          <w:rtl/>
        </w:rPr>
        <w:t xml:space="preserve">הגוף השני שכבר הוזכר לעיל מחזק את הקריאה של ראב"ע. הפנייה לגוף נוכח ייחודית למנחות המעובדות, וקשה להניח שחובת ציבור תשולב בפרק עם הסגנון הייחודי של פרקנו המתאים דווקא לנדבת יחיד. </w:t>
      </w:r>
    </w:p>
    <w:p w14:paraId="62724E09" w14:textId="77777777" w:rsidR="00E10606" w:rsidRDefault="00E10606" w:rsidP="00E10606">
      <w:pPr>
        <w:rPr>
          <w:rtl/>
        </w:rPr>
      </w:pPr>
    </w:p>
    <w:p w14:paraId="56289BEA" w14:textId="77777777" w:rsidR="00E10606" w:rsidRDefault="00E10606" w:rsidP="00E10606">
      <w:pPr>
        <w:rPr>
          <w:rtl/>
        </w:rPr>
      </w:pPr>
      <w:r>
        <w:rPr>
          <w:rFonts w:hint="cs"/>
          <w:rtl/>
        </w:rPr>
        <w:t xml:space="preserve">עם זאת, לפני שנגיע למסקנה שהצדק עם ראב"ע, יש לתת את הדעת גם לסימנים טקסטואליים שתומכים בקריאת חז"ל. </w:t>
      </w:r>
    </w:p>
    <w:p w14:paraId="6EF24861" w14:textId="52A72B97" w:rsidR="00E10606" w:rsidRDefault="00E10606" w:rsidP="00E44E5C">
      <w:pPr>
        <w:rPr>
          <w:rtl/>
        </w:rPr>
      </w:pPr>
      <w:r>
        <w:rPr>
          <w:rFonts w:hint="cs"/>
          <w:rtl/>
        </w:rPr>
        <w:t xml:space="preserve">רד"צ הופמן העיר </w:t>
      </w:r>
      <w:r w:rsidR="00E44E5C">
        <w:rPr>
          <w:rFonts w:hint="cs"/>
          <w:rtl/>
        </w:rPr>
        <w:t xml:space="preserve">על כמה </w:t>
      </w:r>
      <w:r>
        <w:rPr>
          <w:rtl/>
        </w:rPr>
        <w:t xml:space="preserve">זיקות בין ציווי מנחת הביכורים </w:t>
      </w:r>
      <w:r w:rsidR="00E44E5C">
        <w:rPr>
          <w:rFonts w:hint="cs"/>
          <w:rtl/>
        </w:rPr>
        <w:t>ל</w:t>
      </w:r>
      <w:r>
        <w:rPr>
          <w:rtl/>
        </w:rPr>
        <w:t xml:space="preserve">הנפת העומר. </w:t>
      </w:r>
      <w:r>
        <w:rPr>
          <w:rFonts w:hint="cs"/>
          <w:rtl/>
        </w:rPr>
        <w:t xml:space="preserve">משלל דבריו </w:t>
      </w:r>
      <w:r>
        <w:rPr>
          <w:rtl/>
        </w:rPr>
        <w:t>ברצוני לה</w:t>
      </w:r>
      <w:r>
        <w:rPr>
          <w:rFonts w:hint="cs"/>
          <w:rtl/>
        </w:rPr>
        <w:t xml:space="preserve">זכיר </w:t>
      </w:r>
      <w:r>
        <w:rPr>
          <w:rtl/>
        </w:rPr>
        <w:t xml:space="preserve">את הלשון הדומה </w:t>
      </w:r>
      <w:r>
        <w:rPr>
          <w:rFonts w:hint="cs"/>
          <w:rtl/>
        </w:rPr>
        <w:t xml:space="preserve">שנזכרת </w:t>
      </w:r>
      <w:r>
        <w:rPr>
          <w:rtl/>
        </w:rPr>
        <w:t>במנחת הביכורים</w:t>
      </w:r>
      <w:r>
        <w:rPr>
          <w:rFonts w:hint="cs"/>
          <w:rtl/>
        </w:rPr>
        <w:t xml:space="preserve">: </w:t>
      </w:r>
      <w:r>
        <w:rPr>
          <w:rtl/>
        </w:rPr>
        <w:t>"</w:t>
      </w:r>
      <w:r>
        <w:rPr>
          <w:snapToGrid w:val="0"/>
          <w:rtl/>
        </w:rPr>
        <w:t xml:space="preserve">אָבִיב </w:t>
      </w:r>
      <w:r>
        <w:rPr>
          <w:b/>
          <w:bCs/>
          <w:snapToGrid w:val="0"/>
          <w:rtl/>
        </w:rPr>
        <w:t>קָלוּי</w:t>
      </w:r>
      <w:r>
        <w:rPr>
          <w:snapToGrid w:val="0"/>
          <w:rtl/>
        </w:rPr>
        <w:t xml:space="preserve"> בָּאֵשׁ גֶּרֶשׂ </w:t>
      </w:r>
      <w:r>
        <w:rPr>
          <w:b/>
          <w:bCs/>
          <w:snapToGrid w:val="0"/>
          <w:rtl/>
        </w:rPr>
        <w:t>כַּרְמֶל</w:t>
      </w:r>
      <w:r>
        <w:rPr>
          <w:snapToGrid w:val="0"/>
          <w:rtl/>
        </w:rPr>
        <w:t xml:space="preserve"> תַּקְרִיב אֵת מִנְחַת בִּכּוּרֶיך" </w:t>
      </w:r>
      <w:r w:rsidRPr="00FA628D">
        <w:rPr>
          <w:sz w:val="20"/>
          <w:szCs w:val="20"/>
          <w:rtl/>
        </w:rPr>
        <w:t>(ב', יד)</w:t>
      </w:r>
      <w:r>
        <w:rPr>
          <w:rFonts w:hint="cs"/>
          <w:rtl/>
        </w:rPr>
        <w:t>,</w:t>
      </w:r>
      <w:r>
        <w:rPr>
          <w:rtl/>
        </w:rPr>
        <w:t xml:space="preserve">  ובאיסור האכילה מן התבואה החדשה, </w:t>
      </w:r>
      <w:r>
        <w:rPr>
          <w:rFonts w:hint="cs"/>
          <w:rtl/>
        </w:rPr>
        <w:t xml:space="preserve">שנזכר </w:t>
      </w:r>
      <w:r>
        <w:rPr>
          <w:rtl/>
        </w:rPr>
        <w:t>עם הנפת העומר</w:t>
      </w:r>
      <w:r>
        <w:rPr>
          <w:rFonts w:hint="cs"/>
          <w:rtl/>
        </w:rPr>
        <w:t>:</w:t>
      </w:r>
      <w:r>
        <w:rPr>
          <w:rtl/>
        </w:rPr>
        <w:t xml:space="preserve"> "</w:t>
      </w:r>
      <w:r>
        <w:rPr>
          <w:snapToGrid w:val="0"/>
          <w:rtl/>
        </w:rPr>
        <w:t xml:space="preserve">וְלֶחֶם </w:t>
      </w:r>
      <w:r>
        <w:rPr>
          <w:b/>
          <w:bCs/>
          <w:snapToGrid w:val="0"/>
          <w:rtl/>
        </w:rPr>
        <w:t>וְקָלִי</w:t>
      </w:r>
      <w:r>
        <w:rPr>
          <w:snapToGrid w:val="0"/>
          <w:rtl/>
        </w:rPr>
        <w:t xml:space="preserve"> </w:t>
      </w:r>
      <w:r>
        <w:rPr>
          <w:b/>
          <w:bCs/>
          <w:snapToGrid w:val="0"/>
          <w:rtl/>
        </w:rPr>
        <w:t>וְכַרְמֶל</w:t>
      </w:r>
      <w:r>
        <w:rPr>
          <w:snapToGrid w:val="0"/>
          <w:rtl/>
        </w:rPr>
        <w:t xml:space="preserve"> לֹא תֹאכְלוּ עַד עֶצֶם הַיּוֹם הַזֶּה" </w:t>
      </w:r>
      <w:r w:rsidRPr="00FA628D">
        <w:rPr>
          <w:sz w:val="20"/>
          <w:szCs w:val="20"/>
          <w:rtl/>
        </w:rPr>
        <w:t>(כ"ג, יד)</w:t>
      </w:r>
      <w:r>
        <w:rPr>
          <w:rtl/>
        </w:rPr>
        <w:t xml:space="preserve">. סביר שאת העומר המונף יש להביא מן </w:t>
      </w:r>
      <w:r>
        <w:rPr>
          <w:rtl/>
        </w:rPr>
        <w:t xml:space="preserve">היבול שנאסר עד כה, והרי הוא </w:t>
      </w:r>
      <w:r w:rsidR="00E44E5C">
        <w:rPr>
          <w:rFonts w:hint="cs"/>
          <w:rtl/>
        </w:rPr>
        <w:t xml:space="preserve">מזוהה </w:t>
      </w:r>
      <w:r>
        <w:rPr>
          <w:rtl/>
        </w:rPr>
        <w:t xml:space="preserve">עם היבול </w:t>
      </w:r>
      <w:r w:rsidR="00E44E5C">
        <w:rPr>
          <w:rFonts w:hint="cs"/>
          <w:rtl/>
        </w:rPr>
        <w:t>ש</w:t>
      </w:r>
      <w:r>
        <w:rPr>
          <w:rtl/>
        </w:rPr>
        <w:t xml:space="preserve">ממנו יש להביא את מנחת הביכורים </w:t>
      </w:r>
      <w:r w:rsidR="00E44E5C">
        <w:rPr>
          <w:rFonts w:hint="cs"/>
          <w:rtl/>
        </w:rPr>
        <w:t>המוזכרת ב</w:t>
      </w:r>
      <w:r>
        <w:rPr>
          <w:rtl/>
        </w:rPr>
        <w:t>פרק ב'.</w:t>
      </w:r>
      <w:r>
        <w:rPr>
          <w:rStyle w:val="a5"/>
          <w:rtl/>
        </w:rPr>
        <w:footnoteReference w:id="13"/>
      </w:r>
    </w:p>
    <w:p w14:paraId="5FCFB26A" w14:textId="212F0771" w:rsidR="00E10606" w:rsidRDefault="00E10606" w:rsidP="00E44E5C">
      <w:pPr>
        <w:rPr>
          <w:rtl/>
        </w:rPr>
      </w:pPr>
      <w:r>
        <w:rPr>
          <w:rtl/>
        </w:rPr>
        <w:tab/>
      </w:r>
      <w:r>
        <w:rPr>
          <w:rFonts w:hint="cs"/>
          <w:rtl/>
        </w:rPr>
        <w:t xml:space="preserve">למעשה, עצם הכפילות המוזרה שנוצרת לפי ראב"ע בין ביכורי היבול בויקרא כ"ג למנחת הביכורים בויקרא ב', </w:t>
      </w:r>
      <w:r w:rsidR="00E44E5C">
        <w:rPr>
          <w:rFonts w:hint="cs"/>
          <w:rtl/>
        </w:rPr>
        <w:t xml:space="preserve">היא </w:t>
      </w:r>
      <w:r>
        <w:rPr>
          <w:rFonts w:hint="cs"/>
          <w:rtl/>
        </w:rPr>
        <w:t xml:space="preserve">מעין ראיה לשיטת חז"ל. מדוע שלצד ראשית היבול שמביא הציבור כולו למחרת השבת, יביא גם היחיד משל עצמו? וכי הוא </w:t>
      </w:r>
      <w:r w:rsidR="00E44E5C">
        <w:rPr>
          <w:rFonts w:hint="cs"/>
          <w:rtl/>
        </w:rPr>
        <w:t xml:space="preserve">אינו </w:t>
      </w:r>
      <w:r>
        <w:rPr>
          <w:rFonts w:hint="cs"/>
          <w:rtl/>
        </w:rPr>
        <w:t xml:space="preserve">כלול בעומר הציבורי? </w:t>
      </w:r>
    </w:p>
    <w:p w14:paraId="3DFC6C0B" w14:textId="01EF662E" w:rsidR="00E10606" w:rsidRDefault="00E10606" w:rsidP="00E44E5C">
      <w:pPr>
        <w:rPr>
          <w:rtl/>
        </w:rPr>
      </w:pPr>
      <w:r>
        <w:rPr>
          <w:rFonts w:hint="cs"/>
          <w:rtl/>
        </w:rPr>
        <w:t>אך חשוב מכל זה: מבנה הפרק מלמד שמנחת הביכורים איננה עוד אופציה ברשימת המנחות המובאות בפרק אלא יש לראות בה מעין נספח. מאחר שכבר נדונו דיני הקרבת מנחת הסולת ודיני הקרבת המנחות המעובדות, ולאחריהן שולבו דינים כלליים, כסיכום ק</w:t>
      </w:r>
      <w:r w:rsidR="00E44E5C">
        <w:rPr>
          <w:rFonts w:hint="cs"/>
          <w:rtl/>
        </w:rPr>
        <w:t>ו</w:t>
      </w:r>
      <w:r>
        <w:rPr>
          <w:rFonts w:hint="cs"/>
          <w:rtl/>
        </w:rPr>
        <w:t xml:space="preserve">רבן המנחה, הרי שמנחת הביכורים מובאת כנספח מאוחר. יש לזכור שהנספחים שחתמו את הדיון במנחת הסולת ובמנחות המעובדות תקפים גם לגבי מנחת ביכורים </w:t>
      </w:r>
      <w:r>
        <w:rPr>
          <w:rtl/>
        </w:rPr>
        <w:t>–</w:t>
      </w:r>
      <w:r>
        <w:rPr>
          <w:rFonts w:hint="cs"/>
          <w:rtl/>
        </w:rPr>
        <w:t xml:space="preserve"> ברור שגם לה אסור להוסיף שאור ולהחמיצה ושיש להוסיף לה מלח. </w:t>
      </w:r>
      <w:r>
        <w:rPr>
          <w:rtl/>
        </w:rPr>
        <w:t>גם כותרת מנח</w:t>
      </w:r>
      <w:r>
        <w:rPr>
          <w:rFonts w:hint="cs"/>
          <w:rtl/>
        </w:rPr>
        <w:t>ת הביכורים רומזת שמתחיל כאן דבר חדש לגמרי</w:t>
      </w:r>
      <w:r>
        <w:rPr>
          <w:rtl/>
        </w:rPr>
        <w:t xml:space="preserve">: </w:t>
      </w:r>
      <w:r>
        <w:rPr>
          <w:rFonts w:hint="cs"/>
          <w:rtl/>
        </w:rPr>
        <w:t>"וְאִם</w:t>
      </w:r>
      <w:r>
        <w:rPr>
          <w:rtl/>
        </w:rPr>
        <w:t xml:space="preserve"> </w:t>
      </w:r>
      <w:r>
        <w:rPr>
          <w:rFonts w:hint="cs"/>
          <w:rtl/>
        </w:rPr>
        <w:t>תַּקְרִיב</w:t>
      </w:r>
      <w:r>
        <w:rPr>
          <w:rtl/>
        </w:rPr>
        <w:t xml:space="preserve"> </w:t>
      </w:r>
      <w:r>
        <w:rPr>
          <w:rFonts w:hint="cs"/>
          <w:rtl/>
        </w:rPr>
        <w:t>מִנְחַת</w:t>
      </w:r>
      <w:r>
        <w:rPr>
          <w:rtl/>
        </w:rPr>
        <w:t xml:space="preserve"> </w:t>
      </w:r>
      <w:r>
        <w:rPr>
          <w:rFonts w:hint="cs"/>
          <w:rtl/>
        </w:rPr>
        <w:t>בִּכּוּרִים</w:t>
      </w:r>
      <w:r>
        <w:rPr>
          <w:rtl/>
        </w:rPr>
        <w:t xml:space="preserve"> </w:t>
      </w:r>
      <w:r w:rsidRPr="000224C3">
        <w:rPr>
          <w:rFonts w:hint="cs"/>
          <w:b/>
          <w:bCs/>
          <w:rtl/>
        </w:rPr>
        <w:t>לַה'</w:t>
      </w:r>
      <w:r>
        <w:rPr>
          <w:rFonts w:hint="cs"/>
          <w:rtl/>
        </w:rPr>
        <w:t xml:space="preserve">" </w:t>
      </w:r>
      <w:r w:rsidRPr="00FA628D">
        <w:rPr>
          <w:sz w:val="20"/>
          <w:szCs w:val="20"/>
          <w:rtl/>
        </w:rPr>
        <w:t>(ב', יד)</w:t>
      </w:r>
      <w:r w:rsidR="00E44E5C">
        <w:rPr>
          <w:rFonts w:hint="cs"/>
          <w:rtl/>
        </w:rPr>
        <w:t>;</w:t>
      </w:r>
      <w:r>
        <w:rPr>
          <w:rtl/>
        </w:rPr>
        <w:t xml:space="preserve"> </w:t>
      </w:r>
      <w:r w:rsidR="00E44E5C">
        <w:rPr>
          <w:rFonts w:hint="cs"/>
          <w:rtl/>
        </w:rPr>
        <w:t xml:space="preserve">כותרת זו </w:t>
      </w:r>
      <w:r>
        <w:rPr>
          <w:rtl/>
        </w:rPr>
        <w:t xml:space="preserve">שונה מכותרות המשנה שפתחו את אפשרויות המנחה השונות, </w:t>
      </w:r>
      <w:r w:rsidR="00E44E5C">
        <w:rPr>
          <w:rFonts w:hint="cs"/>
          <w:rtl/>
        </w:rPr>
        <w:t>ו</w:t>
      </w:r>
      <w:r>
        <w:rPr>
          <w:rtl/>
        </w:rPr>
        <w:t>מ</w:t>
      </w:r>
      <w:r>
        <w:rPr>
          <w:rFonts w:hint="cs"/>
          <w:rtl/>
        </w:rPr>
        <w:t xml:space="preserve">שולב </w:t>
      </w:r>
      <w:r w:rsidR="00E44E5C">
        <w:rPr>
          <w:rFonts w:hint="cs"/>
          <w:rtl/>
        </w:rPr>
        <w:t xml:space="preserve">בה </w:t>
      </w:r>
      <w:r>
        <w:rPr>
          <w:rtl/>
        </w:rPr>
        <w:t>שם ה'</w:t>
      </w:r>
      <w:r>
        <w:rPr>
          <w:rFonts w:hint="cs"/>
          <w:rtl/>
        </w:rPr>
        <w:t xml:space="preserve"> </w:t>
      </w:r>
      <w:r>
        <w:rPr>
          <w:rtl/>
        </w:rPr>
        <w:t>–</w:t>
      </w:r>
      <w:r>
        <w:rPr>
          <w:rFonts w:hint="cs"/>
          <w:rtl/>
        </w:rPr>
        <w:t xml:space="preserve"> נמען ההקרבה</w:t>
      </w:r>
      <w:r>
        <w:rPr>
          <w:rtl/>
        </w:rPr>
        <w:t xml:space="preserve">, </w:t>
      </w:r>
      <w:r w:rsidR="00E44E5C">
        <w:rPr>
          <w:rFonts w:hint="cs"/>
          <w:rtl/>
        </w:rPr>
        <w:t xml:space="preserve">מה </w:t>
      </w:r>
      <w:r>
        <w:rPr>
          <w:rtl/>
        </w:rPr>
        <w:t>שהופיע רק בכותרת הראשית לדיני המנחה בכלל ("</w:t>
      </w:r>
      <w:r>
        <w:rPr>
          <w:rFonts w:hint="cs"/>
          <w:rtl/>
        </w:rPr>
        <w:t>וְנֶפֶשׁ</w:t>
      </w:r>
      <w:r>
        <w:rPr>
          <w:rtl/>
        </w:rPr>
        <w:t xml:space="preserve"> </w:t>
      </w:r>
      <w:r>
        <w:rPr>
          <w:rFonts w:hint="cs"/>
          <w:rtl/>
        </w:rPr>
        <w:t>כִּי</w:t>
      </w:r>
      <w:r>
        <w:rPr>
          <w:rtl/>
        </w:rPr>
        <w:t xml:space="preserve"> </w:t>
      </w:r>
      <w:r>
        <w:rPr>
          <w:rFonts w:hint="cs"/>
          <w:rtl/>
        </w:rPr>
        <w:t>תַקְרִיב</w:t>
      </w:r>
      <w:r>
        <w:rPr>
          <w:rtl/>
        </w:rPr>
        <w:t xml:space="preserve"> </w:t>
      </w:r>
      <w:r>
        <w:rPr>
          <w:rFonts w:hint="cs"/>
          <w:rtl/>
        </w:rPr>
        <w:t>קָרְבַּן</w:t>
      </w:r>
      <w:r>
        <w:rPr>
          <w:rtl/>
        </w:rPr>
        <w:t xml:space="preserve"> </w:t>
      </w:r>
      <w:r>
        <w:rPr>
          <w:rFonts w:hint="cs"/>
          <w:rtl/>
        </w:rPr>
        <w:t>מִנְחָה</w:t>
      </w:r>
      <w:r>
        <w:rPr>
          <w:rtl/>
        </w:rPr>
        <w:t xml:space="preserve"> </w:t>
      </w:r>
      <w:r w:rsidRPr="000224C3">
        <w:rPr>
          <w:rFonts w:hint="cs"/>
          <w:b/>
          <w:bCs/>
          <w:rtl/>
        </w:rPr>
        <w:t>לַה'</w:t>
      </w:r>
      <w:r>
        <w:rPr>
          <w:rFonts w:hint="cs"/>
          <w:rtl/>
        </w:rPr>
        <w:t xml:space="preserve">" </w:t>
      </w:r>
      <w:r>
        <w:rPr>
          <w:rtl/>
        </w:rPr>
        <w:t>–</w:t>
      </w:r>
      <w:r>
        <w:rPr>
          <w:rFonts w:hint="cs"/>
          <w:rtl/>
        </w:rPr>
        <w:t xml:space="preserve"> ב'</w:t>
      </w:r>
      <w:r>
        <w:rPr>
          <w:rtl/>
        </w:rPr>
        <w:t xml:space="preserve">, א). </w:t>
      </w:r>
      <w:r>
        <w:rPr>
          <w:rFonts w:hint="cs"/>
          <w:rtl/>
        </w:rPr>
        <w:t xml:space="preserve">החזרה על נמען ההקרבה בפתח מנחת הביכורים מניחה שיש כאן פתיחה של </w:t>
      </w:r>
      <w:r>
        <w:rPr>
          <w:rtl/>
        </w:rPr>
        <w:t>נושא חדש,</w:t>
      </w:r>
      <w:r>
        <w:rPr>
          <w:rFonts w:hint="cs"/>
          <w:rtl/>
        </w:rPr>
        <w:t xml:space="preserve"> ואין מדובר </w:t>
      </w:r>
      <w:r>
        <w:rPr>
          <w:rtl/>
        </w:rPr>
        <w:t xml:space="preserve">רק </w:t>
      </w:r>
      <w:r>
        <w:rPr>
          <w:rFonts w:hint="cs"/>
          <w:rtl/>
        </w:rPr>
        <w:t>ב</w:t>
      </w:r>
      <w:r>
        <w:rPr>
          <w:rtl/>
        </w:rPr>
        <w:t>אופציה נוספת של מנחה</w:t>
      </w:r>
      <w:r>
        <w:rPr>
          <w:rFonts w:hint="cs"/>
          <w:rtl/>
        </w:rPr>
        <w:t xml:space="preserve"> נדבה </w:t>
      </w:r>
      <w:r w:rsidR="00E44E5C">
        <w:rPr>
          <w:rFonts w:hint="cs"/>
          <w:rtl/>
        </w:rPr>
        <w:t>ה</w:t>
      </w:r>
      <w:r>
        <w:rPr>
          <w:rFonts w:hint="cs"/>
          <w:rtl/>
        </w:rPr>
        <w:t>נסמכת על הכותרת שפתחה את הפרק.</w:t>
      </w:r>
    </w:p>
    <w:p w14:paraId="17C9AC2E" w14:textId="7E042389" w:rsidR="006B57DE" w:rsidRDefault="00E10606" w:rsidP="00E10606">
      <w:pPr>
        <w:rPr>
          <w:rtl/>
        </w:rPr>
      </w:pPr>
      <w:r>
        <w:rPr>
          <w:rtl/>
        </w:rPr>
        <w:tab/>
      </w:r>
      <w:r>
        <w:rPr>
          <w:rFonts w:hint="cs"/>
          <w:rtl/>
        </w:rPr>
        <w:t>למעשה, גם העיצוב הלשוני-ספרותי של מנחת הביכורים בפרק רומז שדבר מה חסר בחוק שלפנינו ושיש להשלימו במקום אחר. ברצוני לתת את הדעת במיוחד לשתי חריגות. ראשית, שתיקת הכתוב בנוגע לנותרת מן המנחה. השוואה מהירה בין חתימת שלושת סוגי המנחות שבפרק יבהיר את החריגה שבדבר זה:</w:t>
      </w:r>
    </w:p>
    <w:p w14:paraId="7F427166" w14:textId="77777777" w:rsidR="000B18D3" w:rsidRDefault="000B18D3" w:rsidP="00E10606">
      <w:pPr>
        <w:rPr>
          <w:rtl/>
        </w:rPr>
      </w:pPr>
    </w:p>
    <w:p w14:paraId="7FD43E72" w14:textId="77777777" w:rsidR="006B57DE" w:rsidRDefault="006B57DE">
      <w:pPr>
        <w:tabs>
          <w:tab w:val="clear" w:pos="4620"/>
        </w:tabs>
        <w:bidi w:val="0"/>
        <w:spacing w:after="0" w:line="240" w:lineRule="auto"/>
        <w:jc w:val="left"/>
      </w:pPr>
      <w:r>
        <w:rPr>
          <w:rtl/>
        </w:rPr>
        <w:br w:type="page"/>
      </w:r>
    </w:p>
    <w:p w14:paraId="18C39203" w14:textId="77777777" w:rsidR="006B57DE" w:rsidRDefault="006B57DE" w:rsidP="00E10606">
      <w:pPr>
        <w:rPr>
          <w:rtl/>
        </w:rPr>
      </w:pPr>
    </w:p>
    <w:p w14:paraId="6418CE51" w14:textId="77777777" w:rsidR="007B0635" w:rsidRDefault="007B0635" w:rsidP="00E10606">
      <w:pPr>
        <w:rPr>
          <w:rtl/>
        </w:rPr>
        <w:sectPr w:rsidR="007B0635" w:rsidSect="006F016B">
          <w:headerReference w:type="default" r:id="rId8"/>
          <w:headerReference w:type="first" r:id="rId9"/>
          <w:type w:val="continuous"/>
          <w:pgSz w:w="11906" w:h="16838" w:code="9"/>
          <w:pgMar w:top="1134" w:right="1134" w:bottom="964" w:left="1134" w:header="709" w:footer="709" w:gutter="0"/>
          <w:cols w:num="2" w:space="397"/>
          <w:titlePg/>
          <w:bidi/>
        </w:sectPr>
      </w:pPr>
    </w:p>
    <w:tbl>
      <w:tblPr>
        <w:tblStyle w:val="afd"/>
        <w:bidiVisual/>
        <w:tblW w:w="9498" w:type="dxa"/>
        <w:tblInd w:w="-67" w:type="dxa"/>
        <w:tblLook w:val="04A0" w:firstRow="1" w:lastRow="0" w:firstColumn="1" w:lastColumn="0" w:noHBand="0" w:noVBand="1"/>
      </w:tblPr>
      <w:tblGrid>
        <w:gridCol w:w="2835"/>
        <w:gridCol w:w="2762"/>
        <w:gridCol w:w="3901"/>
      </w:tblGrid>
      <w:tr w:rsidR="00E10606" w14:paraId="4309EE4A" w14:textId="77777777" w:rsidTr="000442C3">
        <w:tc>
          <w:tcPr>
            <w:tcW w:w="2835" w:type="dxa"/>
          </w:tcPr>
          <w:p w14:paraId="2EDF0D72" w14:textId="55876C65" w:rsidR="00E10606" w:rsidRDefault="00E10606" w:rsidP="003828F1">
            <w:pPr>
              <w:jc w:val="center"/>
              <w:rPr>
                <w:rtl/>
              </w:rPr>
            </w:pPr>
            <w:r>
              <w:rPr>
                <w:rFonts w:hint="cs"/>
                <w:rtl/>
              </w:rPr>
              <w:t>מנחת סולת</w:t>
            </w:r>
          </w:p>
        </w:tc>
        <w:tc>
          <w:tcPr>
            <w:tcW w:w="2762" w:type="dxa"/>
          </w:tcPr>
          <w:p w14:paraId="3E1392C0" w14:textId="475639A7" w:rsidR="00E10606" w:rsidRDefault="00E10606" w:rsidP="003828F1">
            <w:pPr>
              <w:jc w:val="center"/>
              <w:rPr>
                <w:rtl/>
              </w:rPr>
            </w:pPr>
            <w:r>
              <w:rPr>
                <w:rFonts w:hint="cs"/>
                <w:rtl/>
              </w:rPr>
              <w:t>מנחות מעובדות</w:t>
            </w:r>
          </w:p>
        </w:tc>
        <w:tc>
          <w:tcPr>
            <w:tcW w:w="3901" w:type="dxa"/>
          </w:tcPr>
          <w:p w14:paraId="0FF19C68" w14:textId="77777777" w:rsidR="00E10606" w:rsidRDefault="00E10606" w:rsidP="003828F1">
            <w:pPr>
              <w:jc w:val="center"/>
              <w:rPr>
                <w:rtl/>
              </w:rPr>
            </w:pPr>
            <w:r>
              <w:rPr>
                <w:rFonts w:hint="cs"/>
                <w:rtl/>
              </w:rPr>
              <w:t>מנחת ביכורים</w:t>
            </w:r>
          </w:p>
        </w:tc>
      </w:tr>
      <w:tr w:rsidR="00E10606" w:rsidRPr="0093111E" w14:paraId="374E8BA0" w14:textId="77777777" w:rsidTr="000442C3">
        <w:tc>
          <w:tcPr>
            <w:tcW w:w="2835" w:type="dxa"/>
          </w:tcPr>
          <w:p w14:paraId="6F0762AC" w14:textId="77777777" w:rsidR="00E10606" w:rsidRDefault="00E10606" w:rsidP="00E10606">
            <w:pPr>
              <w:rPr>
                <w:rtl/>
              </w:rPr>
            </w:pPr>
            <w:r w:rsidRPr="0093111E">
              <w:rPr>
                <w:rFonts w:hint="cs"/>
                <w:rtl/>
              </w:rPr>
              <w:t>וְהִקְטִיר</w:t>
            </w:r>
            <w:r w:rsidRPr="0093111E">
              <w:rPr>
                <w:rtl/>
              </w:rPr>
              <w:t xml:space="preserve"> </w:t>
            </w:r>
            <w:r w:rsidRPr="0093111E">
              <w:rPr>
                <w:rFonts w:hint="cs"/>
                <w:rtl/>
              </w:rPr>
              <w:t>הַכֹּהֵן</w:t>
            </w:r>
            <w:r w:rsidRPr="0093111E">
              <w:rPr>
                <w:rtl/>
              </w:rPr>
              <w:t xml:space="preserve"> </w:t>
            </w:r>
            <w:r w:rsidRPr="0093111E">
              <w:rPr>
                <w:rFonts w:hint="cs"/>
                <w:rtl/>
              </w:rPr>
              <w:t>אֶת</w:t>
            </w:r>
            <w:r w:rsidRPr="0093111E">
              <w:rPr>
                <w:rtl/>
              </w:rPr>
              <w:t xml:space="preserve"> </w:t>
            </w:r>
            <w:r w:rsidRPr="0093111E">
              <w:rPr>
                <w:rFonts w:hint="cs"/>
                <w:rtl/>
              </w:rPr>
              <w:t>אַזְכָּרָתָהּ</w:t>
            </w:r>
            <w:r w:rsidRPr="0093111E">
              <w:rPr>
                <w:rtl/>
              </w:rPr>
              <w:t xml:space="preserve"> </w:t>
            </w:r>
            <w:r w:rsidRPr="0093111E">
              <w:rPr>
                <w:rFonts w:hint="cs"/>
                <w:rtl/>
              </w:rPr>
              <w:t>הַמִּזְבֵּחָה</w:t>
            </w:r>
          </w:p>
          <w:p w14:paraId="09615FDE" w14:textId="77777777" w:rsidR="00E10606" w:rsidRPr="0093111E" w:rsidRDefault="00E10606" w:rsidP="00E10606">
            <w:pPr>
              <w:rPr>
                <w:rtl/>
              </w:rPr>
            </w:pPr>
            <w:r w:rsidRPr="0093111E">
              <w:rPr>
                <w:rFonts w:hint="cs"/>
                <w:rtl/>
              </w:rPr>
              <w:t>אִשֵּׁה</w:t>
            </w:r>
            <w:r w:rsidRPr="0093111E">
              <w:rPr>
                <w:rtl/>
              </w:rPr>
              <w:t xml:space="preserve"> </w:t>
            </w:r>
            <w:r w:rsidRPr="0093111E">
              <w:rPr>
                <w:rFonts w:hint="cs"/>
                <w:rtl/>
              </w:rPr>
              <w:t>רֵיחַ</w:t>
            </w:r>
            <w:r w:rsidRPr="0093111E">
              <w:rPr>
                <w:rtl/>
              </w:rPr>
              <w:t xml:space="preserve"> </w:t>
            </w:r>
            <w:r w:rsidRPr="0093111E">
              <w:rPr>
                <w:rFonts w:hint="cs"/>
                <w:rtl/>
              </w:rPr>
              <w:t>נִיחֹחַ</w:t>
            </w:r>
            <w:r w:rsidRPr="0093111E">
              <w:rPr>
                <w:rtl/>
              </w:rPr>
              <w:t xml:space="preserve"> </w:t>
            </w:r>
            <w:r w:rsidRPr="0093111E">
              <w:rPr>
                <w:rFonts w:hint="cs"/>
                <w:rtl/>
              </w:rPr>
              <w:t>לַה'.</w:t>
            </w:r>
          </w:p>
        </w:tc>
        <w:tc>
          <w:tcPr>
            <w:tcW w:w="2762" w:type="dxa"/>
          </w:tcPr>
          <w:p w14:paraId="77A77307" w14:textId="77777777" w:rsidR="00E10606" w:rsidRDefault="00E10606" w:rsidP="00E10606">
            <w:pPr>
              <w:rPr>
                <w:rtl/>
              </w:rPr>
            </w:pPr>
            <w:r w:rsidRPr="0093111E">
              <w:rPr>
                <w:rFonts w:hint="cs"/>
                <w:rtl/>
              </w:rPr>
              <w:t>וְהֵרִים</w:t>
            </w:r>
            <w:r w:rsidRPr="0093111E">
              <w:rPr>
                <w:rtl/>
              </w:rPr>
              <w:t xml:space="preserve"> </w:t>
            </w:r>
            <w:r w:rsidRPr="0093111E">
              <w:rPr>
                <w:rFonts w:hint="cs"/>
                <w:rtl/>
              </w:rPr>
              <w:t>הַכֹּהֵן</w:t>
            </w:r>
            <w:r w:rsidRPr="0093111E">
              <w:rPr>
                <w:rtl/>
              </w:rPr>
              <w:t xml:space="preserve"> </w:t>
            </w:r>
            <w:r w:rsidRPr="0093111E">
              <w:rPr>
                <w:rFonts w:hint="cs"/>
                <w:rtl/>
              </w:rPr>
              <w:t>מִן</w:t>
            </w:r>
            <w:r w:rsidRPr="0093111E">
              <w:rPr>
                <w:rtl/>
              </w:rPr>
              <w:t xml:space="preserve"> </w:t>
            </w:r>
            <w:r w:rsidRPr="0093111E">
              <w:rPr>
                <w:rFonts w:hint="cs"/>
                <w:rtl/>
              </w:rPr>
              <w:t>הַמִּנְחָה</w:t>
            </w:r>
            <w:r w:rsidRPr="0093111E">
              <w:rPr>
                <w:rtl/>
              </w:rPr>
              <w:t xml:space="preserve"> </w:t>
            </w:r>
            <w:r w:rsidRPr="0093111E">
              <w:rPr>
                <w:rFonts w:hint="cs"/>
                <w:rtl/>
              </w:rPr>
              <w:t>אֶת</w:t>
            </w:r>
            <w:r w:rsidRPr="0093111E">
              <w:rPr>
                <w:rtl/>
              </w:rPr>
              <w:t xml:space="preserve"> </w:t>
            </w:r>
            <w:r w:rsidRPr="0093111E">
              <w:rPr>
                <w:rFonts w:hint="cs"/>
                <w:rtl/>
              </w:rPr>
              <w:t>אַזְכָּרָתָהּ</w:t>
            </w:r>
            <w:r w:rsidRPr="0093111E">
              <w:rPr>
                <w:rtl/>
              </w:rPr>
              <w:t xml:space="preserve"> </w:t>
            </w:r>
            <w:r w:rsidRPr="0093111E">
              <w:rPr>
                <w:rFonts w:hint="cs"/>
                <w:rtl/>
              </w:rPr>
              <w:t>וְהִקְטִיר</w:t>
            </w:r>
            <w:r w:rsidRPr="0093111E">
              <w:rPr>
                <w:rtl/>
              </w:rPr>
              <w:t xml:space="preserve"> </w:t>
            </w:r>
            <w:r w:rsidRPr="0093111E">
              <w:rPr>
                <w:rFonts w:hint="cs"/>
                <w:rtl/>
              </w:rPr>
              <w:t>הַמִּזְבֵּחָה</w:t>
            </w:r>
          </w:p>
          <w:p w14:paraId="6DF4DA43" w14:textId="77777777" w:rsidR="00E10606" w:rsidRPr="0093111E" w:rsidRDefault="00E10606" w:rsidP="00E10606">
            <w:pPr>
              <w:rPr>
                <w:rtl/>
              </w:rPr>
            </w:pPr>
            <w:r w:rsidRPr="0093111E">
              <w:rPr>
                <w:rFonts w:hint="cs"/>
                <w:rtl/>
              </w:rPr>
              <w:t>אִשֵּׁה</w:t>
            </w:r>
            <w:r w:rsidRPr="0093111E">
              <w:rPr>
                <w:rtl/>
              </w:rPr>
              <w:t xml:space="preserve"> </w:t>
            </w:r>
            <w:r w:rsidRPr="0093111E">
              <w:rPr>
                <w:rFonts w:hint="cs"/>
                <w:rtl/>
              </w:rPr>
              <w:t>רֵיחַ</w:t>
            </w:r>
            <w:r w:rsidRPr="0093111E">
              <w:rPr>
                <w:rtl/>
              </w:rPr>
              <w:t xml:space="preserve"> </w:t>
            </w:r>
            <w:r w:rsidRPr="0093111E">
              <w:rPr>
                <w:rFonts w:hint="cs"/>
                <w:rtl/>
              </w:rPr>
              <w:t>נִיחֹחַ</w:t>
            </w:r>
            <w:r w:rsidRPr="0093111E">
              <w:rPr>
                <w:rtl/>
              </w:rPr>
              <w:t xml:space="preserve"> </w:t>
            </w:r>
            <w:r w:rsidRPr="0093111E">
              <w:rPr>
                <w:rFonts w:hint="cs"/>
                <w:rtl/>
              </w:rPr>
              <w:t>לַה'.</w:t>
            </w:r>
          </w:p>
        </w:tc>
        <w:tc>
          <w:tcPr>
            <w:tcW w:w="3901" w:type="dxa"/>
          </w:tcPr>
          <w:p w14:paraId="65662CF5" w14:textId="77777777" w:rsidR="00E10606" w:rsidRDefault="00E10606" w:rsidP="00E10606">
            <w:pPr>
              <w:rPr>
                <w:rtl/>
              </w:rPr>
            </w:pPr>
            <w:r w:rsidRPr="0093111E">
              <w:rPr>
                <w:rFonts w:hint="cs"/>
                <w:rtl/>
              </w:rPr>
              <w:t>וְהִקְטִיר</w:t>
            </w:r>
            <w:r w:rsidRPr="0093111E">
              <w:rPr>
                <w:rtl/>
              </w:rPr>
              <w:t xml:space="preserve"> </w:t>
            </w:r>
            <w:r w:rsidRPr="0093111E">
              <w:rPr>
                <w:rFonts w:hint="cs"/>
                <w:rtl/>
              </w:rPr>
              <w:t>הַכֹּהֵן</w:t>
            </w:r>
            <w:r w:rsidRPr="0093111E">
              <w:rPr>
                <w:rtl/>
              </w:rPr>
              <w:t xml:space="preserve"> </w:t>
            </w:r>
            <w:r w:rsidRPr="0093111E">
              <w:rPr>
                <w:rFonts w:hint="cs"/>
                <w:rtl/>
              </w:rPr>
              <w:t>אֶת</w:t>
            </w:r>
            <w:r w:rsidRPr="0093111E">
              <w:rPr>
                <w:rtl/>
              </w:rPr>
              <w:t xml:space="preserve"> </w:t>
            </w:r>
            <w:r w:rsidRPr="0093111E">
              <w:rPr>
                <w:rFonts w:hint="cs"/>
                <w:rtl/>
              </w:rPr>
              <w:t>אַזְכָּרָתָהּ</w:t>
            </w:r>
            <w:r w:rsidRPr="0093111E">
              <w:rPr>
                <w:rtl/>
              </w:rPr>
              <w:t xml:space="preserve"> </w:t>
            </w:r>
            <w:r w:rsidRPr="0093111E">
              <w:rPr>
                <w:rFonts w:hint="cs"/>
                <w:rtl/>
              </w:rPr>
              <w:t>מִגִּרְשָׂהּ</w:t>
            </w:r>
            <w:r w:rsidRPr="0093111E">
              <w:rPr>
                <w:rtl/>
              </w:rPr>
              <w:t xml:space="preserve"> </w:t>
            </w:r>
            <w:r w:rsidRPr="0093111E">
              <w:rPr>
                <w:rFonts w:hint="cs"/>
                <w:rtl/>
              </w:rPr>
              <w:t>וּמִשַּׁמְנָהּ</w:t>
            </w:r>
            <w:r w:rsidRPr="0093111E">
              <w:rPr>
                <w:rtl/>
              </w:rPr>
              <w:t xml:space="preserve"> </w:t>
            </w:r>
            <w:r w:rsidRPr="0093111E">
              <w:rPr>
                <w:rFonts w:hint="cs"/>
                <w:rtl/>
              </w:rPr>
              <w:t>עַל</w:t>
            </w:r>
            <w:r w:rsidRPr="0093111E">
              <w:rPr>
                <w:rtl/>
              </w:rPr>
              <w:t xml:space="preserve"> </w:t>
            </w:r>
            <w:r w:rsidRPr="0093111E">
              <w:rPr>
                <w:rFonts w:hint="cs"/>
                <w:rtl/>
              </w:rPr>
              <w:t>כָּל</w:t>
            </w:r>
            <w:r w:rsidRPr="0093111E">
              <w:rPr>
                <w:rtl/>
              </w:rPr>
              <w:t xml:space="preserve"> </w:t>
            </w:r>
            <w:r w:rsidRPr="0093111E">
              <w:rPr>
                <w:rFonts w:hint="cs"/>
                <w:rtl/>
              </w:rPr>
              <w:t>לְבֹנָתָהּ</w:t>
            </w:r>
            <w:r w:rsidRPr="0093111E">
              <w:rPr>
                <w:rtl/>
              </w:rPr>
              <w:t xml:space="preserve"> </w:t>
            </w:r>
          </w:p>
          <w:p w14:paraId="1BD78D25" w14:textId="77777777" w:rsidR="00E10606" w:rsidRPr="0093111E" w:rsidRDefault="00E10606" w:rsidP="00E10606">
            <w:pPr>
              <w:rPr>
                <w:rtl/>
              </w:rPr>
            </w:pPr>
            <w:r w:rsidRPr="0093111E">
              <w:rPr>
                <w:rFonts w:hint="cs"/>
                <w:rtl/>
              </w:rPr>
              <w:t>אִשֶּׁה</w:t>
            </w:r>
            <w:r w:rsidRPr="0093111E">
              <w:rPr>
                <w:rtl/>
              </w:rPr>
              <w:t xml:space="preserve"> </w:t>
            </w:r>
            <w:r w:rsidRPr="0093111E">
              <w:rPr>
                <w:rFonts w:hint="cs"/>
                <w:rtl/>
              </w:rPr>
              <w:t>לַה'.</w:t>
            </w:r>
          </w:p>
        </w:tc>
      </w:tr>
      <w:tr w:rsidR="00E10606" w14:paraId="23C1049A" w14:textId="77777777" w:rsidTr="000442C3">
        <w:tc>
          <w:tcPr>
            <w:tcW w:w="2835" w:type="dxa"/>
          </w:tcPr>
          <w:p w14:paraId="5B4F4207" w14:textId="77777777" w:rsidR="00E10606" w:rsidRDefault="00E10606" w:rsidP="00E10606">
            <w:pPr>
              <w:rPr>
                <w:rtl/>
              </w:rPr>
            </w:pPr>
            <w:r w:rsidRPr="009407A5">
              <w:rPr>
                <w:rFonts w:hint="cs"/>
                <w:rtl/>
              </w:rPr>
              <w:t>וְהַנּוֹתֶרֶת</w:t>
            </w:r>
            <w:r w:rsidRPr="009407A5">
              <w:rPr>
                <w:rtl/>
              </w:rPr>
              <w:t xml:space="preserve"> </w:t>
            </w:r>
            <w:r w:rsidRPr="009407A5">
              <w:rPr>
                <w:rFonts w:hint="cs"/>
                <w:rtl/>
              </w:rPr>
              <w:t>מִן</w:t>
            </w:r>
            <w:r w:rsidRPr="009407A5">
              <w:rPr>
                <w:rtl/>
              </w:rPr>
              <w:t xml:space="preserve"> </w:t>
            </w:r>
            <w:r w:rsidRPr="009407A5">
              <w:rPr>
                <w:rFonts w:hint="cs"/>
                <w:rtl/>
              </w:rPr>
              <w:t>הַמִּנְחָה</w:t>
            </w:r>
            <w:r w:rsidRPr="009407A5">
              <w:rPr>
                <w:rtl/>
              </w:rPr>
              <w:t xml:space="preserve"> </w:t>
            </w:r>
            <w:r w:rsidRPr="009407A5">
              <w:rPr>
                <w:rFonts w:hint="cs"/>
                <w:rtl/>
              </w:rPr>
              <w:t>לְאַהֲרֹן</w:t>
            </w:r>
            <w:r w:rsidRPr="009407A5">
              <w:rPr>
                <w:rtl/>
              </w:rPr>
              <w:t xml:space="preserve"> </w:t>
            </w:r>
            <w:r w:rsidRPr="009407A5">
              <w:rPr>
                <w:rFonts w:hint="cs"/>
                <w:rtl/>
              </w:rPr>
              <w:t>וּלְבָנָיו</w:t>
            </w:r>
            <w:r w:rsidRPr="009407A5">
              <w:rPr>
                <w:rtl/>
              </w:rPr>
              <w:t xml:space="preserve"> </w:t>
            </w:r>
            <w:r w:rsidRPr="009407A5">
              <w:rPr>
                <w:rFonts w:hint="cs"/>
                <w:rtl/>
              </w:rPr>
              <w:t>קֹדֶשׁ</w:t>
            </w:r>
            <w:r w:rsidRPr="009407A5">
              <w:rPr>
                <w:rtl/>
              </w:rPr>
              <w:t xml:space="preserve"> </w:t>
            </w:r>
            <w:r w:rsidRPr="009407A5">
              <w:rPr>
                <w:rFonts w:hint="cs"/>
                <w:rtl/>
              </w:rPr>
              <w:t>קָדָשִׁים</w:t>
            </w:r>
            <w:r w:rsidRPr="009407A5">
              <w:rPr>
                <w:rtl/>
              </w:rPr>
              <w:t xml:space="preserve"> </w:t>
            </w:r>
            <w:r w:rsidRPr="009407A5">
              <w:rPr>
                <w:rFonts w:hint="cs"/>
                <w:rtl/>
              </w:rPr>
              <w:t>מֵאִשֵּׁי</w:t>
            </w:r>
            <w:r w:rsidRPr="009407A5">
              <w:rPr>
                <w:rtl/>
              </w:rPr>
              <w:t xml:space="preserve"> </w:t>
            </w:r>
            <w:r>
              <w:rPr>
                <w:rFonts w:hint="cs"/>
                <w:rtl/>
              </w:rPr>
              <w:t>ה'.</w:t>
            </w:r>
          </w:p>
        </w:tc>
        <w:tc>
          <w:tcPr>
            <w:tcW w:w="2762" w:type="dxa"/>
          </w:tcPr>
          <w:p w14:paraId="0AA4FCA2" w14:textId="77777777" w:rsidR="00E10606" w:rsidRDefault="00E10606" w:rsidP="00E10606">
            <w:pPr>
              <w:rPr>
                <w:rtl/>
              </w:rPr>
            </w:pPr>
            <w:r w:rsidRPr="009407A5">
              <w:rPr>
                <w:rFonts w:hint="cs"/>
                <w:rtl/>
              </w:rPr>
              <w:t>וְהַנּוֹתֶרֶת</w:t>
            </w:r>
            <w:r w:rsidRPr="009407A5">
              <w:rPr>
                <w:rtl/>
              </w:rPr>
              <w:t xml:space="preserve"> </w:t>
            </w:r>
            <w:r w:rsidRPr="009407A5">
              <w:rPr>
                <w:rFonts w:hint="cs"/>
                <w:rtl/>
              </w:rPr>
              <w:t>מִן</w:t>
            </w:r>
            <w:r w:rsidRPr="009407A5">
              <w:rPr>
                <w:rtl/>
              </w:rPr>
              <w:t xml:space="preserve"> </w:t>
            </w:r>
            <w:r w:rsidRPr="009407A5">
              <w:rPr>
                <w:rFonts w:hint="cs"/>
                <w:rtl/>
              </w:rPr>
              <w:t>הַמִּנְחָה</w:t>
            </w:r>
            <w:r w:rsidRPr="009407A5">
              <w:rPr>
                <w:rtl/>
              </w:rPr>
              <w:t xml:space="preserve"> </w:t>
            </w:r>
            <w:r w:rsidRPr="009407A5">
              <w:rPr>
                <w:rFonts w:hint="cs"/>
                <w:rtl/>
              </w:rPr>
              <w:t>לְאַהֲרֹן</w:t>
            </w:r>
            <w:r w:rsidRPr="009407A5">
              <w:rPr>
                <w:rtl/>
              </w:rPr>
              <w:t xml:space="preserve"> </w:t>
            </w:r>
            <w:r w:rsidRPr="009407A5">
              <w:rPr>
                <w:rFonts w:hint="cs"/>
                <w:rtl/>
              </w:rPr>
              <w:t>וּלְבָנָיו</w:t>
            </w:r>
            <w:r w:rsidRPr="009407A5">
              <w:rPr>
                <w:rtl/>
              </w:rPr>
              <w:t xml:space="preserve"> </w:t>
            </w:r>
            <w:r w:rsidRPr="009407A5">
              <w:rPr>
                <w:rFonts w:hint="cs"/>
                <w:rtl/>
              </w:rPr>
              <w:t>קֹדֶשׁ</w:t>
            </w:r>
            <w:r w:rsidRPr="009407A5">
              <w:rPr>
                <w:rtl/>
              </w:rPr>
              <w:t xml:space="preserve"> </w:t>
            </w:r>
            <w:r w:rsidRPr="009407A5">
              <w:rPr>
                <w:rFonts w:hint="cs"/>
                <w:rtl/>
              </w:rPr>
              <w:t>קָדָשִׁים</w:t>
            </w:r>
            <w:r w:rsidRPr="009407A5">
              <w:rPr>
                <w:rtl/>
              </w:rPr>
              <w:t xml:space="preserve"> </w:t>
            </w:r>
            <w:r w:rsidRPr="009407A5">
              <w:rPr>
                <w:rFonts w:hint="cs"/>
                <w:rtl/>
              </w:rPr>
              <w:t>מֵאִשֵּׁי</w:t>
            </w:r>
            <w:r w:rsidRPr="009407A5">
              <w:rPr>
                <w:rtl/>
              </w:rPr>
              <w:t xml:space="preserve"> </w:t>
            </w:r>
            <w:r>
              <w:rPr>
                <w:rFonts w:hint="cs"/>
                <w:rtl/>
              </w:rPr>
              <w:t>ה'.</w:t>
            </w:r>
          </w:p>
        </w:tc>
        <w:tc>
          <w:tcPr>
            <w:tcW w:w="3901" w:type="dxa"/>
          </w:tcPr>
          <w:p w14:paraId="767C9084" w14:textId="77777777" w:rsidR="00E10606" w:rsidRDefault="00E10606" w:rsidP="00E10606">
            <w:pPr>
              <w:rPr>
                <w:rtl/>
              </w:rPr>
            </w:pPr>
          </w:p>
        </w:tc>
      </w:tr>
    </w:tbl>
    <w:p w14:paraId="3EDA4A1B" w14:textId="77777777" w:rsidR="00E10606" w:rsidRDefault="00E10606" w:rsidP="00E10606">
      <w:pPr>
        <w:rPr>
          <w:rtl/>
        </w:rPr>
      </w:pPr>
    </w:p>
    <w:p w14:paraId="27A81C89" w14:textId="77777777" w:rsidR="006B57DE" w:rsidRDefault="006B57DE" w:rsidP="00E10606">
      <w:pPr>
        <w:rPr>
          <w:rtl/>
        </w:rPr>
        <w:sectPr w:rsidR="006B57DE" w:rsidSect="006B57DE">
          <w:type w:val="continuous"/>
          <w:pgSz w:w="11906" w:h="16838" w:code="9"/>
          <w:pgMar w:top="1134" w:right="1134" w:bottom="964" w:left="1134" w:header="709" w:footer="709" w:gutter="0"/>
          <w:cols w:space="397"/>
          <w:titlePg/>
          <w:bidi/>
        </w:sectPr>
      </w:pPr>
    </w:p>
    <w:p w14:paraId="5759D68F" w14:textId="3C0EE44F" w:rsidR="00E10606" w:rsidRDefault="00E10606" w:rsidP="003828F1">
      <w:pPr>
        <w:rPr>
          <w:rtl/>
        </w:rPr>
      </w:pPr>
      <w:r>
        <w:rPr>
          <w:rFonts w:hint="cs"/>
          <w:rtl/>
        </w:rPr>
        <w:t>מאחר שגם במנחת הביכורים החובה היא להקטיר רק את "אזכרתה", יש לברר מה עם "הנותרת"</w:t>
      </w:r>
      <w:r w:rsidR="003828F1">
        <w:rPr>
          <w:rFonts w:hint="cs"/>
          <w:rtl/>
        </w:rPr>
        <w:t xml:space="preserve"> </w:t>
      </w:r>
      <w:r w:rsidR="003828F1">
        <w:rPr>
          <w:rtl/>
        </w:rPr>
        <w:t>–</w:t>
      </w:r>
      <w:r>
        <w:rPr>
          <w:rFonts w:hint="cs"/>
          <w:rtl/>
        </w:rPr>
        <w:t xml:space="preserve"> אך הכתוב שותק. התחושה היא שיש המשך לסיפור הקרבת מנחת הביכורים </w:t>
      </w:r>
      <w:r w:rsidR="003828F1">
        <w:rPr>
          <w:rFonts w:hint="cs"/>
          <w:rtl/>
        </w:rPr>
        <w:t xml:space="preserve">והוא אינו </w:t>
      </w:r>
      <w:r>
        <w:rPr>
          <w:rFonts w:hint="cs"/>
          <w:rtl/>
        </w:rPr>
        <w:t>כתוב כאן.</w:t>
      </w:r>
    </w:p>
    <w:p w14:paraId="2C89033E" w14:textId="225972DB" w:rsidR="00E10606" w:rsidRDefault="00E10606" w:rsidP="003828F1">
      <w:pPr>
        <w:rPr>
          <w:rtl/>
        </w:rPr>
      </w:pPr>
      <w:r>
        <w:rPr>
          <w:rFonts w:hint="cs"/>
          <w:rtl/>
        </w:rPr>
        <w:t xml:space="preserve">החריגה השנייה שיכולה לעודד את פרשנות חז"ל </w:t>
      </w:r>
      <w:r w:rsidR="003828F1">
        <w:rPr>
          <w:rFonts w:hint="cs"/>
          <w:rtl/>
        </w:rPr>
        <w:t xml:space="preserve">היא </w:t>
      </w:r>
      <w:r>
        <w:rPr>
          <w:rFonts w:hint="cs"/>
          <w:rtl/>
        </w:rPr>
        <w:t>היעדר הצירוף "</w:t>
      </w:r>
      <w:r w:rsidRPr="0093111E">
        <w:rPr>
          <w:rFonts w:hint="cs"/>
          <w:rtl/>
        </w:rPr>
        <w:t>רֵיחַ</w:t>
      </w:r>
      <w:r w:rsidRPr="0093111E">
        <w:rPr>
          <w:rtl/>
        </w:rPr>
        <w:t xml:space="preserve"> </w:t>
      </w:r>
      <w:r w:rsidRPr="0093111E">
        <w:rPr>
          <w:rFonts w:hint="cs"/>
          <w:rtl/>
        </w:rPr>
        <w:t>נִיחֹחַ</w:t>
      </w:r>
      <w:r>
        <w:rPr>
          <w:rFonts w:hint="cs"/>
          <w:rtl/>
        </w:rPr>
        <w:t>" מהפורמולה החותמת את הקורבן. כפי שכבר הערתי בדיון בתוספת הלבונה, בקורבנות הנדבה תמיד נזכר שמטרת הקורבן היא לעשות 'ריח ניחוח'. והנה, לפנינו מנחה שאיננה 'ריח ניחוח'. אם מדובר בחובה אפשר להבין מדוע צירוף זה חסר.</w:t>
      </w:r>
      <w:r>
        <w:rPr>
          <w:rStyle w:val="a5"/>
          <w:rtl/>
        </w:rPr>
        <w:footnoteReference w:id="14"/>
      </w:r>
    </w:p>
    <w:p w14:paraId="1F4E2C74" w14:textId="5103E107" w:rsidR="00E10606" w:rsidRDefault="00E10606" w:rsidP="00A7069D">
      <w:pPr>
        <w:rPr>
          <w:rtl/>
        </w:rPr>
      </w:pPr>
      <w:r>
        <w:rPr>
          <w:rFonts w:hint="cs"/>
          <w:rtl/>
        </w:rPr>
        <w:t xml:space="preserve">לפיכך, גם </w:t>
      </w:r>
      <w:r>
        <w:rPr>
          <w:rtl/>
        </w:rPr>
        <w:t xml:space="preserve">פרשנות חז"ל, הרואה במנחה זו קורבן </w:t>
      </w:r>
      <w:r w:rsidR="00A7069D">
        <w:rPr>
          <w:rFonts w:hint="cs"/>
          <w:rtl/>
        </w:rPr>
        <w:t xml:space="preserve">שאינו </w:t>
      </w:r>
      <w:r>
        <w:rPr>
          <w:rtl/>
        </w:rPr>
        <w:t xml:space="preserve">מעיקרו של הפרק – העוסק בנדבת יחיד – </w:t>
      </w:r>
      <w:r>
        <w:rPr>
          <w:rFonts w:hint="cs"/>
          <w:rtl/>
        </w:rPr>
        <w:t>יש לה על מה שתסמוך והיא נעתרת לכתוב עצמו: ל</w:t>
      </w:r>
      <w:r>
        <w:rPr>
          <w:rtl/>
        </w:rPr>
        <w:t>מבנה הפרק</w:t>
      </w:r>
      <w:r>
        <w:rPr>
          <w:rFonts w:hint="cs"/>
          <w:rtl/>
        </w:rPr>
        <w:t xml:space="preserve"> ולחריגות הטקסטואליות המלוות קורבן זה</w:t>
      </w:r>
      <w:r>
        <w:rPr>
          <w:rtl/>
        </w:rPr>
        <w:t xml:space="preserve">. </w:t>
      </w:r>
    </w:p>
    <w:p w14:paraId="150C2A32" w14:textId="77BB38DF" w:rsidR="00E10606" w:rsidRDefault="00E10606" w:rsidP="00A7069D">
      <w:pPr>
        <w:rPr>
          <w:rtl/>
        </w:rPr>
      </w:pPr>
      <w:r>
        <w:rPr>
          <w:rFonts w:hint="cs"/>
          <w:rtl/>
        </w:rPr>
        <w:t xml:space="preserve">דומני שבמקרה זה יש לנצל את הניסוח האמביוולנטי והמורכב כדי לצאת חובת ההוכחות השונות. בסופו של דבר, גם לפי קריאת חז"ל חייב הקורא לשאול את עצמו מדוע שולבה </w:t>
      </w:r>
      <w:r w:rsidR="00A7069D">
        <w:rPr>
          <w:rFonts w:hint="cs"/>
          <w:rtl/>
        </w:rPr>
        <w:t xml:space="preserve">בפרק ב' </w:t>
      </w:r>
      <w:r>
        <w:rPr>
          <w:rFonts w:hint="cs"/>
          <w:rtl/>
        </w:rPr>
        <w:t>מנחת הציבור ש</w:t>
      </w:r>
      <w:r w:rsidR="00A7069D">
        <w:rPr>
          <w:rFonts w:hint="cs"/>
          <w:rtl/>
        </w:rPr>
        <w:t xml:space="preserve">אותה </w:t>
      </w:r>
      <w:r>
        <w:rPr>
          <w:rFonts w:hint="cs"/>
          <w:rtl/>
        </w:rPr>
        <w:t>יש להניף ולהקטיר בט"ז בניסן</w:t>
      </w:r>
      <w:r w:rsidR="00A7069D">
        <w:rPr>
          <w:rFonts w:hint="cs"/>
          <w:rtl/>
        </w:rPr>
        <w:t>, ו</w:t>
      </w:r>
      <w:r>
        <w:rPr>
          <w:rFonts w:hint="cs"/>
          <w:rtl/>
        </w:rPr>
        <w:t>מדוע לא משולב הציווי כולו בפרק כ"ג?</w:t>
      </w:r>
      <w:r>
        <w:rPr>
          <w:rStyle w:val="a5"/>
          <w:rtl/>
        </w:rPr>
        <w:footnoteReference w:id="15"/>
      </w:r>
      <w:r>
        <w:rPr>
          <w:rtl/>
        </w:rPr>
        <w:t xml:space="preserve"> </w:t>
      </w:r>
      <w:r>
        <w:rPr>
          <w:rFonts w:hint="cs"/>
          <w:rtl/>
        </w:rPr>
        <w:t xml:space="preserve">עלינו לאחוז את החבל בשני קצותיו. המנחה שלפנינו מובאת בהקשר של נדבות היחיד כי באופייה ובמהותה היא שייכת לתחומו של היחיד. ראוי היה שכל חקלאי וחקלאי יביא מביכורי יבולו, ממש כשם שמוטל לעשות מביכורי פירותיו </w:t>
      </w:r>
      <w:r w:rsidRPr="00A7069D">
        <w:rPr>
          <w:rFonts w:hint="cs"/>
          <w:sz w:val="20"/>
          <w:szCs w:val="20"/>
          <w:rtl/>
        </w:rPr>
        <w:t>(דברים כ"ו)</w:t>
      </w:r>
      <w:r>
        <w:rPr>
          <w:rFonts w:hint="cs"/>
          <w:rtl/>
        </w:rPr>
        <w:t xml:space="preserve">. כשם שאיננו אומרים שהכהן יניף את התאנים הראשונות שביכרו בשם כל ישראל, אלא כל בעל תאנים צריך להביא את ביכורי תאניו למקדש, כך ראוי היה שייעשה גם בביכורי יבול. על כן הציווי על מנחת הביכורים מובא בפרק ב' ובהקשר של קורבנות היחיד. כך יוצק לה </w:t>
      </w:r>
      <w:r w:rsidR="00A7069D">
        <w:rPr>
          <w:rFonts w:hint="cs"/>
          <w:rtl/>
        </w:rPr>
        <w:t xml:space="preserve">הכתוב </w:t>
      </w:r>
      <w:r>
        <w:rPr>
          <w:rFonts w:hint="cs"/>
          <w:rtl/>
        </w:rPr>
        <w:t xml:space="preserve">את האווירה המתאימה לה. </w:t>
      </w:r>
    </w:p>
    <w:p w14:paraId="0EBB81A8" w14:textId="57A5893B" w:rsidR="00E10606" w:rsidRDefault="00E10606" w:rsidP="00E52CB4">
      <w:pPr>
        <w:rPr>
          <w:rtl/>
        </w:rPr>
      </w:pPr>
      <w:r>
        <w:rPr>
          <w:rFonts w:hint="cs"/>
          <w:rtl/>
        </w:rPr>
        <w:t xml:space="preserve">אולם בסופו של דבר מערכת ציווי נוספת </w:t>
      </w:r>
      <w:r w:rsidR="00A7069D">
        <w:rPr>
          <w:rFonts w:hint="cs"/>
          <w:rtl/>
        </w:rPr>
        <w:t xml:space="preserve">אינה </w:t>
      </w:r>
      <w:r>
        <w:rPr>
          <w:rFonts w:hint="cs"/>
          <w:rtl/>
        </w:rPr>
        <w:t xml:space="preserve">מאפשרת לכל יחיד להביא את ביכורי יבולו בעצמו. כוונתי לספירת העומר שמתחילה עם הבאת עומר השעורים ובסיומה יש יום מקרא קודש. לו כל חקלאי היה מביא את ביכורי יבולו מתוך שדהו, לכל חקלאי הייתה גם ספירה עצמאית </w:t>
      </w:r>
      <w:r w:rsidR="002A300A">
        <w:rPr>
          <w:rFonts w:hint="cs"/>
          <w:rtl/>
        </w:rPr>
        <w:t>שמוביל ל</w:t>
      </w:r>
      <w:r>
        <w:rPr>
          <w:rFonts w:hint="cs"/>
          <w:rtl/>
        </w:rPr>
        <w:t>יום מקרא קודש ש</w:t>
      </w:r>
      <w:r w:rsidR="00E52CB4">
        <w:rPr>
          <w:rFonts w:hint="cs"/>
          <w:rtl/>
        </w:rPr>
        <w:t xml:space="preserve">היה </w:t>
      </w:r>
      <w:r>
        <w:rPr>
          <w:rFonts w:hint="cs"/>
          <w:rtl/>
        </w:rPr>
        <w:t>חל בזמן שונ</w:t>
      </w:r>
      <w:r>
        <w:rPr>
          <w:rFonts w:hint="cs"/>
          <w:rtl/>
        </w:rPr>
        <w:t xml:space="preserve">ה. </w:t>
      </w:r>
      <w:r>
        <w:rPr>
          <w:rFonts w:hint="cs"/>
          <w:rtl/>
        </w:rPr>
        <w:t xml:space="preserve">דבר זה אינו מתקבל על הדעת, ויום </w:t>
      </w:r>
      <w:r w:rsidR="00E52CB4">
        <w:rPr>
          <w:rFonts w:hint="cs"/>
          <w:rtl/>
        </w:rPr>
        <w:t xml:space="preserve">מקרא קודש </w:t>
      </w:r>
      <w:r>
        <w:rPr>
          <w:rFonts w:hint="cs"/>
          <w:rtl/>
        </w:rPr>
        <w:t>חייב להיות יום ציבורי משותף. לפיכך חוזר הכתוב על דיני ביכורי היבול בפרק כ"ג ומעניק להם את אופיים הציבורי, ולפיכך כבר בויקרא ב' מובאת מנחת הביכורים עם רמזים לכך שאין זה סוף פסוק. בבחינת 'המשך יבוא' והוקרא עוד עתיד להיווכח בקורות מנחה זו. אולם בפרק ב' ה</w:t>
      </w:r>
      <w:r>
        <w:rPr>
          <w:rtl/>
        </w:rPr>
        <w:t>ציווי נאמר בגוף שני, וכך צריך לחוש כל חקלאי בישראל עת מביאים את מנחת העומר בט"ז בניסן. עליו להרגיש נוכח לפני קונו וכמנדב מיבולו האישי לבורא העולם ומחדשו (מה גם שמנחה זו –</w:t>
      </w:r>
      <w:r>
        <w:rPr>
          <w:rFonts w:hint="cs"/>
          <w:rtl/>
        </w:rPr>
        <w:t xml:space="preserve"> הנפתה והקטרתה </w:t>
      </w:r>
      <w:r>
        <w:rPr>
          <w:rtl/>
        </w:rPr>
        <w:t>–</w:t>
      </w:r>
      <w:r>
        <w:rPr>
          <w:rFonts w:hint="cs"/>
          <w:rtl/>
        </w:rPr>
        <w:t xml:space="preserve"> עומדת </w:t>
      </w:r>
      <w:r>
        <w:rPr>
          <w:rtl/>
        </w:rPr>
        <w:t>להתיר את יבולו הפרטי של כל אדם ואדם).</w:t>
      </w:r>
    </w:p>
    <w:p w14:paraId="4A69B411" w14:textId="77777777" w:rsidR="00E10606" w:rsidRDefault="00E10606" w:rsidP="00E10606">
      <w:pPr>
        <w:rPr>
          <w:rtl/>
        </w:rPr>
      </w:pPr>
      <w:r>
        <w:rPr>
          <w:rtl/>
        </w:rPr>
        <w:tab/>
      </w:r>
      <w:r>
        <w:rPr>
          <w:rFonts w:hint="cs"/>
          <w:rtl/>
        </w:rPr>
        <w:t xml:space="preserve">תמונת הראי של מורכבות זו באה לידי ביטוי </w:t>
      </w:r>
      <w:r>
        <w:rPr>
          <w:rFonts w:hint="cs"/>
          <w:rtl/>
        </w:rPr>
        <w:t>במצוות הנפת העומר שבויקרא כ"ג. כשם שבמנחת הביכורים בפרק ב' ניתן היה לחוש בחריגות שרומזות לכך שבסופו של דבר הקרבת מנחה זו מתממשת באופן מורכב יותר מהמתואר בפרק, כך גם בויקרא כ"ג יש רמיזות לכך שמהותית העומר הוא הדהוד של מה שראוי היה להיות נדבת יחיד.</w:t>
      </w:r>
    </w:p>
    <w:p w14:paraId="542DC631" w14:textId="77777777" w:rsidR="00E10606" w:rsidRDefault="00E10606" w:rsidP="00E10606">
      <w:pPr>
        <w:rPr>
          <w:rtl/>
        </w:rPr>
      </w:pPr>
      <w:r>
        <w:rPr>
          <w:rtl/>
        </w:rPr>
        <w:tab/>
      </w:r>
      <w:r>
        <w:rPr>
          <w:rFonts w:hint="cs"/>
          <w:rtl/>
        </w:rPr>
        <w:t>מאחר שאין זה עיקר ענייננו, אסתפק בהצבעה כללית על כמה נתונים. ראשית יש לציין, שב</w:t>
      </w:r>
      <w:r>
        <w:rPr>
          <w:rtl/>
        </w:rPr>
        <w:t xml:space="preserve">דומה להתלבטות שהעלנו לגבי מנחת הביכורים שבפרק ב', </w:t>
      </w:r>
      <w:r>
        <w:rPr>
          <w:rFonts w:hint="cs"/>
          <w:rtl/>
        </w:rPr>
        <w:t xml:space="preserve">כך יש מקום להתלבט ביחס להנפת העומר: </w:t>
      </w:r>
      <w:r>
        <w:rPr>
          <w:rtl/>
        </w:rPr>
        <w:t xml:space="preserve">"מתוך הכתוב לא מתברר, אם מדובר בעומר אחד, שהוא קורבן סמלי של </w:t>
      </w:r>
      <w:r>
        <w:rPr>
          <w:rtl/>
        </w:rPr>
        <w:lastRenderedPageBreak/>
        <w:t>הציבור, או בעומר שהביא כל יחיד ויחיד".</w:t>
      </w:r>
      <w:r>
        <w:rPr>
          <w:rStyle w:val="a5"/>
          <w:rtl/>
        </w:rPr>
        <w:footnoteReference w:id="16"/>
      </w:r>
      <w:r>
        <w:rPr>
          <w:rFonts w:hint="cs"/>
          <w:rtl/>
        </w:rPr>
        <w:t xml:space="preserve"> עמימות זו אינה מקרית: גם אם הקורא מבין שמדובר בחובה ציבורית בשל הקשר הציווי, הוא מנוסח באופן ששומר על האווירה הפרטית שמלווה אותו.  </w:t>
      </w:r>
    </w:p>
    <w:p w14:paraId="7B1933B8" w14:textId="711D69F8" w:rsidR="00E10606" w:rsidRPr="00262015" w:rsidRDefault="00E10606" w:rsidP="00C91B83">
      <w:pPr>
        <w:rPr>
          <w:rtl/>
        </w:rPr>
      </w:pPr>
      <w:r>
        <w:rPr>
          <w:rFonts w:hint="cs"/>
          <w:rtl/>
        </w:rPr>
        <w:t>שנית, האופי היחיד-הנדבתי של הנפת העומר נרמז בויקרא כ"ג מבעד לביטוי לשוני מפתיע: "וְהֵנִיף</w:t>
      </w:r>
      <w:r>
        <w:rPr>
          <w:rtl/>
        </w:rPr>
        <w:t xml:space="preserve"> </w:t>
      </w:r>
      <w:r>
        <w:rPr>
          <w:rFonts w:hint="cs"/>
          <w:rtl/>
        </w:rPr>
        <w:t>אֶת</w:t>
      </w:r>
      <w:r>
        <w:rPr>
          <w:rtl/>
        </w:rPr>
        <w:t xml:space="preserve"> </w:t>
      </w:r>
      <w:r>
        <w:rPr>
          <w:rFonts w:hint="cs"/>
          <w:rtl/>
        </w:rPr>
        <w:t>הָעֹמֶר</w:t>
      </w:r>
      <w:r>
        <w:rPr>
          <w:rtl/>
        </w:rPr>
        <w:t xml:space="preserve"> </w:t>
      </w:r>
      <w:r>
        <w:rPr>
          <w:rFonts w:hint="cs"/>
          <w:rtl/>
        </w:rPr>
        <w:t>לִפְנֵי</w:t>
      </w:r>
      <w:r>
        <w:rPr>
          <w:rtl/>
        </w:rPr>
        <w:t xml:space="preserve"> </w:t>
      </w:r>
      <w:r>
        <w:rPr>
          <w:rFonts w:hint="cs"/>
          <w:rtl/>
        </w:rPr>
        <w:t>ה'</w:t>
      </w:r>
      <w:r>
        <w:rPr>
          <w:rtl/>
        </w:rPr>
        <w:t xml:space="preserve"> </w:t>
      </w:r>
      <w:r w:rsidRPr="00262015">
        <w:rPr>
          <w:rFonts w:hint="cs"/>
          <w:b/>
          <w:bCs/>
          <w:rtl/>
        </w:rPr>
        <w:t>לִרְצֹנְכֶם</w:t>
      </w:r>
      <w:r>
        <w:rPr>
          <w:rtl/>
        </w:rPr>
        <w:t xml:space="preserve"> </w:t>
      </w:r>
      <w:r>
        <w:rPr>
          <w:rFonts w:hint="cs"/>
          <w:rtl/>
        </w:rPr>
        <w:t>מִמָּחֳרַת</w:t>
      </w:r>
      <w:r>
        <w:rPr>
          <w:rtl/>
        </w:rPr>
        <w:t xml:space="preserve"> </w:t>
      </w:r>
      <w:r>
        <w:rPr>
          <w:rFonts w:hint="cs"/>
          <w:rtl/>
        </w:rPr>
        <w:t>הַשַּׁבָּת</w:t>
      </w:r>
      <w:r>
        <w:rPr>
          <w:rtl/>
        </w:rPr>
        <w:t xml:space="preserve"> </w:t>
      </w:r>
      <w:r>
        <w:rPr>
          <w:rFonts w:hint="cs"/>
          <w:rtl/>
        </w:rPr>
        <w:t>יְנִיפֶנּוּ</w:t>
      </w:r>
      <w:r>
        <w:rPr>
          <w:rtl/>
        </w:rPr>
        <w:t xml:space="preserve"> </w:t>
      </w:r>
      <w:r>
        <w:rPr>
          <w:rFonts w:hint="cs"/>
          <w:rtl/>
        </w:rPr>
        <w:t xml:space="preserve">הַכֹּהֵן" </w:t>
      </w:r>
      <w:r w:rsidRPr="00220D4A">
        <w:rPr>
          <w:rFonts w:hint="cs"/>
          <w:sz w:val="20"/>
          <w:szCs w:val="20"/>
          <w:rtl/>
        </w:rPr>
        <w:t>(ויקרא כ"ג, יא)</w:t>
      </w:r>
      <w:r>
        <w:rPr>
          <w:rFonts w:hint="cs"/>
          <w:rtl/>
        </w:rPr>
        <w:t xml:space="preserve">. </w:t>
      </w:r>
      <w:r>
        <w:rPr>
          <w:rtl/>
        </w:rPr>
        <w:t xml:space="preserve">הביטוי "לרצון" </w:t>
      </w:r>
      <w:r>
        <w:rPr>
          <w:rFonts w:hint="cs"/>
          <w:rtl/>
        </w:rPr>
        <w:t>דורש תשומת לב רבה, ולא כאן המקום לפתוח את ההתלבטות המלווה את פרשנותו. אך די בעובדה שהוא נזכר בדרך כלל בק</w:t>
      </w:r>
      <w:r w:rsidR="00C91B83">
        <w:rPr>
          <w:rFonts w:hint="cs"/>
          <w:rtl/>
        </w:rPr>
        <w:t>ו</w:t>
      </w:r>
      <w:r>
        <w:rPr>
          <w:rFonts w:hint="cs"/>
          <w:rtl/>
        </w:rPr>
        <w:t>רבנות נדבה. כך ביחס לעולת נדבה: "</w:t>
      </w:r>
      <w:r>
        <w:rPr>
          <w:snapToGrid w:val="0"/>
          <w:rtl/>
        </w:rPr>
        <w:t>אִם עֹלָה קָרְבָּנוֹ מִן הַבָּקָר זָכָר תָּמִים יַקְרִיבֶנּוּ אֶל פֶּתַח אֹהֶל מוֹעֵד יַקְרִיב אֹתוֹ לִרְצֹנוֹ לִפְנֵי ה'</w:t>
      </w:r>
      <w:r w:rsidR="00220D4A">
        <w:rPr>
          <w:rFonts w:hint="cs"/>
          <w:snapToGrid w:val="0"/>
          <w:rtl/>
        </w:rPr>
        <w:t>"</w:t>
      </w:r>
      <w:r>
        <w:rPr>
          <w:snapToGrid w:val="0"/>
          <w:rtl/>
        </w:rPr>
        <w:t xml:space="preserve"> </w:t>
      </w:r>
      <w:r w:rsidRPr="00220D4A">
        <w:rPr>
          <w:snapToGrid w:val="0"/>
          <w:sz w:val="20"/>
          <w:szCs w:val="20"/>
          <w:rtl/>
        </w:rPr>
        <w:t>(</w:t>
      </w:r>
      <w:r w:rsidRPr="00220D4A">
        <w:rPr>
          <w:rFonts w:hint="cs"/>
          <w:snapToGrid w:val="0"/>
          <w:sz w:val="20"/>
          <w:szCs w:val="20"/>
          <w:rtl/>
        </w:rPr>
        <w:t xml:space="preserve">א', ג, </w:t>
      </w:r>
      <w:r w:rsidRPr="00220D4A">
        <w:rPr>
          <w:snapToGrid w:val="0"/>
          <w:sz w:val="20"/>
          <w:szCs w:val="20"/>
          <w:rtl/>
        </w:rPr>
        <w:t>ושוב בכ"ב, יט)</w:t>
      </w:r>
      <w:r>
        <w:rPr>
          <w:rFonts w:hint="cs"/>
          <w:snapToGrid w:val="0"/>
          <w:rtl/>
        </w:rPr>
        <w:t>, וכך ביחס לזבח שלמי נדר או נדבה: "</w:t>
      </w:r>
      <w:r>
        <w:rPr>
          <w:snapToGrid w:val="0"/>
          <w:rtl/>
        </w:rPr>
        <w:t xml:space="preserve">וְכִי תִזְבְּחוּ זֶבַח שְׁלָמִים לַה' לִרְצֹנְכֶם תִּזְבָּחֻהוּ"  </w:t>
      </w:r>
      <w:r w:rsidRPr="004B0420">
        <w:rPr>
          <w:snapToGrid w:val="0"/>
          <w:sz w:val="20"/>
          <w:szCs w:val="20"/>
          <w:rtl/>
        </w:rPr>
        <w:t>(</w:t>
      </w:r>
      <w:r w:rsidRPr="004B0420">
        <w:rPr>
          <w:rFonts w:hint="cs"/>
          <w:snapToGrid w:val="0"/>
          <w:sz w:val="20"/>
          <w:szCs w:val="20"/>
          <w:rtl/>
        </w:rPr>
        <w:t xml:space="preserve">י"ט, ה, </w:t>
      </w:r>
      <w:r w:rsidRPr="004B0420">
        <w:rPr>
          <w:snapToGrid w:val="0"/>
          <w:sz w:val="20"/>
          <w:szCs w:val="20"/>
          <w:rtl/>
        </w:rPr>
        <w:t xml:space="preserve">ולגבי שלמי תודה </w:t>
      </w:r>
      <w:r w:rsidR="004B0420">
        <w:rPr>
          <w:snapToGrid w:val="0"/>
          <w:sz w:val="20"/>
          <w:szCs w:val="20"/>
          <w:rtl/>
        </w:rPr>
        <w:t>–</w:t>
      </w:r>
      <w:r w:rsidRPr="004B0420">
        <w:rPr>
          <w:snapToGrid w:val="0"/>
          <w:sz w:val="20"/>
          <w:szCs w:val="20"/>
          <w:rtl/>
        </w:rPr>
        <w:t xml:space="preserve"> כ"ב, כט)</w:t>
      </w:r>
      <w:r>
        <w:rPr>
          <w:snapToGrid w:val="0"/>
          <w:rtl/>
        </w:rPr>
        <w:t>.</w:t>
      </w:r>
      <w:r>
        <w:rPr>
          <w:rFonts w:hint="cs"/>
          <w:snapToGrid w:val="0"/>
          <w:rtl/>
        </w:rPr>
        <w:t xml:space="preserve"> ברור מאליו מדוע לשון זו נזכרת דווקא בקרבנות הנדבה, שהרי היא מורה על הוולונטריות שנצבת בבסיס הבאת הקורבן, על כך שהוא בא מתוך רצון התנדבותי; זהו ק</w:t>
      </w:r>
      <w:r w:rsidR="00C91B83">
        <w:rPr>
          <w:rFonts w:hint="cs"/>
          <w:snapToGrid w:val="0"/>
          <w:rtl/>
        </w:rPr>
        <w:t>ו</w:t>
      </w:r>
      <w:r>
        <w:rPr>
          <w:rFonts w:hint="cs"/>
          <w:snapToGrid w:val="0"/>
          <w:rtl/>
        </w:rPr>
        <w:t xml:space="preserve">רבן שאתם מביאים 'לרצונכם', וחז"ל </w:t>
      </w:r>
      <w:r w:rsidR="00C91B83">
        <w:rPr>
          <w:rFonts w:hint="cs"/>
          <w:snapToGrid w:val="0"/>
          <w:rtl/>
        </w:rPr>
        <w:t xml:space="preserve">אף </w:t>
      </w:r>
      <w:r>
        <w:rPr>
          <w:rFonts w:hint="cs"/>
          <w:snapToGrid w:val="0"/>
          <w:rtl/>
        </w:rPr>
        <w:t>למדו מדין זה שק</w:t>
      </w:r>
      <w:r w:rsidR="00C91B83">
        <w:rPr>
          <w:rFonts w:hint="cs"/>
          <w:snapToGrid w:val="0"/>
          <w:rtl/>
        </w:rPr>
        <w:t>ו</w:t>
      </w:r>
      <w:r>
        <w:rPr>
          <w:rFonts w:hint="cs"/>
          <w:snapToGrid w:val="0"/>
          <w:rtl/>
        </w:rPr>
        <w:t>רבנות חייבים לבוא מתוך רצון חופשי.</w:t>
      </w:r>
      <w:r>
        <w:rPr>
          <w:rStyle w:val="a5"/>
          <w:snapToGrid w:val="0"/>
          <w:color w:val="000000"/>
          <w:sz w:val="24"/>
          <w:rtl/>
        </w:rPr>
        <w:footnoteReference w:id="17"/>
      </w:r>
    </w:p>
    <w:p w14:paraId="10E20598" w14:textId="709D700D" w:rsidR="00E10606" w:rsidRDefault="00E10606" w:rsidP="00E10606">
      <w:pPr>
        <w:rPr>
          <w:snapToGrid w:val="0"/>
          <w:rtl/>
        </w:rPr>
      </w:pPr>
      <w:r>
        <w:rPr>
          <w:rFonts w:hint="cs"/>
          <w:snapToGrid w:val="0"/>
          <w:rtl/>
        </w:rPr>
        <w:t>מאחר ש</w:t>
      </w:r>
      <w:r>
        <w:rPr>
          <w:snapToGrid w:val="0"/>
          <w:rtl/>
        </w:rPr>
        <w:t>ביטוי זה מבטא את רצונו החופשי של מביא הקורבן</w:t>
      </w:r>
      <w:r>
        <w:rPr>
          <w:rFonts w:hint="cs"/>
          <w:snapToGrid w:val="0"/>
          <w:rtl/>
        </w:rPr>
        <w:t>,</w:t>
      </w:r>
      <w:r>
        <w:rPr>
          <w:rStyle w:val="a5"/>
          <w:snapToGrid w:val="0"/>
          <w:color w:val="000000"/>
          <w:sz w:val="24"/>
          <w:rtl/>
        </w:rPr>
        <w:footnoteReference w:id="18"/>
      </w:r>
      <w:r>
        <w:rPr>
          <w:snapToGrid w:val="0"/>
          <w:rtl/>
        </w:rPr>
        <w:t xml:space="preserve"> ברור</w:t>
      </w:r>
      <w:r>
        <w:rPr>
          <w:rFonts w:hint="cs"/>
          <w:snapToGrid w:val="0"/>
          <w:rtl/>
        </w:rPr>
        <w:t xml:space="preserve"> מדוע הוא אינו נזכר בק</w:t>
      </w:r>
      <w:r w:rsidR="00C91B83">
        <w:rPr>
          <w:rFonts w:hint="cs"/>
          <w:snapToGrid w:val="0"/>
          <w:rtl/>
        </w:rPr>
        <w:t>ו</w:t>
      </w:r>
      <w:r>
        <w:rPr>
          <w:rFonts w:hint="cs"/>
          <w:snapToGrid w:val="0"/>
          <w:rtl/>
        </w:rPr>
        <w:t>רבנות חובה. אולם אם כך, כיצד אפשר לבאר את שילוב הביטוי ב</w:t>
      </w:r>
      <w:r>
        <w:rPr>
          <w:snapToGrid w:val="0"/>
          <w:rtl/>
        </w:rPr>
        <w:t>הנפת העומר</w:t>
      </w:r>
      <w:r>
        <w:rPr>
          <w:rFonts w:hint="cs"/>
          <w:snapToGrid w:val="0"/>
          <w:rtl/>
        </w:rPr>
        <w:t xml:space="preserve"> בויקרא כ"ג</w:t>
      </w:r>
      <w:r>
        <w:rPr>
          <w:snapToGrid w:val="0"/>
          <w:rtl/>
        </w:rPr>
        <w:t xml:space="preserve">? </w:t>
      </w:r>
      <w:r>
        <w:rPr>
          <w:rFonts w:hint="cs"/>
          <w:snapToGrid w:val="0"/>
          <w:rtl/>
        </w:rPr>
        <w:t xml:space="preserve">הרי זו </w:t>
      </w:r>
      <w:r>
        <w:rPr>
          <w:snapToGrid w:val="0"/>
          <w:rtl/>
        </w:rPr>
        <w:t>חובה ציבורית</w:t>
      </w:r>
      <w:r>
        <w:rPr>
          <w:rFonts w:hint="cs"/>
          <w:snapToGrid w:val="0"/>
          <w:rtl/>
        </w:rPr>
        <w:t>!</w:t>
      </w:r>
      <w:r>
        <w:rPr>
          <w:rStyle w:val="a5"/>
          <w:snapToGrid w:val="0"/>
          <w:color w:val="000000"/>
          <w:sz w:val="24"/>
          <w:rtl/>
        </w:rPr>
        <w:footnoteReference w:id="19"/>
      </w:r>
      <w:r>
        <w:rPr>
          <w:rFonts w:hint="cs"/>
          <w:snapToGrid w:val="0"/>
          <w:rtl/>
        </w:rPr>
        <w:t xml:space="preserve"> מסתבר, ש</w:t>
      </w:r>
      <w:r>
        <w:rPr>
          <w:snapToGrid w:val="0"/>
          <w:rtl/>
        </w:rPr>
        <w:t>זהו הצד השני של האמביוולנטיות הנזכרת למעלה: א</w:t>
      </w:r>
      <w:r w:rsidR="00C91B83">
        <w:rPr>
          <w:rFonts w:hint="cs"/>
          <w:snapToGrid w:val="0"/>
          <w:rtl/>
        </w:rPr>
        <w:t>ו</w:t>
      </w:r>
      <w:r>
        <w:rPr>
          <w:snapToGrid w:val="0"/>
          <w:rtl/>
        </w:rPr>
        <w:t>מנם בפרק כ"ג עוסק הכתוב בחובה ציבורית להניף עומר מן התבואה החדשה, אולם אופי הנפה זו הוא כשל נדבת יחיד</w:t>
      </w:r>
      <w:r>
        <w:rPr>
          <w:rFonts w:hint="cs"/>
          <w:snapToGrid w:val="0"/>
          <w:rtl/>
        </w:rPr>
        <w:t>:</w:t>
      </w:r>
      <w:r>
        <w:rPr>
          <w:snapToGrid w:val="0"/>
          <w:rtl/>
        </w:rPr>
        <w:t xml:space="preserve"> "לרצנכם".</w:t>
      </w:r>
    </w:p>
    <w:p w14:paraId="49FD537D" w14:textId="220EC04D" w:rsidR="00E10606" w:rsidRDefault="00E10606" w:rsidP="00E10606">
      <w:pPr>
        <w:rPr>
          <w:snapToGrid w:val="0"/>
          <w:rtl/>
        </w:rPr>
      </w:pPr>
      <w:r>
        <w:rPr>
          <w:rFonts w:hint="cs"/>
          <w:snapToGrid w:val="0"/>
          <w:rtl/>
        </w:rPr>
        <w:t>ייתכן ש</w:t>
      </w:r>
      <w:r>
        <w:rPr>
          <w:snapToGrid w:val="0"/>
          <w:rtl/>
        </w:rPr>
        <w:t xml:space="preserve">מתח זה המלווה את מנחת העומר, משפיע גם על </w:t>
      </w:r>
      <w:r>
        <w:rPr>
          <w:rFonts w:hint="cs"/>
          <w:snapToGrid w:val="0"/>
          <w:rtl/>
        </w:rPr>
        <w:t>אופי ספירת העומר. מדרש ההלכה לומ</w:t>
      </w:r>
      <w:r w:rsidR="00C91B83">
        <w:rPr>
          <w:rFonts w:hint="cs"/>
          <w:snapToGrid w:val="0"/>
          <w:rtl/>
        </w:rPr>
        <w:t>ד</w:t>
      </w:r>
      <w:r>
        <w:rPr>
          <w:rFonts w:hint="cs"/>
          <w:snapToGrid w:val="0"/>
          <w:rtl/>
        </w:rPr>
        <w:t xml:space="preserve"> שכל </w:t>
      </w:r>
      <w:r>
        <w:rPr>
          <w:snapToGrid w:val="0"/>
          <w:rtl/>
        </w:rPr>
        <w:t xml:space="preserve">יחיד </w:t>
      </w:r>
      <w:r>
        <w:rPr>
          <w:snapToGrid w:val="0"/>
          <w:rtl/>
        </w:rPr>
        <w:t xml:space="preserve">ויחיד </w:t>
      </w:r>
      <w:r>
        <w:rPr>
          <w:rFonts w:hint="cs"/>
          <w:snapToGrid w:val="0"/>
          <w:rtl/>
        </w:rPr>
        <w:t xml:space="preserve">צריך לספור בעצמו </w:t>
      </w:r>
      <w:r>
        <w:rPr>
          <w:snapToGrid w:val="0"/>
          <w:rtl/>
        </w:rPr>
        <w:t>את ספירת העומר: "וספרתם לכם – כל אחד ואחד".</w:t>
      </w:r>
      <w:r>
        <w:rPr>
          <w:rStyle w:val="a5"/>
          <w:snapToGrid w:val="0"/>
          <w:color w:val="000000"/>
          <w:sz w:val="24"/>
          <w:rtl/>
        </w:rPr>
        <w:footnoteReference w:id="20"/>
      </w:r>
      <w:r>
        <w:rPr>
          <w:snapToGrid w:val="0"/>
          <w:rtl/>
        </w:rPr>
        <w:t xml:space="preserve"> </w:t>
      </w:r>
      <w:r>
        <w:rPr>
          <w:rFonts w:hint="cs"/>
          <w:snapToGrid w:val="0"/>
          <w:rtl/>
        </w:rPr>
        <w:t xml:space="preserve">יש צורך בלימוד מיוחד שהרי דבר </w:t>
      </w:r>
      <w:r>
        <w:rPr>
          <w:snapToGrid w:val="0"/>
          <w:rtl/>
        </w:rPr>
        <w:t>זה אינו מובן מאליו</w:t>
      </w:r>
      <w:r>
        <w:rPr>
          <w:rFonts w:hint="cs"/>
          <w:snapToGrid w:val="0"/>
          <w:rtl/>
        </w:rPr>
        <w:t>.</w:t>
      </w:r>
      <w:r>
        <w:rPr>
          <w:snapToGrid w:val="0"/>
          <w:rtl/>
        </w:rPr>
        <w:t xml:space="preserve"> הספירה המקבילה לספירת העומר – ספירת השמיטין והיובלות</w:t>
      </w:r>
      <w:r>
        <w:rPr>
          <w:rFonts w:hint="cs"/>
          <w:snapToGrid w:val="0"/>
          <w:rtl/>
        </w:rPr>
        <w:t>, א</w:t>
      </w:r>
      <w:r>
        <w:rPr>
          <w:snapToGrid w:val="0"/>
          <w:rtl/>
        </w:rPr>
        <w:t xml:space="preserve">ינה נעשית על ידי כל יחיד ויחיד, אלא זוהי ספירה ציבורית-כללית. </w:t>
      </w:r>
      <w:r>
        <w:rPr>
          <w:rFonts w:hint="cs"/>
          <w:snapToGrid w:val="0"/>
          <w:rtl/>
        </w:rPr>
        <w:t xml:space="preserve">כך מופיע </w:t>
      </w:r>
      <w:r>
        <w:rPr>
          <w:snapToGrid w:val="0"/>
          <w:rtl/>
        </w:rPr>
        <w:t>בספרא</w:t>
      </w:r>
      <w:r>
        <w:rPr>
          <w:rFonts w:hint="cs"/>
          <w:snapToGrid w:val="0"/>
          <w:rtl/>
        </w:rPr>
        <w:t xml:space="preserve">: </w:t>
      </w:r>
      <w:r>
        <w:rPr>
          <w:snapToGrid w:val="0"/>
          <w:rtl/>
        </w:rPr>
        <w:t>"וספרת לך – בבית דין".</w:t>
      </w:r>
      <w:r>
        <w:rPr>
          <w:rStyle w:val="a5"/>
          <w:snapToGrid w:val="0"/>
          <w:color w:val="000000"/>
          <w:sz w:val="24"/>
          <w:rtl/>
        </w:rPr>
        <w:footnoteReference w:id="21"/>
      </w:r>
      <w:r>
        <w:rPr>
          <w:rFonts w:hint="cs"/>
          <w:snapToGrid w:val="0"/>
          <w:rtl/>
        </w:rPr>
        <w:t xml:space="preserve"> מסתבר ש</w:t>
      </w:r>
      <w:r>
        <w:rPr>
          <w:snapToGrid w:val="0"/>
          <w:rtl/>
        </w:rPr>
        <w:t xml:space="preserve">לשון הרבים שבספירת העומר ("לכם") </w:t>
      </w:r>
      <w:r>
        <w:rPr>
          <w:rFonts w:hint="cs"/>
          <w:snapToGrid w:val="0"/>
          <w:rtl/>
        </w:rPr>
        <w:t>מלמדת ש</w:t>
      </w:r>
      <w:r>
        <w:rPr>
          <w:snapToGrid w:val="0"/>
          <w:rtl/>
        </w:rPr>
        <w:t>כל יחיד ויחיד</w:t>
      </w:r>
      <w:r>
        <w:rPr>
          <w:rFonts w:hint="cs"/>
          <w:snapToGrid w:val="0"/>
          <w:rtl/>
        </w:rPr>
        <w:t xml:space="preserve"> צריך לספור</w:t>
      </w:r>
      <w:r>
        <w:rPr>
          <w:snapToGrid w:val="0"/>
          <w:rtl/>
        </w:rPr>
        <w:t>, ו</w:t>
      </w:r>
      <w:r>
        <w:rPr>
          <w:rFonts w:hint="cs"/>
          <w:snapToGrid w:val="0"/>
          <w:rtl/>
        </w:rPr>
        <w:t xml:space="preserve">אילו </w:t>
      </w:r>
      <w:r>
        <w:rPr>
          <w:snapToGrid w:val="0"/>
          <w:rtl/>
        </w:rPr>
        <w:t xml:space="preserve">לשון היחיד </w:t>
      </w:r>
      <w:r>
        <w:rPr>
          <w:rFonts w:hint="cs"/>
          <w:snapToGrid w:val="0"/>
          <w:rtl/>
        </w:rPr>
        <w:t xml:space="preserve">שנזכרת </w:t>
      </w:r>
      <w:r>
        <w:rPr>
          <w:snapToGrid w:val="0"/>
          <w:rtl/>
        </w:rPr>
        <w:t xml:space="preserve">בשמיטה ("לך"), </w:t>
      </w:r>
      <w:r>
        <w:rPr>
          <w:rFonts w:hint="cs"/>
          <w:snapToGrid w:val="0"/>
          <w:rtl/>
        </w:rPr>
        <w:t>מלמדת שהחובה מוטלת על הציבור כולו, כלומר על בית הדין.</w:t>
      </w:r>
    </w:p>
    <w:p w14:paraId="1678AFE4" w14:textId="77777777" w:rsidR="00E10606" w:rsidRDefault="00E10606" w:rsidP="00E10606">
      <w:pPr>
        <w:rPr>
          <w:snapToGrid w:val="0"/>
          <w:rtl/>
        </w:rPr>
      </w:pPr>
      <w:r>
        <w:rPr>
          <w:snapToGrid w:val="0"/>
          <w:rtl/>
        </w:rPr>
        <w:t xml:space="preserve">לולא לימוד זה, </w:t>
      </w:r>
      <w:r>
        <w:rPr>
          <w:rFonts w:hint="cs"/>
          <w:snapToGrid w:val="0"/>
          <w:rtl/>
        </w:rPr>
        <w:t xml:space="preserve">מתאים היה לומר שגם </w:t>
      </w:r>
      <w:r>
        <w:rPr>
          <w:snapToGrid w:val="0"/>
          <w:rtl/>
        </w:rPr>
        <w:t xml:space="preserve">ספירת העומר תיעשה באופן ציבורי, </w:t>
      </w:r>
      <w:r>
        <w:rPr>
          <w:rFonts w:hint="cs"/>
          <w:snapToGrid w:val="0"/>
          <w:rtl/>
        </w:rPr>
        <w:t xml:space="preserve">שהרי זו הספירה שמובילה </w:t>
      </w:r>
      <w:r>
        <w:rPr>
          <w:snapToGrid w:val="0"/>
          <w:rtl/>
        </w:rPr>
        <w:t>ליום החמישים</w:t>
      </w:r>
      <w:r>
        <w:rPr>
          <w:rFonts w:hint="cs"/>
          <w:snapToGrid w:val="0"/>
          <w:rtl/>
        </w:rPr>
        <w:t xml:space="preserve"> שמקריבים בו</w:t>
      </w:r>
      <w:r>
        <w:rPr>
          <w:snapToGrid w:val="0"/>
          <w:rtl/>
        </w:rPr>
        <w:t xml:space="preserve"> מנחה חדשה,</w:t>
      </w:r>
      <w:r>
        <w:rPr>
          <w:rFonts w:hint="cs"/>
          <w:snapToGrid w:val="0"/>
          <w:rtl/>
        </w:rPr>
        <w:t xml:space="preserve"> ומהקרבה זו ואילך מותר להביא למשכן מנחות מהתבואה החדשה. </w:t>
      </w:r>
      <w:r>
        <w:rPr>
          <w:snapToGrid w:val="0"/>
          <w:rtl/>
        </w:rPr>
        <w:t xml:space="preserve">משמעותו של יום </w:t>
      </w:r>
      <w:r>
        <w:rPr>
          <w:rFonts w:hint="cs"/>
          <w:snapToGrid w:val="0"/>
          <w:rtl/>
        </w:rPr>
        <w:t>ה</w:t>
      </w:r>
      <w:r>
        <w:rPr>
          <w:snapToGrid w:val="0"/>
          <w:rtl/>
        </w:rPr>
        <w:t xml:space="preserve">חמישים </w:t>
      </w:r>
      <w:r>
        <w:rPr>
          <w:rFonts w:hint="cs"/>
          <w:snapToGrid w:val="0"/>
          <w:rtl/>
        </w:rPr>
        <w:t xml:space="preserve">היא </w:t>
      </w:r>
      <w:r>
        <w:rPr>
          <w:snapToGrid w:val="0"/>
          <w:rtl/>
        </w:rPr>
        <w:t xml:space="preserve">ציבורית, והיא עוסקת בהלכות מקדש. </w:t>
      </w:r>
    </w:p>
    <w:p w14:paraId="2F006A43" w14:textId="10451D34" w:rsidR="00E10606" w:rsidRDefault="00E10606" w:rsidP="00944737">
      <w:pPr>
        <w:rPr>
          <w:snapToGrid w:val="0"/>
          <w:rtl/>
        </w:rPr>
      </w:pPr>
      <w:r>
        <w:rPr>
          <w:snapToGrid w:val="0"/>
          <w:rtl/>
        </w:rPr>
        <w:t xml:space="preserve">לאידך גיסא, ניתן היה להציע כי ספירת העומר תיעשה </w:t>
      </w:r>
      <w:r>
        <w:rPr>
          <w:rFonts w:hint="cs"/>
          <w:snapToGrid w:val="0"/>
          <w:rtl/>
        </w:rPr>
        <w:t xml:space="preserve">גם בזמן </w:t>
      </w:r>
      <w:r>
        <w:rPr>
          <w:snapToGrid w:val="0"/>
          <w:rtl/>
        </w:rPr>
        <w:t>אישי. כלומר, כל חקלאי וחקלאי יספור חמישים יום מרגע שהבכיר יבולו שלו</w:t>
      </w:r>
      <w:r>
        <w:rPr>
          <w:rFonts w:hint="cs"/>
          <w:snapToGrid w:val="0"/>
          <w:rtl/>
        </w:rPr>
        <w:t xml:space="preserve">, </w:t>
      </w:r>
      <w:r>
        <w:rPr>
          <w:snapToGrid w:val="0"/>
          <w:rtl/>
        </w:rPr>
        <w:t>לאחר שהביא לכהן את ראשית העומר משדהו</w:t>
      </w:r>
      <w:r>
        <w:rPr>
          <w:rFonts w:hint="cs"/>
          <w:snapToGrid w:val="0"/>
          <w:rtl/>
        </w:rPr>
        <w:t xml:space="preserve"> (</w:t>
      </w:r>
      <w:r>
        <w:rPr>
          <w:snapToGrid w:val="0"/>
          <w:rtl/>
        </w:rPr>
        <w:t xml:space="preserve">כספירת </w:t>
      </w:r>
      <w:r>
        <w:rPr>
          <w:rFonts w:hint="cs"/>
          <w:snapToGrid w:val="0"/>
          <w:rtl/>
        </w:rPr>
        <w:t>זב ו</w:t>
      </w:r>
      <w:r>
        <w:rPr>
          <w:snapToGrid w:val="0"/>
          <w:rtl/>
        </w:rPr>
        <w:t>זבה למשל</w:t>
      </w:r>
      <w:r>
        <w:rPr>
          <w:rFonts w:hint="cs"/>
          <w:snapToGrid w:val="0"/>
          <w:rtl/>
        </w:rPr>
        <w:t>, וכפי שאולי עולה מדברים ט"ז, ט).</w:t>
      </w:r>
      <w:r>
        <w:rPr>
          <w:snapToGrid w:val="0"/>
          <w:rtl/>
        </w:rPr>
        <w:t xml:space="preserve"> </w:t>
      </w:r>
      <w:r>
        <w:rPr>
          <w:rFonts w:hint="cs"/>
          <w:snapToGrid w:val="0"/>
          <w:rtl/>
        </w:rPr>
        <w:t>הכרעת חז"ל היא הכרעה אמביוולנטית: כל אחד ואחד צריך לספור בפיו, אך כולם סופרים יחד את אותם הימים.</w:t>
      </w:r>
      <w:r>
        <w:rPr>
          <w:rStyle w:val="a5"/>
          <w:snapToGrid w:val="0"/>
          <w:color w:val="000000"/>
          <w:sz w:val="24"/>
          <w:rtl/>
        </w:rPr>
        <w:footnoteReference w:id="22"/>
      </w:r>
      <w:r>
        <w:rPr>
          <w:rFonts w:hint="cs"/>
          <w:snapToGrid w:val="0"/>
          <w:rtl/>
        </w:rPr>
        <w:t xml:space="preserve"> </w:t>
      </w:r>
      <w:r>
        <w:rPr>
          <w:snapToGrid w:val="0"/>
          <w:rtl/>
        </w:rPr>
        <w:t xml:space="preserve">גם כאן ניכר השילוב בין העמידה הפרטית של כל חקלאי, שלאחר הנפת ביכורי יבולו </w:t>
      </w:r>
      <w:r>
        <w:rPr>
          <w:rFonts w:hint="cs"/>
          <w:snapToGrid w:val="0"/>
          <w:rtl/>
        </w:rPr>
        <w:t xml:space="preserve">סופר בעצמו ארבעים ותשעה ימים, </w:t>
      </w:r>
      <w:r w:rsidR="00944737">
        <w:rPr>
          <w:rFonts w:hint="cs"/>
          <w:snapToGrid w:val="0"/>
          <w:rtl/>
        </w:rPr>
        <w:t>ו</w:t>
      </w:r>
      <w:r>
        <w:rPr>
          <w:snapToGrid w:val="0"/>
          <w:rtl/>
        </w:rPr>
        <w:t xml:space="preserve">בין העמידה הציבורית של עם ישראל כולו, </w:t>
      </w:r>
      <w:r>
        <w:rPr>
          <w:rFonts w:hint="cs"/>
          <w:snapToGrid w:val="0"/>
          <w:rtl/>
        </w:rPr>
        <w:t>הסופר יחדו ארבעים ותשע</w:t>
      </w:r>
      <w:r w:rsidR="00944737">
        <w:rPr>
          <w:rFonts w:hint="cs"/>
          <w:snapToGrid w:val="0"/>
          <w:rtl/>
        </w:rPr>
        <w:t>ה</w:t>
      </w:r>
      <w:r>
        <w:rPr>
          <w:rFonts w:hint="cs"/>
          <w:snapToGrid w:val="0"/>
          <w:rtl/>
        </w:rPr>
        <w:t xml:space="preserve"> ימים, ו</w:t>
      </w:r>
      <w:r>
        <w:rPr>
          <w:snapToGrid w:val="0"/>
          <w:rtl/>
        </w:rPr>
        <w:t>מודה כציבור לה' א</w:t>
      </w:r>
      <w:r w:rsidR="00944737">
        <w:rPr>
          <w:rFonts w:hint="cs"/>
          <w:snapToGrid w:val="0"/>
          <w:rtl/>
        </w:rPr>
        <w:t>-</w:t>
      </w:r>
      <w:r>
        <w:rPr>
          <w:snapToGrid w:val="0"/>
          <w:rtl/>
        </w:rPr>
        <w:t>לו</w:t>
      </w:r>
      <w:r>
        <w:rPr>
          <w:rFonts w:hint="cs"/>
          <w:snapToGrid w:val="0"/>
          <w:rtl/>
        </w:rPr>
        <w:t>ה</w:t>
      </w:r>
      <w:r>
        <w:rPr>
          <w:snapToGrid w:val="0"/>
          <w:rtl/>
        </w:rPr>
        <w:t>יו על שהאיר לו פניו וברך אותו ביבול חדש.</w:t>
      </w:r>
      <w:r>
        <w:rPr>
          <w:rStyle w:val="a5"/>
          <w:snapToGrid w:val="0"/>
          <w:color w:val="000000"/>
          <w:sz w:val="24"/>
          <w:rtl/>
        </w:rPr>
        <w:footnoteReference w:id="23"/>
      </w:r>
    </w:p>
    <w:p w14:paraId="3DF95B2A" w14:textId="467E0B30" w:rsidR="00E10606" w:rsidRDefault="00E10606" w:rsidP="00944737">
      <w:pPr>
        <w:rPr>
          <w:rtl/>
        </w:rPr>
      </w:pPr>
      <w:r>
        <w:rPr>
          <w:rFonts w:hint="cs"/>
          <w:rtl/>
        </w:rPr>
        <w:lastRenderedPageBreak/>
        <w:t>מעניין ש</w:t>
      </w:r>
      <w:r>
        <w:rPr>
          <w:rtl/>
        </w:rPr>
        <w:t xml:space="preserve">בתהליך קצירת ראשית העומר הדגישו חז"ל את שיתופם של היחידים: </w:t>
      </w:r>
    </w:p>
    <w:p w14:paraId="47D394C7" w14:textId="6C800C39" w:rsidR="00944737" w:rsidRDefault="00220D4A" w:rsidP="006B57DE">
      <w:pPr>
        <w:ind w:left="720"/>
        <w:rPr>
          <w:snapToGrid w:val="0"/>
          <w:rtl/>
        </w:rPr>
      </w:pPr>
      <w:r>
        <w:rPr>
          <w:rFonts w:hint="cs"/>
          <w:snapToGrid w:val="0"/>
          <w:rtl/>
        </w:rPr>
        <w:t>"</w:t>
      </w:r>
      <w:r w:rsidR="00E10606">
        <w:rPr>
          <w:snapToGrid w:val="0"/>
          <w:rtl/>
        </w:rPr>
        <w:t xml:space="preserve">כיצד היו עושים: שלוחי בית דין יוצאים מערב יום טוב ועושים אותו כריכות במחובר לקרקע כדי שיהא נוח לקצור, </w:t>
      </w:r>
      <w:r w:rsidR="00E10606">
        <w:rPr>
          <w:b/>
          <w:bCs/>
          <w:snapToGrid w:val="0"/>
          <w:rtl/>
        </w:rPr>
        <w:t>וכל העיירות הסמוכות לשם מתכנסות לשם כדי שיהא נקצר בעסק גדול</w:t>
      </w:r>
      <w:r w:rsidR="00944737">
        <w:rPr>
          <w:rFonts w:hint="cs"/>
          <w:snapToGrid w:val="0"/>
          <w:rtl/>
        </w:rPr>
        <w:t>.</w:t>
      </w:r>
    </w:p>
    <w:p w14:paraId="0B46E999" w14:textId="5435BD41" w:rsidR="00220D4A" w:rsidRDefault="00944737" w:rsidP="006B57DE">
      <w:pPr>
        <w:ind w:left="720"/>
        <w:rPr>
          <w:snapToGrid w:val="0"/>
          <w:rtl/>
        </w:rPr>
      </w:pPr>
      <w:r>
        <w:rPr>
          <w:rFonts w:hint="cs"/>
          <w:snapToGrid w:val="0"/>
          <w:rtl/>
        </w:rPr>
        <w:t>"</w:t>
      </w:r>
      <w:r w:rsidR="00E10606">
        <w:rPr>
          <w:snapToGrid w:val="0"/>
          <w:rtl/>
        </w:rPr>
        <w:t>כיון שחשכה אומר להם: בא השמש? אומרים: הין. בא השמש? אומרים: הין. מגל זו? אומרים: הין. מגל זו? אומרים: הין. קופה זו? אומרים: הין. קופה זו? אומרים: הין. בשבת אומר להם: שבת זו? אומרי</w:t>
      </w:r>
      <w:bookmarkStart w:id="1" w:name="_GoBack"/>
      <w:bookmarkEnd w:id="1"/>
      <w:r w:rsidR="00E10606">
        <w:rPr>
          <w:snapToGrid w:val="0"/>
          <w:rtl/>
        </w:rPr>
        <w:t>ם: הין. שבת זו? אומרים: הין. אקצור? והם אומרים לו: קצור. אקצור? והם אומרים לו: קצור. שלשה פעמים על כל דבר ודבר, והם אומרים לו הין הין הין</w:t>
      </w:r>
      <w:r w:rsidR="00220D4A">
        <w:rPr>
          <w:rFonts w:hint="cs"/>
          <w:snapToGrid w:val="0"/>
          <w:rtl/>
        </w:rPr>
        <w:t>"</w:t>
      </w:r>
    </w:p>
    <w:p w14:paraId="222B3765" w14:textId="4C0BA575" w:rsidR="00E10606" w:rsidRDefault="00220D4A" w:rsidP="006B57DE">
      <w:pPr>
        <w:ind w:left="720"/>
        <w:rPr>
          <w:snapToGrid w:val="0"/>
          <w:rtl/>
        </w:rPr>
      </w:pPr>
      <w:r>
        <w:rPr>
          <w:snapToGrid w:val="0"/>
          <w:rtl/>
        </w:rPr>
        <w:tab/>
      </w:r>
      <w:r w:rsidR="00E10606">
        <w:rPr>
          <w:snapToGrid w:val="0"/>
          <w:rtl/>
        </w:rPr>
        <w:t xml:space="preserve"> </w:t>
      </w:r>
      <w:r w:rsidR="00E10606" w:rsidRPr="00220D4A">
        <w:rPr>
          <w:snapToGrid w:val="0"/>
          <w:sz w:val="20"/>
          <w:szCs w:val="20"/>
          <w:rtl/>
        </w:rPr>
        <w:t>(מנחות פ"י מ"ג)</w:t>
      </w:r>
      <w:r w:rsidR="00E10606">
        <w:rPr>
          <w:snapToGrid w:val="0"/>
          <w:rtl/>
        </w:rPr>
        <w:t>.</w:t>
      </w:r>
    </w:p>
    <w:p w14:paraId="6EF8EF10" w14:textId="4F12CAC7" w:rsidR="00E10606" w:rsidRDefault="00E10606" w:rsidP="00944737">
      <w:pPr>
        <w:rPr>
          <w:rtl/>
        </w:rPr>
      </w:pPr>
      <w:r>
        <w:rPr>
          <w:snapToGrid w:val="0"/>
          <w:rtl/>
        </w:rPr>
        <w:t xml:space="preserve">המשנה </w:t>
      </w:r>
      <w:r w:rsidR="00944737">
        <w:rPr>
          <w:rFonts w:hint="cs"/>
          <w:snapToGrid w:val="0"/>
          <w:rtl/>
        </w:rPr>
        <w:t xml:space="preserve">מנמקת </w:t>
      </w:r>
      <w:r>
        <w:rPr>
          <w:snapToGrid w:val="0"/>
          <w:rtl/>
        </w:rPr>
        <w:t>מיד: "כל כך למה? מפני הביתוסים שהיו אומרים אין קצירת העומר במוצאי יום טוב", אולם בהחלט ייתכן כי ישנו ערך נוסף ל"עסק הגדול" שבקצירת ראשית העומר – השתתפות ה</w:t>
      </w:r>
      <w:r>
        <w:rPr>
          <w:rFonts w:hint="cs"/>
          <w:snapToGrid w:val="0"/>
          <w:rtl/>
        </w:rPr>
        <w:t xml:space="preserve">יחידים </w:t>
      </w:r>
      <w:r>
        <w:rPr>
          <w:snapToGrid w:val="0"/>
          <w:rtl/>
        </w:rPr>
        <w:t>בתהליך הבאת ראשית הקצירה לבית המקדש.</w:t>
      </w:r>
      <w:r>
        <w:rPr>
          <w:rStyle w:val="a5"/>
          <w:snapToGrid w:val="0"/>
          <w:color w:val="000000"/>
          <w:rtl/>
        </w:rPr>
        <w:footnoteReference w:id="24"/>
      </w:r>
    </w:p>
    <w:p w14:paraId="5EF81CB1" w14:textId="77777777" w:rsidR="00E10606" w:rsidRDefault="00E10606" w:rsidP="00E10606">
      <w:pPr>
        <w:rPr>
          <w:rtl/>
        </w:rPr>
      </w:pPr>
      <w:r>
        <w:rPr>
          <w:rtl/>
        </w:rPr>
        <w:tab/>
      </w:r>
      <w:r>
        <w:rPr>
          <w:rFonts w:hint="cs"/>
          <w:rtl/>
        </w:rPr>
        <w:t xml:space="preserve">לקריאה מורכבת מעין זו </w:t>
      </w:r>
      <w:r>
        <w:rPr>
          <w:rtl/>
        </w:rPr>
        <w:t>כיוו</w:t>
      </w:r>
      <w:r>
        <w:rPr>
          <w:rFonts w:hint="cs"/>
          <w:rtl/>
        </w:rPr>
        <w:t>ן</w:t>
      </w:r>
      <w:r>
        <w:rPr>
          <w:rtl/>
        </w:rPr>
        <w:t xml:space="preserve"> </w:t>
      </w:r>
      <w:r>
        <w:rPr>
          <w:rFonts w:hint="cs"/>
          <w:rtl/>
        </w:rPr>
        <w:t>ר' שמעון המצוטט בספרא על ויקרא ב':</w:t>
      </w:r>
    </w:p>
    <w:p w14:paraId="6F719115" w14:textId="4C9050F0" w:rsidR="00E10606" w:rsidRDefault="00220D4A" w:rsidP="006B57DE">
      <w:pPr>
        <w:ind w:left="720"/>
        <w:rPr>
          <w:rtl/>
        </w:rPr>
      </w:pPr>
      <w:r>
        <w:rPr>
          <w:rFonts w:hint="cs"/>
          <w:rtl/>
        </w:rPr>
        <w:t>"</w:t>
      </w:r>
      <w:r w:rsidR="00E10606">
        <w:rPr>
          <w:rtl/>
        </w:rPr>
        <w:t>רבי שמעון אומר: 'ואם תקריב מנחת בכורים לה'', זו מנחה באה חובה. יכול נדבה, כשהוא אומר 'והבאתם את עומר ראשית קצירכם אל הכהן'</w:t>
      </w:r>
      <w:r w:rsidR="00E10606">
        <w:rPr>
          <w:rFonts w:hint="cs"/>
          <w:rtl/>
        </w:rPr>
        <w:t xml:space="preserve"> </w:t>
      </w:r>
      <w:r w:rsidR="00E10606" w:rsidRPr="00504BD8">
        <w:rPr>
          <w:rFonts w:hint="cs"/>
          <w:sz w:val="20"/>
          <w:szCs w:val="20"/>
          <w:rtl/>
        </w:rPr>
        <w:t>(ויקרא כ"ג)</w:t>
      </w:r>
      <w:r w:rsidR="00E10606">
        <w:rPr>
          <w:rtl/>
        </w:rPr>
        <w:t xml:space="preserve"> לימד שאינה באה אלא חובה. ואם כן למה נאמר 'ואם',</w:t>
      </w:r>
      <w:r w:rsidR="00E10606">
        <w:rPr>
          <w:rStyle w:val="a5"/>
          <w:rtl/>
        </w:rPr>
        <w:footnoteReference w:id="25"/>
      </w:r>
      <w:r w:rsidR="00E10606">
        <w:rPr>
          <w:rtl/>
        </w:rPr>
        <w:t xml:space="preserve"> לומר</w:t>
      </w:r>
      <w:r w:rsidR="00E10606">
        <w:rPr>
          <w:rFonts w:hint="cs"/>
          <w:rtl/>
        </w:rPr>
        <w:t>:</w:t>
      </w:r>
      <w:r w:rsidR="00E10606">
        <w:rPr>
          <w:rtl/>
        </w:rPr>
        <w:t xml:space="preserve"> אם אתם מביאים אותה לרצון, מעלה אני עליכם כאילו נדבה הבאתם אותה, ואם אין אתם מביאין אותה לרצון, מעלה אני עליכם כאילו לא הבאתם אלא לצורך עצמכם</w:t>
      </w:r>
      <w:r>
        <w:rPr>
          <w:rFonts w:hint="cs"/>
          <w:rtl/>
        </w:rPr>
        <w:t>"</w:t>
      </w:r>
      <w:r w:rsidR="00E10606">
        <w:rPr>
          <w:rtl/>
        </w:rPr>
        <w:t>.</w:t>
      </w:r>
      <w:r w:rsidR="00E10606">
        <w:rPr>
          <w:rStyle w:val="a5"/>
          <w:rtl/>
        </w:rPr>
        <w:footnoteReference w:id="26"/>
      </w:r>
    </w:p>
    <w:p w14:paraId="1B5AFED3" w14:textId="79B52341" w:rsidR="00460E6D" w:rsidRDefault="00E10606" w:rsidP="00944737">
      <w:pPr>
        <w:rPr>
          <w:rtl/>
        </w:rPr>
      </w:pPr>
      <w:r>
        <w:rPr>
          <w:snapToGrid w:val="0"/>
          <w:rtl/>
        </w:rPr>
        <w:t xml:space="preserve">נמצאנו למדים, </w:t>
      </w:r>
      <w:r>
        <w:rPr>
          <w:rFonts w:hint="cs"/>
          <w:snapToGrid w:val="0"/>
          <w:rtl/>
        </w:rPr>
        <w:t xml:space="preserve">שמנחת הביכורים המוזכרת בפרק ב' אכן מבקשת להיות קורבנו של היחיד. ככל הנראה היחיד מוזמן לנדוב אותה, גם אם ניתן להעלות על הדעת שמדובר בחובת יחיד </w:t>
      </w:r>
      <w:r>
        <w:rPr>
          <w:snapToGrid w:val="0"/>
          <w:rtl/>
        </w:rPr>
        <w:t>–</w:t>
      </w:r>
      <w:r>
        <w:rPr>
          <w:rFonts w:hint="cs"/>
          <w:snapToGrid w:val="0"/>
          <w:rtl/>
        </w:rPr>
        <w:t xml:space="preserve"> בדומה לביכורי פירות. </w:t>
      </w:r>
      <w:r>
        <w:rPr>
          <w:rFonts w:hint="cs"/>
          <w:snapToGrid w:val="0"/>
          <w:rtl/>
        </w:rPr>
        <w:t>אולם, כבר עיצוב מנחה זו בויקרא ב' רומז לכך שמדובר במעין נספח לפרק; שיש להמשיך את דיניה של מנחה זו במקום אחר. שם יתברר שיש להביא עומר אחד בשם היחידים כולם כי מהנפתו מתחילה ספירת ימים ובה צריכים להיות שותפים העם כולו.</w:t>
      </w:r>
      <w:r>
        <w:rPr>
          <w:rStyle w:val="a5"/>
          <w:snapToGrid w:val="0"/>
          <w:color w:val="000000"/>
          <w:sz w:val="24"/>
          <w:rtl/>
        </w:rPr>
        <w:footnoteReference w:id="27"/>
      </w:r>
      <w:r>
        <w:rPr>
          <w:rFonts w:hint="cs"/>
          <w:snapToGrid w:val="0"/>
          <w:rtl/>
        </w:rPr>
        <w:t xml:space="preserve"> כך מצליחה התורה לצייר את האווירה הפרטית המתאימה למנחה זו ולהזכיר אותה בהקשר הראוי לה, אך בד בבד להורות שבסופו של דבר יש להביאה כמנחה ציבורית שראשיתה עם הנפת העומר ואחריתה בהנפת שתי הלחם בשבועות.</w:t>
      </w:r>
    </w:p>
    <w:p w14:paraId="481781E2" w14:textId="77777777" w:rsidR="00E10606" w:rsidRPr="00437A07" w:rsidRDefault="00E10606" w:rsidP="00E1060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10"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1"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66AE5" w14:textId="77777777" w:rsidR="00315888" w:rsidRDefault="00315888" w:rsidP="00405665">
      <w:r>
        <w:separator/>
      </w:r>
    </w:p>
  </w:endnote>
  <w:endnote w:type="continuationSeparator" w:id="0">
    <w:p w14:paraId="759F2120" w14:textId="77777777" w:rsidR="00315888" w:rsidRDefault="0031588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3F29F" w14:textId="77777777" w:rsidR="00315888" w:rsidRDefault="00315888" w:rsidP="00405665">
      <w:r>
        <w:separator/>
      </w:r>
    </w:p>
  </w:footnote>
  <w:footnote w:type="continuationSeparator" w:id="0">
    <w:p w14:paraId="5985CF1A" w14:textId="77777777" w:rsidR="00315888" w:rsidRDefault="00315888" w:rsidP="00405665">
      <w:r>
        <w:continuationSeparator/>
      </w:r>
    </w:p>
  </w:footnote>
  <w:footnote w:id="1">
    <w:p w14:paraId="5B7575EC" w14:textId="4F0F959B" w:rsidR="00E10606" w:rsidRPr="00FA628D" w:rsidRDefault="00E10606" w:rsidP="00A53716">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רא</w:t>
      </w:r>
      <w:r w:rsidRPr="00FA628D">
        <w:rPr>
          <w:rFonts w:hint="cs"/>
          <w:rtl/>
        </w:rPr>
        <w:t>ו</w:t>
      </w:r>
      <w:r w:rsidRPr="00FA628D">
        <w:rPr>
          <w:rtl/>
        </w:rPr>
        <w:t xml:space="preserve"> בספרא פר' י"ג, ד</w:t>
      </w:r>
      <w:r w:rsidRPr="00FA628D">
        <w:rPr>
          <w:rFonts w:hint="cs"/>
          <w:rtl/>
        </w:rPr>
        <w:t xml:space="preserve">', </w:t>
      </w:r>
      <w:r w:rsidRPr="00FA628D">
        <w:rPr>
          <w:rtl/>
        </w:rPr>
        <w:t xml:space="preserve">ורש"י על </w:t>
      </w:r>
      <w:r w:rsidRPr="00FA628D">
        <w:rPr>
          <w:rFonts w:hint="cs"/>
          <w:rtl/>
        </w:rPr>
        <w:t>אתר</w:t>
      </w:r>
      <w:r w:rsidRPr="00FA628D">
        <w:rPr>
          <w:rtl/>
        </w:rPr>
        <w:t>.</w:t>
      </w:r>
      <w:r w:rsidRPr="00FA628D">
        <w:rPr>
          <w:rFonts w:hint="cs"/>
          <w:rtl/>
        </w:rPr>
        <w:t xml:space="preserve"> מלבד מנחת הביכורים שבאה מהשעורים, רק מנחת סוטה באה שעורה. כל שאר המנחות באות מן החיטים. בדבר נוסף דומות מנחת הסוטה ומנחת הביכורים: כל המנחות טעונות רק הגשה למזבח, </w:t>
      </w:r>
      <w:r w:rsidR="00A53716">
        <w:rPr>
          <w:rFonts w:hint="cs"/>
          <w:rtl/>
        </w:rPr>
        <w:t xml:space="preserve">ואילו </w:t>
      </w:r>
      <w:r w:rsidRPr="00FA628D">
        <w:rPr>
          <w:rFonts w:hint="cs"/>
          <w:rtl/>
        </w:rPr>
        <w:t>מנחת</w:t>
      </w:r>
      <w:r w:rsidRPr="00FA628D">
        <w:rPr>
          <w:rtl/>
        </w:rPr>
        <w:t xml:space="preserve"> </w:t>
      </w:r>
      <w:r w:rsidRPr="00FA628D">
        <w:rPr>
          <w:rFonts w:hint="cs"/>
          <w:rtl/>
        </w:rPr>
        <w:t>סוטה</w:t>
      </w:r>
      <w:r w:rsidRPr="00FA628D">
        <w:rPr>
          <w:rtl/>
        </w:rPr>
        <w:t xml:space="preserve"> </w:t>
      </w:r>
      <w:r w:rsidRPr="00FA628D">
        <w:rPr>
          <w:rFonts w:hint="cs"/>
          <w:rtl/>
        </w:rPr>
        <w:t>ועומר</w:t>
      </w:r>
      <w:r w:rsidRPr="00FA628D">
        <w:rPr>
          <w:rtl/>
        </w:rPr>
        <w:t xml:space="preserve"> </w:t>
      </w:r>
      <w:r w:rsidRPr="00FA628D">
        <w:rPr>
          <w:rFonts w:hint="cs"/>
          <w:rtl/>
        </w:rPr>
        <w:t>התנופה</w:t>
      </w:r>
      <w:r w:rsidRPr="00FA628D">
        <w:rPr>
          <w:rtl/>
        </w:rPr>
        <w:t xml:space="preserve"> </w:t>
      </w:r>
      <w:r w:rsidRPr="00FA628D">
        <w:rPr>
          <w:rFonts w:hint="cs"/>
          <w:rtl/>
        </w:rPr>
        <w:t>טעונות</w:t>
      </w:r>
      <w:r w:rsidRPr="00FA628D">
        <w:rPr>
          <w:rtl/>
        </w:rPr>
        <w:t xml:space="preserve"> </w:t>
      </w:r>
      <w:r w:rsidRPr="00FA628D">
        <w:rPr>
          <w:rFonts w:hint="cs"/>
          <w:rtl/>
        </w:rPr>
        <w:t>תנופה</w:t>
      </w:r>
      <w:r w:rsidRPr="00FA628D">
        <w:rPr>
          <w:rtl/>
        </w:rPr>
        <w:t xml:space="preserve"> </w:t>
      </w:r>
      <w:r w:rsidRPr="00FA628D">
        <w:rPr>
          <w:rFonts w:hint="cs"/>
          <w:rtl/>
        </w:rPr>
        <w:t xml:space="preserve">והגשה </w:t>
      </w:r>
      <w:r w:rsidRPr="00FA628D">
        <w:rPr>
          <w:rFonts w:hint="cs"/>
          <w:sz w:val="16"/>
          <w:szCs w:val="16"/>
          <w:rtl/>
        </w:rPr>
        <w:t>(רמב</w:t>
      </w:r>
      <w:r w:rsidRPr="00FA628D">
        <w:rPr>
          <w:sz w:val="16"/>
          <w:szCs w:val="16"/>
          <w:rtl/>
        </w:rPr>
        <w:t>"</w:t>
      </w:r>
      <w:r w:rsidRPr="00FA628D">
        <w:rPr>
          <w:rFonts w:hint="cs"/>
          <w:sz w:val="16"/>
          <w:szCs w:val="16"/>
          <w:rtl/>
        </w:rPr>
        <w:t>ם</w:t>
      </w:r>
      <w:r w:rsidRPr="00FA628D">
        <w:rPr>
          <w:sz w:val="16"/>
          <w:szCs w:val="16"/>
          <w:rtl/>
        </w:rPr>
        <w:t xml:space="preserve"> </w:t>
      </w:r>
      <w:r w:rsidRPr="00FA628D">
        <w:rPr>
          <w:rFonts w:hint="cs"/>
          <w:sz w:val="16"/>
          <w:szCs w:val="16"/>
          <w:rtl/>
        </w:rPr>
        <w:t>הלכות</w:t>
      </w:r>
      <w:r w:rsidRPr="00FA628D">
        <w:rPr>
          <w:sz w:val="16"/>
          <w:szCs w:val="16"/>
          <w:rtl/>
        </w:rPr>
        <w:t xml:space="preserve"> </w:t>
      </w:r>
      <w:r w:rsidRPr="00FA628D">
        <w:rPr>
          <w:rFonts w:hint="cs"/>
          <w:sz w:val="16"/>
          <w:szCs w:val="16"/>
          <w:rtl/>
        </w:rPr>
        <w:t>מעשה</w:t>
      </w:r>
      <w:r w:rsidRPr="00FA628D">
        <w:rPr>
          <w:sz w:val="16"/>
          <w:szCs w:val="16"/>
          <w:rtl/>
        </w:rPr>
        <w:t xml:space="preserve"> </w:t>
      </w:r>
      <w:r w:rsidRPr="00FA628D">
        <w:rPr>
          <w:rFonts w:hint="cs"/>
          <w:sz w:val="16"/>
          <w:szCs w:val="16"/>
          <w:rtl/>
        </w:rPr>
        <w:t>הקרבנות</w:t>
      </w:r>
      <w:r w:rsidRPr="00FA628D">
        <w:rPr>
          <w:sz w:val="16"/>
          <w:szCs w:val="16"/>
          <w:rtl/>
        </w:rPr>
        <w:t xml:space="preserve"> </w:t>
      </w:r>
      <w:r w:rsidRPr="00FA628D">
        <w:rPr>
          <w:rFonts w:hint="cs"/>
          <w:sz w:val="16"/>
          <w:szCs w:val="16"/>
          <w:rtl/>
        </w:rPr>
        <w:t>פרק</w:t>
      </w:r>
      <w:r w:rsidRPr="00FA628D">
        <w:rPr>
          <w:sz w:val="16"/>
          <w:szCs w:val="16"/>
          <w:rtl/>
        </w:rPr>
        <w:t xml:space="preserve"> </w:t>
      </w:r>
      <w:r w:rsidRPr="00FA628D">
        <w:rPr>
          <w:rFonts w:hint="cs"/>
          <w:sz w:val="16"/>
          <w:szCs w:val="16"/>
          <w:rtl/>
        </w:rPr>
        <w:t>י"ב, ו', בעקבות חז"ל שזיהו את מנחת הביכורים עם מנחת העומר)</w:t>
      </w:r>
      <w:r w:rsidRPr="00FA628D">
        <w:rPr>
          <w:rFonts w:hint="cs"/>
          <w:rtl/>
        </w:rPr>
        <w:t xml:space="preserve">. סביר שהתורה לא פירטה את דיני מנחת הביכורים </w:t>
      </w:r>
      <w:r w:rsidR="00A53716">
        <w:rPr>
          <w:rFonts w:hint="cs"/>
          <w:rtl/>
        </w:rPr>
        <w:t xml:space="preserve">כיון שאלו אינם שונים </w:t>
      </w:r>
      <w:r w:rsidRPr="00FA628D">
        <w:rPr>
          <w:rFonts w:hint="cs"/>
          <w:rtl/>
        </w:rPr>
        <w:t xml:space="preserve">מהמנחות שהוזכרו בראש הפרק. לכן לא כתוב מאומה על אכילת הכוהנים מנותרת המנחה, </w:t>
      </w:r>
      <w:r w:rsidR="00A53716">
        <w:rPr>
          <w:rFonts w:hint="cs"/>
          <w:rtl/>
        </w:rPr>
        <w:t xml:space="preserve">אף </w:t>
      </w:r>
      <w:r w:rsidRPr="00FA628D">
        <w:rPr>
          <w:rFonts w:hint="cs"/>
          <w:rtl/>
        </w:rPr>
        <w:t>שיש להקטיר את "אזכרתה" ומכאן שיש נותרת! ההכרעה ההלכתית ביחס למנחת הביכורים סבירה ביותר: "והשאר</w:t>
      </w:r>
      <w:r w:rsidRPr="00FA628D">
        <w:rPr>
          <w:rtl/>
        </w:rPr>
        <w:t xml:space="preserve"> </w:t>
      </w:r>
      <w:r w:rsidRPr="00FA628D">
        <w:rPr>
          <w:rFonts w:hint="cs"/>
          <w:rtl/>
        </w:rPr>
        <w:t>נאכל</w:t>
      </w:r>
      <w:r w:rsidRPr="00FA628D">
        <w:rPr>
          <w:rtl/>
        </w:rPr>
        <w:t xml:space="preserve"> </w:t>
      </w:r>
      <w:r w:rsidRPr="00FA628D">
        <w:rPr>
          <w:rFonts w:hint="cs"/>
          <w:rtl/>
        </w:rPr>
        <w:t>לכהנים</w:t>
      </w:r>
      <w:r w:rsidRPr="00FA628D">
        <w:rPr>
          <w:rtl/>
        </w:rPr>
        <w:t xml:space="preserve"> </w:t>
      </w:r>
      <w:r w:rsidRPr="00FA628D">
        <w:rPr>
          <w:rFonts w:hint="cs"/>
          <w:rtl/>
        </w:rPr>
        <w:t>כשיירי</w:t>
      </w:r>
      <w:r w:rsidRPr="00FA628D">
        <w:rPr>
          <w:rtl/>
        </w:rPr>
        <w:t xml:space="preserve"> </w:t>
      </w:r>
      <w:r w:rsidRPr="00FA628D">
        <w:rPr>
          <w:rFonts w:hint="cs"/>
          <w:rtl/>
        </w:rPr>
        <w:t>כל</w:t>
      </w:r>
      <w:r w:rsidRPr="00FA628D">
        <w:rPr>
          <w:rtl/>
        </w:rPr>
        <w:t xml:space="preserve"> </w:t>
      </w:r>
      <w:r w:rsidRPr="00FA628D">
        <w:rPr>
          <w:rFonts w:hint="cs"/>
          <w:rtl/>
        </w:rPr>
        <w:t xml:space="preserve">המנחות" </w:t>
      </w:r>
      <w:r w:rsidRPr="00FA628D">
        <w:rPr>
          <w:sz w:val="16"/>
          <w:szCs w:val="16"/>
          <w:rtl/>
        </w:rPr>
        <w:t>(</w:t>
      </w:r>
      <w:r w:rsidRPr="00FA628D">
        <w:rPr>
          <w:rFonts w:hint="cs"/>
          <w:sz w:val="16"/>
          <w:szCs w:val="16"/>
          <w:rtl/>
        </w:rPr>
        <w:t>רמב</w:t>
      </w:r>
      <w:r w:rsidRPr="00FA628D">
        <w:rPr>
          <w:sz w:val="16"/>
          <w:szCs w:val="16"/>
          <w:rtl/>
        </w:rPr>
        <w:t>"</w:t>
      </w:r>
      <w:r w:rsidRPr="00FA628D">
        <w:rPr>
          <w:rFonts w:hint="cs"/>
          <w:sz w:val="16"/>
          <w:szCs w:val="16"/>
          <w:rtl/>
        </w:rPr>
        <w:t>ם</w:t>
      </w:r>
      <w:r w:rsidRPr="00FA628D">
        <w:rPr>
          <w:sz w:val="16"/>
          <w:szCs w:val="16"/>
          <w:rtl/>
        </w:rPr>
        <w:t xml:space="preserve"> </w:t>
      </w:r>
      <w:r w:rsidRPr="00FA628D">
        <w:rPr>
          <w:rFonts w:hint="cs"/>
          <w:sz w:val="16"/>
          <w:szCs w:val="16"/>
          <w:rtl/>
        </w:rPr>
        <w:t>יד</w:t>
      </w:r>
      <w:r w:rsidRPr="00FA628D">
        <w:rPr>
          <w:sz w:val="16"/>
          <w:szCs w:val="16"/>
          <w:rtl/>
        </w:rPr>
        <w:t xml:space="preserve"> </w:t>
      </w:r>
      <w:r w:rsidRPr="00FA628D">
        <w:rPr>
          <w:rFonts w:hint="cs"/>
          <w:sz w:val="16"/>
          <w:szCs w:val="16"/>
          <w:rtl/>
        </w:rPr>
        <w:t>החזקה</w:t>
      </w:r>
      <w:r w:rsidRPr="00FA628D">
        <w:rPr>
          <w:sz w:val="16"/>
          <w:szCs w:val="16"/>
          <w:rtl/>
        </w:rPr>
        <w:t xml:space="preserve"> </w:t>
      </w:r>
      <w:r w:rsidRPr="00FA628D">
        <w:rPr>
          <w:rFonts w:hint="cs"/>
          <w:sz w:val="16"/>
          <w:szCs w:val="16"/>
          <w:rtl/>
        </w:rPr>
        <w:t>הלכות</w:t>
      </w:r>
      <w:r w:rsidRPr="00FA628D">
        <w:rPr>
          <w:sz w:val="16"/>
          <w:szCs w:val="16"/>
          <w:rtl/>
        </w:rPr>
        <w:t xml:space="preserve"> </w:t>
      </w:r>
      <w:r w:rsidRPr="00FA628D">
        <w:rPr>
          <w:rFonts w:hint="cs"/>
          <w:sz w:val="16"/>
          <w:szCs w:val="16"/>
          <w:rtl/>
        </w:rPr>
        <w:t>תמידין</w:t>
      </w:r>
      <w:r w:rsidRPr="00FA628D">
        <w:rPr>
          <w:sz w:val="16"/>
          <w:szCs w:val="16"/>
          <w:rtl/>
        </w:rPr>
        <w:t xml:space="preserve"> </w:t>
      </w:r>
      <w:r w:rsidRPr="00FA628D">
        <w:rPr>
          <w:rFonts w:hint="cs"/>
          <w:sz w:val="16"/>
          <w:szCs w:val="16"/>
          <w:rtl/>
        </w:rPr>
        <w:t>ומוספין</w:t>
      </w:r>
      <w:r w:rsidRPr="00FA628D">
        <w:rPr>
          <w:sz w:val="16"/>
          <w:szCs w:val="16"/>
          <w:rtl/>
        </w:rPr>
        <w:t xml:space="preserve"> </w:t>
      </w:r>
      <w:r w:rsidRPr="00FA628D">
        <w:rPr>
          <w:rFonts w:hint="cs"/>
          <w:sz w:val="16"/>
          <w:szCs w:val="16"/>
          <w:rtl/>
        </w:rPr>
        <w:t>פרק</w:t>
      </w:r>
      <w:r w:rsidRPr="00FA628D">
        <w:rPr>
          <w:sz w:val="16"/>
          <w:szCs w:val="16"/>
          <w:rtl/>
        </w:rPr>
        <w:t xml:space="preserve"> </w:t>
      </w:r>
      <w:r w:rsidRPr="00FA628D">
        <w:rPr>
          <w:rFonts w:hint="cs"/>
          <w:sz w:val="16"/>
          <w:szCs w:val="16"/>
          <w:rtl/>
        </w:rPr>
        <w:t>ז, יב)</w:t>
      </w:r>
      <w:r w:rsidRPr="00FA628D">
        <w:rPr>
          <w:rFonts w:hint="cs"/>
          <w:rtl/>
        </w:rPr>
        <w:t>.</w:t>
      </w:r>
    </w:p>
  </w:footnote>
  <w:footnote w:id="2">
    <w:p w14:paraId="4439C5C3" w14:textId="23EB40FD" w:rsidR="00E10606" w:rsidRPr="00FA628D" w:rsidRDefault="00E10606" w:rsidP="00A53716">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הכתוב מדגיש את החידוש שבמנחה זו בעזרת המסגרת העוטפת את החידוש עצמו</w:t>
      </w:r>
      <w:r w:rsidRPr="00FA628D">
        <w:rPr>
          <w:rFonts w:hint="cs"/>
          <w:rtl/>
        </w:rPr>
        <w:t xml:space="preserve"> (</w:t>
      </w:r>
      <w:r w:rsidRPr="00FA628D">
        <w:t>inclusio</w:t>
      </w:r>
      <w:r w:rsidRPr="00FA628D">
        <w:rPr>
          <w:rFonts w:hint="cs"/>
          <w:rtl/>
        </w:rPr>
        <w:t>)</w:t>
      </w:r>
      <w:r w:rsidRPr="00FA628D">
        <w:rPr>
          <w:rtl/>
        </w:rPr>
        <w:t xml:space="preserve">: "ואם תקריב מנחת בכורים... תקריב את מנחת בכוריך". בעזרת מסגרת זו מסב הכתוב את תשומת לבו של </w:t>
      </w:r>
      <w:r w:rsidR="00A53716">
        <w:rPr>
          <w:rFonts w:hint="cs"/>
          <w:rtl/>
        </w:rPr>
        <w:t xml:space="preserve">הקורא </w:t>
      </w:r>
      <w:r w:rsidRPr="00FA628D">
        <w:rPr>
          <w:rtl/>
        </w:rPr>
        <w:t>לתוכן הממלא אותה: "אביב קלוי באש גרש כרמל".</w:t>
      </w:r>
    </w:p>
  </w:footnote>
  <w:footnote w:id="3">
    <w:p w14:paraId="77649A4F" w14:textId="5F95B103"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 xml:space="preserve">ספרא, פר' י"ג, ד'. מהד' וייס, דף י"ב ע"ב. כך גם במשנת מנחות, פ"י מ"ד, וכך </w:t>
      </w:r>
      <w:r w:rsidRPr="00FA628D">
        <w:rPr>
          <w:rFonts w:hint="cs"/>
          <w:rtl/>
        </w:rPr>
        <w:t>פירש</w:t>
      </w:r>
      <w:r w:rsidRPr="00FA628D">
        <w:rPr>
          <w:rtl/>
        </w:rPr>
        <w:t xml:space="preserve"> </w:t>
      </w:r>
      <w:r w:rsidRPr="00FA628D">
        <w:rPr>
          <w:rFonts w:hint="cs"/>
          <w:rtl/>
        </w:rPr>
        <w:t xml:space="preserve">גם </w:t>
      </w:r>
      <w:r w:rsidRPr="00FA628D">
        <w:rPr>
          <w:rtl/>
        </w:rPr>
        <w:t xml:space="preserve">יוסיפוס פלביוס, </w:t>
      </w:r>
      <w:r w:rsidRPr="004B0420">
        <w:rPr>
          <w:b/>
          <w:bCs/>
          <w:rtl/>
        </w:rPr>
        <w:t>קדמוניות היהודים</w:t>
      </w:r>
      <w:r w:rsidRPr="00FA628D">
        <w:rPr>
          <w:rtl/>
        </w:rPr>
        <w:t>, ג', י</w:t>
      </w:r>
      <w:r w:rsidRPr="00FA628D">
        <w:rPr>
          <w:rFonts w:hint="cs"/>
          <w:rtl/>
        </w:rPr>
        <w:t>'</w:t>
      </w:r>
      <w:r w:rsidRPr="00FA628D">
        <w:rPr>
          <w:rtl/>
        </w:rPr>
        <w:t>, ה</w:t>
      </w:r>
      <w:r w:rsidRPr="00FA628D">
        <w:rPr>
          <w:rFonts w:hint="cs"/>
          <w:rtl/>
        </w:rPr>
        <w:t>'</w:t>
      </w:r>
      <w:r w:rsidRPr="00FA628D">
        <w:rPr>
          <w:rtl/>
        </w:rPr>
        <w:t xml:space="preserve">. </w:t>
      </w:r>
    </w:p>
  </w:footnote>
  <w:footnote w:id="4">
    <w:p w14:paraId="166870D4" w14:textId="63381CB3" w:rsidR="00441895" w:rsidRDefault="00441895" w:rsidP="00441895">
      <w:pPr>
        <w:pStyle w:val="a3"/>
        <w:rPr>
          <w:rFonts w:hint="cs"/>
        </w:rPr>
      </w:pPr>
      <w:r>
        <w:rPr>
          <w:rStyle w:val="a5"/>
          <w:rFonts w:eastAsia="Narkisim"/>
        </w:rPr>
        <w:footnoteRef/>
      </w:r>
      <w:r>
        <w:rPr>
          <w:rtl/>
        </w:rPr>
        <w:t xml:space="preserve"> </w:t>
      </w:r>
      <w:r>
        <w:rPr>
          <w:rtl/>
        </w:rPr>
        <w:tab/>
      </w:r>
      <w:r>
        <w:rPr>
          <w:rFonts w:hint="cs"/>
          <w:rtl/>
        </w:rPr>
        <w:t xml:space="preserve">שתי הלחם הובאו חמץ ועל כן רק מניפים אותם ולא מקטירים אותם על המזבח. </w:t>
      </w:r>
      <w:r>
        <w:rPr>
          <w:rFonts w:hint="cs"/>
          <w:rtl/>
        </w:rPr>
        <w:t xml:space="preserve">לעניות דעתי, </w:t>
      </w:r>
      <w:r>
        <w:rPr>
          <w:rFonts w:hint="cs"/>
          <w:rtl/>
        </w:rPr>
        <w:t xml:space="preserve">מפשטי המקראות עולה שגם </w:t>
      </w:r>
      <w:r>
        <w:rPr>
          <w:rFonts w:hint="cs"/>
          <w:rtl/>
        </w:rPr>
        <w:t>לח</w:t>
      </w:r>
      <w:r>
        <w:rPr>
          <w:rFonts w:hint="cs"/>
          <w:rtl/>
        </w:rPr>
        <w:t>ם הפנים היה</w:t>
      </w:r>
      <w:r>
        <w:rPr>
          <w:rFonts w:hint="cs"/>
          <w:rtl/>
        </w:rPr>
        <w:t xml:space="preserve"> חמץ (בשונה ממסורת חז"ל </w:t>
      </w:r>
      <w:r>
        <w:rPr>
          <w:rFonts w:hint="cs"/>
          <w:rtl/>
        </w:rPr>
        <w:t xml:space="preserve">[ויוספוס ופילון] </w:t>
      </w:r>
      <w:r>
        <w:rPr>
          <w:rFonts w:hint="cs"/>
          <w:rtl/>
        </w:rPr>
        <w:t>ש</w:t>
      </w:r>
      <w:r>
        <w:rPr>
          <w:rFonts w:hint="cs"/>
          <w:rtl/>
        </w:rPr>
        <w:t>טוענים ש</w:t>
      </w:r>
      <w:r>
        <w:rPr>
          <w:rFonts w:hint="cs"/>
          <w:rtl/>
        </w:rPr>
        <w:t xml:space="preserve">יש להביאם מצה), ומאחר </w:t>
      </w:r>
      <w:r w:rsidRPr="00191E0E">
        <w:rPr>
          <w:rFonts w:hint="cs"/>
          <w:rtl/>
        </w:rPr>
        <w:t>שמנחת חמץ אינה עולה על המזבח</w:t>
      </w:r>
      <w:r>
        <w:rPr>
          <w:rFonts w:hint="cs"/>
          <w:rtl/>
        </w:rPr>
        <w:t xml:space="preserve"> </w:t>
      </w:r>
      <w:r>
        <w:rPr>
          <w:rFonts w:cs="David"/>
          <w:rtl/>
        </w:rPr>
        <w:t>–</w:t>
      </w:r>
      <w:r>
        <w:rPr>
          <w:rFonts w:hint="cs"/>
          <w:rtl/>
        </w:rPr>
        <w:t xml:space="preserve"> לחמים אלו ניתנו לכוהנים. מילגרום הציע שחז"ל הכריעו שלחם הפנים הוא חמץ במעין קל וחומר: אם במזבח החיצון אסור להקריב חמץ, בוודאי שעל השולח</w:t>
      </w:r>
      <w:r>
        <w:rPr>
          <w:rFonts w:hint="cs"/>
          <w:rtl/>
        </w:rPr>
        <w:t>ן</w:t>
      </w:r>
      <w:r>
        <w:rPr>
          <w:rFonts w:hint="cs"/>
          <w:rtl/>
        </w:rPr>
        <w:t xml:space="preserve"> שב</w:t>
      </w:r>
      <w:r>
        <w:rPr>
          <w:rFonts w:hint="cs"/>
          <w:rtl/>
        </w:rPr>
        <w:t xml:space="preserve">תוך המשכן </w:t>
      </w:r>
      <w:r>
        <w:rPr>
          <w:rFonts w:hint="cs"/>
          <w:rtl/>
        </w:rPr>
        <w:t>יהיה אסור להניח חמץ (מילגרום, ויקרא, חלק ג, עמ' 2096). אולם ייתכן שדווקא המזבח מנוע מלקבל חמץ, וכל עוד הלחמים מונחים על שולחן ולא מוקטרים לגבוה אין בכך בעיה.</w:t>
      </w:r>
    </w:p>
  </w:footnote>
  <w:footnote w:id="5">
    <w:p w14:paraId="6980CC0C" w14:textId="36B5DC77" w:rsidR="00E10606" w:rsidRPr="00FA628D" w:rsidRDefault="00E10606" w:rsidP="00FA628D">
      <w:pPr>
        <w:pStyle w:val="a3"/>
        <w:rPr>
          <w:rtl/>
        </w:rPr>
      </w:pPr>
      <w:r w:rsidRPr="00FA628D">
        <w:rPr>
          <w:rStyle w:val="a5"/>
          <w:rFonts w:eastAsia="Narkisim"/>
          <w:rtl/>
        </w:rPr>
        <w:footnoteRef/>
      </w:r>
      <w:r w:rsidRPr="00FA628D">
        <w:t xml:space="preserve"> </w:t>
      </w:r>
      <w:r w:rsidR="007B0635" w:rsidRPr="00FA628D">
        <w:tab/>
      </w:r>
      <w:r w:rsidRPr="00FA628D">
        <w:rPr>
          <w:rFonts w:hint="cs"/>
          <w:rtl/>
        </w:rPr>
        <w:t>והשוו לדבריו בשו"ת רש"י, סימן רנא.</w:t>
      </w:r>
    </w:p>
  </w:footnote>
  <w:footnote w:id="6">
    <w:p w14:paraId="0D20D23D" w14:textId="66A0B23C" w:rsidR="00E10606" w:rsidRPr="00FA628D" w:rsidRDefault="00E10606" w:rsidP="00A53716">
      <w:pPr>
        <w:pStyle w:val="a3"/>
        <w:rPr>
          <w:rtl/>
        </w:rPr>
      </w:pPr>
      <w:r w:rsidRPr="00FA628D">
        <w:rPr>
          <w:rStyle w:val="a5"/>
          <w:rFonts w:eastAsia="Narkisim"/>
        </w:rPr>
        <w:footnoteRef/>
      </w:r>
      <w:r w:rsidRPr="00FA628D">
        <w:rPr>
          <w:rFonts w:hint="cs"/>
          <w:rtl/>
        </w:rPr>
        <w:t xml:space="preserve"> </w:t>
      </w:r>
      <w:r w:rsidR="007B0635" w:rsidRPr="00FA628D">
        <w:rPr>
          <w:rtl/>
        </w:rPr>
        <w:tab/>
      </w:r>
      <w:r w:rsidRPr="00FA628D">
        <w:rPr>
          <w:rFonts w:hint="cs"/>
          <w:rtl/>
        </w:rPr>
        <w:t xml:space="preserve">כך עולה גם מתוך דברי רבינו תם, המצוטט בתוספות על מסכת גיטין </w:t>
      </w:r>
      <w:r w:rsidR="00A53716" w:rsidRPr="00A53716">
        <w:rPr>
          <w:rFonts w:hint="cs"/>
          <w:sz w:val="16"/>
          <w:szCs w:val="16"/>
          <w:rtl/>
        </w:rPr>
        <w:t>(</w:t>
      </w:r>
      <w:r w:rsidRPr="00A53716">
        <w:rPr>
          <w:rFonts w:hint="cs"/>
          <w:sz w:val="16"/>
          <w:szCs w:val="16"/>
          <w:rtl/>
        </w:rPr>
        <w:t>דף צ' ע"א, ד"ה כי משמש בד' לשונות</w:t>
      </w:r>
      <w:r w:rsidR="00A53716" w:rsidRPr="00A53716">
        <w:rPr>
          <w:rFonts w:hint="cs"/>
          <w:sz w:val="16"/>
          <w:szCs w:val="16"/>
          <w:rtl/>
        </w:rPr>
        <w:t>)</w:t>
      </w:r>
      <w:r w:rsidRPr="00FA628D">
        <w:rPr>
          <w:rFonts w:hint="cs"/>
          <w:rtl/>
        </w:rPr>
        <w:t>: "ונראה לר"ת דבחנם דחק דהרבה אם משמשים בלשון זה כגון '</w:t>
      </w:r>
      <w:r w:rsidRPr="004B0420">
        <w:rPr>
          <w:rFonts w:hint="cs"/>
          <w:b/>
          <w:bCs/>
          <w:rtl/>
        </w:rPr>
        <w:t>אם תקריב מנחת ביכורים</w:t>
      </w:r>
      <w:r w:rsidRPr="00FA628D">
        <w:rPr>
          <w:rFonts w:hint="cs"/>
          <w:rtl/>
        </w:rPr>
        <w:t xml:space="preserve">', 'אם כסף תלוה', 'עד אם כלו לשתות', 'אם יהיה היובל לבני ישראל', כולם הם לשון ודאי". וכן עולה מדברי רבנו ירוחם, תולדות אדם, נתיב ה' חלק ד' </w:t>
      </w:r>
      <w:r w:rsidRPr="00A53716">
        <w:rPr>
          <w:rFonts w:hint="cs"/>
          <w:sz w:val="16"/>
          <w:szCs w:val="16"/>
          <w:rtl/>
        </w:rPr>
        <w:t>(דף מ"ד)</w:t>
      </w:r>
      <w:r w:rsidRPr="00FA628D">
        <w:rPr>
          <w:rFonts w:hint="cs"/>
          <w:rtl/>
        </w:rPr>
        <w:t>: "ו'אם' זה, אינו אלא חובה, כמו: 'אם כסף תלוה', 'אם יהיה היובל', 'אם מזבח אבנים'".</w:t>
      </w:r>
    </w:p>
  </w:footnote>
  <w:footnote w:id="7">
    <w:p w14:paraId="3F2E1486" w14:textId="3DE2998A" w:rsidR="00E10606" w:rsidRPr="00FA628D" w:rsidRDefault="00E10606" w:rsidP="00C00364">
      <w:pPr>
        <w:pStyle w:val="a3"/>
        <w:rPr>
          <w:rtl/>
        </w:rPr>
      </w:pPr>
      <w:r w:rsidRPr="00FA628D">
        <w:rPr>
          <w:rStyle w:val="a5"/>
          <w:rFonts w:eastAsia="Narkisim"/>
          <w:rtl/>
        </w:rPr>
        <w:footnoteRef/>
      </w:r>
      <w:r w:rsidRPr="00FA628D">
        <w:rPr>
          <w:rtl/>
        </w:rPr>
        <w:t xml:space="preserve"> </w:t>
      </w:r>
      <w:r w:rsidR="007B0635" w:rsidRPr="00FA628D">
        <w:rPr>
          <w:rtl/>
        </w:rPr>
        <w:tab/>
      </w:r>
      <w:r w:rsidRPr="00FA628D">
        <w:rPr>
          <w:rFonts w:hint="cs"/>
          <w:rtl/>
        </w:rPr>
        <w:t xml:space="preserve">רבים מן החוקרים </w:t>
      </w:r>
      <w:r w:rsidR="00C00364">
        <w:rPr>
          <w:rFonts w:hint="cs"/>
          <w:rtl/>
        </w:rPr>
        <w:t xml:space="preserve">אכן </w:t>
      </w:r>
      <w:r w:rsidRPr="00FA628D">
        <w:rPr>
          <w:rFonts w:hint="cs"/>
          <w:rtl/>
        </w:rPr>
        <w:t xml:space="preserve">סבורים שמסקנת ויקרא כ"ג היא שיש להניף </w:t>
      </w:r>
      <w:r w:rsidRPr="00FA628D">
        <w:rPr>
          <w:rtl/>
        </w:rPr>
        <w:t>את העומר ולא להקטיר על גבי המזבח</w:t>
      </w:r>
      <w:r w:rsidRPr="00FA628D">
        <w:rPr>
          <w:rFonts w:hint="cs"/>
          <w:rtl/>
        </w:rPr>
        <w:t>, כדברי מיכאל קוכמן למשל: "</w:t>
      </w:r>
      <w:r w:rsidRPr="00FA628D">
        <w:rPr>
          <w:rtl/>
        </w:rPr>
        <w:t>העומר בפרקנו מונף בטקס סמלי בלבד"</w:t>
      </w:r>
      <w:r w:rsidRPr="00FA628D">
        <w:rPr>
          <w:rFonts w:hint="cs"/>
          <w:rtl/>
        </w:rPr>
        <w:t xml:space="preserve"> </w:t>
      </w:r>
      <w:r w:rsidRPr="00FA628D">
        <w:rPr>
          <w:rFonts w:hint="cs"/>
          <w:sz w:val="16"/>
          <w:szCs w:val="16"/>
          <w:rtl/>
        </w:rPr>
        <w:t>(קוכמן, ויקרא, עולם התנ"ך, עמ' 163)</w:t>
      </w:r>
      <w:r w:rsidRPr="00FA628D">
        <w:rPr>
          <w:rFonts w:hint="cs"/>
          <w:rtl/>
        </w:rPr>
        <w:t>.</w:t>
      </w:r>
    </w:p>
  </w:footnote>
  <w:footnote w:id="8">
    <w:p w14:paraId="65D63284" w14:textId="045F5A46"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Fonts w:hint="cs"/>
          <w:rtl/>
        </w:rPr>
        <w:t xml:space="preserve">כך פירש גם שד"ל, וזו דרך המלך גם בפרשנות המודרנית. </w:t>
      </w:r>
      <w:r w:rsidRPr="00FA628D">
        <w:t xml:space="preserve"> </w:t>
      </w:r>
      <w:r w:rsidRPr="00FA628D">
        <w:tab/>
      </w:r>
      <w:r w:rsidRPr="00FA628D">
        <w:rPr>
          <w:rtl/>
        </w:rPr>
        <w:t xml:space="preserve"> </w:t>
      </w:r>
    </w:p>
  </w:footnote>
  <w:footnote w:id="9">
    <w:p w14:paraId="655CE9FC" w14:textId="77BC9FF9" w:rsidR="00E10606" w:rsidRPr="00FA628D" w:rsidRDefault="00E10606" w:rsidP="00C00364">
      <w:pPr>
        <w:pStyle w:val="a3"/>
        <w:rPr>
          <w:rtl/>
        </w:rPr>
      </w:pPr>
      <w:r w:rsidRPr="00FA628D">
        <w:rPr>
          <w:rStyle w:val="a5"/>
          <w:rFonts w:eastAsia="Narkisim"/>
        </w:rPr>
        <w:footnoteRef/>
      </w:r>
      <w:r w:rsidRPr="00FA628D">
        <w:rPr>
          <w:rtl/>
        </w:rPr>
        <w:t xml:space="preserve"> </w:t>
      </w:r>
      <w:r w:rsidR="007B0635" w:rsidRPr="00FA628D">
        <w:rPr>
          <w:rtl/>
        </w:rPr>
        <w:tab/>
      </w:r>
      <w:r w:rsidRPr="00FA628D">
        <w:rPr>
          <w:rFonts w:hint="cs"/>
          <w:rtl/>
        </w:rPr>
        <w:t>ליכט אף הציע שהעומר רק מונף</w:t>
      </w:r>
      <w:r w:rsidR="00C00364">
        <w:rPr>
          <w:rFonts w:hint="cs"/>
          <w:rtl/>
        </w:rPr>
        <w:t>,</w:t>
      </w:r>
      <w:r w:rsidRPr="00FA628D">
        <w:rPr>
          <w:rFonts w:hint="cs"/>
          <w:rtl/>
        </w:rPr>
        <w:t xml:space="preserve"> </w:t>
      </w:r>
      <w:r w:rsidR="00C00364">
        <w:rPr>
          <w:rFonts w:hint="cs"/>
          <w:rtl/>
        </w:rPr>
        <w:t xml:space="preserve">אך </w:t>
      </w:r>
      <w:r w:rsidRPr="00FA628D">
        <w:rPr>
          <w:rFonts w:hint="cs"/>
          <w:rtl/>
        </w:rPr>
        <w:t xml:space="preserve">חוזר לידי הבעלים לאחר הנפתו ואינו עובר כלל לרשות גבוה </w:t>
      </w:r>
      <w:r w:rsidRPr="00FA628D">
        <w:rPr>
          <w:rFonts w:hint="cs"/>
          <w:sz w:val="16"/>
          <w:szCs w:val="16"/>
          <w:rtl/>
        </w:rPr>
        <w:t>(י</w:t>
      </w:r>
      <w:r w:rsidRPr="00FA628D">
        <w:rPr>
          <w:sz w:val="16"/>
          <w:szCs w:val="16"/>
          <w:rtl/>
        </w:rPr>
        <w:t>"</w:t>
      </w:r>
      <w:r w:rsidRPr="00FA628D">
        <w:rPr>
          <w:rFonts w:hint="cs"/>
          <w:sz w:val="16"/>
          <w:szCs w:val="16"/>
          <w:rtl/>
        </w:rPr>
        <w:t>ש</w:t>
      </w:r>
      <w:r w:rsidRPr="00FA628D">
        <w:rPr>
          <w:sz w:val="16"/>
          <w:szCs w:val="16"/>
          <w:rtl/>
        </w:rPr>
        <w:t xml:space="preserve"> </w:t>
      </w:r>
      <w:r w:rsidRPr="00FA628D">
        <w:rPr>
          <w:rFonts w:hint="cs"/>
          <w:sz w:val="16"/>
          <w:szCs w:val="16"/>
          <w:rtl/>
        </w:rPr>
        <w:t>ליכט</w:t>
      </w:r>
      <w:r w:rsidRPr="00FA628D">
        <w:rPr>
          <w:sz w:val="16"/>
          <w:szCs w:val="16"/>
          <w:rtl/>
        </w:rPr>
        <w:t xml:space="preserve">, </w:t>
      </w:r>
      <w:r w:rsidRPr="004B0420">
        <w:rPr>
          <w:rFonts w:hint="cs"/>
          <w:b/>
          <w:bCs/>
          <w:sz w:val="16"/>
          <w:szCs w:val="16"/>
          <w:rtl/>
        </w:rPr>
        <w:t>מועדי</w:t>
      </w:r>
      <w:r w:rsidRPr="004B0420">
        <w:rPr>
          <w:b/>
          <w:bCs/>
          <w:sz w:val="16"/>
          <w:szCs w:val="16"/>
          <w:rtl/>
        </w:rPr>
        <w:t xml:space="preserve"> </w:t>
      </w:r>
      <w:r w:rsidRPr="004B0420">
        <w:rPr>
          <w:rFonts w:hint="cs"/>
          <w:b/>
          <w:bCs/>
          <w:sz w:val="16"/>
          <w:szCs w:val="16"/>
          <w:rtl/>
        </w:rPr>
        <w:t>ישראל</w:t>
      </w:r>
      <w:r w:rsidRPr="004B0420">
        <w:rPr>
          <w:b/>
          <w:bCs/>
          <w:sz w:val="16"/>
          <w:szCs w:val="16"/>
          <w:rtl/>
        </w:rPr>
        <w:t xml:space="preserve"> </w:t>
      </w:r>
      <w:r w:rsidRPr="004B0420">
        <w:rPr>
          <w:rFonts w:hint="cs"/>
          <w:b/>
          <w:bCs/>
          <w:sz w:val="16"/>
          <w:szCs w:val="16"/>
          <w:rtl/>
        </w:rPr>
        <w:t>זמנים</w:t>
      </w:r>
      <w:r w:rsidRPr="004B0420">
        <w:rPr>
          <w:b/>
          <w:bCs/>
          <w:sz w:val="16"/>
          <w:szCs w:val="16"/>
          <w:rtl/>
        </w:rPr>
        <w:t xml:space="preserve"> </w:t>
      </w:r>
      <w:r w:rsidRPr="004B0420">
        <w:rPr>
          <w:rFonts w:hint="cs"/>
          <w:b/>
          <w:bCs/>
          <w:sz w:val="16"/>
          <w:szCs w:val="16"/>
          <w:rtl/>
        </w:rPr>
        <w:t>ומועדים</w:t>
      </w:r>
      <w:r w:rsidRPr="004B0420">
        <w:rPr>
          <w:b/>
          <w:bCs/>
          <w:sz w:val="16"/>
          <w:szCs w:val="16"/>
          <w:rtl/>
        </w:rPr>
        <w:t xml:space="preserve"> </w:t>
      </w:r>
      <w:r w:rsidRPr="004B0420">
        <w:rPr>
          <w:rFonts w:hint="cs"/>
          <w:b/>
          <w:bCs/>
          <w:sz w:val="16"/>
          <w:szCs w:val="16"/>
          <w:rtl/>
        </w:rPr>
        <w:t>בתקופת</w:t>
      </w:r>
      <w:r w:rsidRPr="004B0420">
        <w:rPr>
          <w:b/>
          <w:bCs/>
          <w:sz w:val="16"/>
          <w:szCs w:val="16"/>
          <w:rtl/>
        </w:rPr>
        <w:t xml:space="preserve"> </w:t>
      </w:r>
      <w:r w:rsidRPr="004B0420">
        <w:rPr>
          <w:rFonts w:hint="cs"/>
          <w:b/>
          <w:bCs/>
          <w:sz w:val="16"/>
          <w:szCs w:val="16"/>
          <w:rtl/>
        </w:rPr>
        <w:t>המקרא</w:t>
      </w:r>
      <w:r w:rsidRPr="004B0420">
        <w:rPr>
          <w:b/>
          <w:bCs/>
          <w:sz w:val="16"/>
          <w:szCs w:val="16"/>
          <w:rtl/>
        </w:rPr>
        <w:t xml:space="preserve"> </w:t>
      </w:r>
      <w:r w:rsidRPr="004B0420">
        <w:rPr>
          <w:rFonts w:hint="cs"/>
          <w:b/>
          <w:bCs/>
          <w:sz w:val="16"/>
          <w:szCs w:val="16"/>
          <w:rtl/>
        </w:rPr>
        <w:t>ובימי</w:t>
      </w:r>
      <w:r w:rsidRPr="004B0420">
        <w:rPr>
          <w:b/>
          <w:bCs/>
          <w:sz w:val="16"/>
          <w:szCs w:val="16"/>
          <w:rtl/>
        </w:rPr>
        <w:t xml:space="preserve"> </w:t>
      </w:r>
      <w:r w:rsidRPr="004B0420">
        <w:rPr>
          <w:rFonts w:hint="cs"/>
          <w:b/>
          <w:bCs/>
          <w:sz w:val="16"/>
          <w:szCs w:val="16"/>
          <w:rtl/>
        </w:rPr>
        <w:t>הבית</w:t>
      </w:r>
      <w:r w:rsidRPr="004B0420">
        <w:rPr>
          <w:b/>
          <w:bCs/>
          <w:sz w:val="16"/>
          <w:szCs w:val="16"/>
          <w:rtl/>
        </w:rPr>
        <w:t xml:space="preserve"> </w:t>
      </w:r>
      <w:r w:rsidRPr="004B0420">
        <w:rPr>
          <w:rFonts w:hint="cs"/>
          <w:b/>
          <w:bCs/>
          <w:sz w:val="16"/>
          <w:szCs w:val="16"/>
          <w:rtl/>
        </w:rPr>
        <w:t>השני</w:t>
      </w:r>
      <w:r w:rsidRPr="00FA628D">
        <w:rPr>
          <w:sz w:val="16"/>
          <w:szCs w:val="16"/>
          <w:rtl/>
        </w:rPr>
        <w:t xml:space="preserve">, </w:t>
      </w:r>
      <w:r w:rsidRPr="00FA628D">
        <w:rPr>
          <w:rFonts w:hint="cs"/>
          <w:sz w:val="16"/>
          <w:szCs w:val="16"/>
          <w:rtl/>
        </w:rPr>
        <w:t>ירושלים</w:t>
      </w:r>
      <w:r w:rsidRPr="00FA628D">
        <w:rPr>
          <w:sz w:val="16"/>
          <w:szCs w:val="16"/>
          <w:rtl/>
        </w:rPr>
        <w:t xml:space="preserve"> </w:t>
      </w:r>
      <w:r w:rsidRPr="00FA628D">
        <w:rPr>
          <w:rFonts w:hint="cs"/>
          <w:sz w:val="16"/>
          <w:szCs w:val="16"/>
          <w:rtl/>
        </w:rPr>
        <w:t>תשמ</w:t>
      </w:r>
      <w:r w:rsidRPr="00FA628D">
        <w:rPr>
          <w:sz w:val="16"/>
          <w:szCs w:val="16"/>
          <w:rtl/>
        </w:rPr>
        <w:t>"</w:t>
      </w:r>
      <w:r w:rsidRPr="00FA628D">
        <w:rPr>
          <w:rFonts w:hint="cs"/>
          <w:sz w:val="16"/>
          <w:szCs w:val="16"/>
          <w:rtl/>
        </w:rPr>
        <w:t>ח</w:t>
      </w:r>
      <w:r w:rsidRPr="00FA628D">
        <w:rPr>
          <w:sz w:val="16"/>
          <w:szCs w:val="16"/>
          <w:rtl/>
        </w:rPr>
        <w:t xml:space="preserve">, </w:t>
      </w:r>
      <w:r w:rsidRPr="00FA628D">
        <w:rPr>
          <w:rFonts w:hint="cs"/>
          <w:sz w:val="16"/>
          <w:szCs w:val="16"/>
          <w:rtl/>
        </w:rPr>
        <w:t>עמ</w:t>
      </w:r>
      <w:r w:rsidRPr="00FA628D">
        <w:rPr>
          <w:sz w:val="16"/>
          <w:szCs w:val="16"/>
          <w:rtl/>
        </w:rPr>
        <w:t>' 156</w:t>
      </w:r>
      <w:r w:rsidRPr="00FA628D">
        <w:rPr>
          <w:rFonts w:hint="cs"/>
          <w:sz w:val="16"/>
          <w:szCs w:val="16"/>
          <w:rtl/>
        </w:rPr>
        <w:t>)</w:t>
      </w:r>
      <w:r w:rsidRPr="00FA628D">
        <w:rPr>
          <w:rFonts w:hint="cs"/>
          <w:rtl/>
        </w:rPr>
        <w:t>.</w:t>
      </w:r>
    </w:p>
  </w:footnote>
  <w:footnote w:id="10">
    <w:p w14:paraId="3889684D" w14:textId="202D827E" w:rsidR="00E10606" w:rsidRPr="00FA628D" w:rsidRDefault="00E10606" w:rsidP="00FA628D">
      <w:pPr>
        <w:pStyle w:val="a3"/>
        <w:rPr>
          <w:rtl/>
        </w:rPr>
      </w:pPr>
      <w:r w:rsidRPr="00FA628D">
        <w:rPr>
          <w:rStyle w:val="a5"/>
          <w:rFonts w:eastAsia="Narkisim"/>
        </w:rPr>
        <w:footnoteRef/>
      </w:r>
      <w:r w:rsidRPr="00FA628D">
        <w:rPr>
          <w:rFonts w:hint="cs"/>
          <w:rtl/>
        </w:rPr>
        <w:t xml:space="preserve"> </w:t>
      </w:r>
      <w:r w:rsidR="007B0635" w:rsidRPr="00FA628D">
        <w:rPr>
          <w:rtl/>
        </w:rPr>
        <w:tab/>
      </w:r>
      <w:r w:rsidRPr="00FA628D">
        <w:rPr>
          <w:rFonts w:hint="cs"/>
          <w:rtl/>
        </w:rPr>
        <w:t xml:space="preserve">הצעת רמב"ן נראית כאן אפשרית יותר. עקרונית הוא מאמץ את עמדת חז"ל שלפנינו קורבן חובה, אך הוא חולק על רש"י ולא רואה את 'אם' במשמעות 'כאשר'. לדעתו, כל 'אם' בפרק פותח אופציית הקרבה שדיניה שונים מחברותיה. לפיכך </w:t>
      </w:r>
      <w:r w:rsidRPr="00FA628D">
        <w:rPr>
          <w:rtl/>
        </w:rPr>
        <w:t>–</w:t>
      </w:r>
      <w:r w:rsidRPr="00FA628D">
        <w:rPr>
          <w:rFonts w:hint="cs"/>
          <w:rtl/>
        </w:rPr>
        <w:t xml:space="preserve"> אם המדובר במנחת סולת </w:t>
      </w:r>
      <w:r w:rsidRPr="00FA628D">
        <w:rPr>
          <w:rtl/>
        </w:rPr>
        <w:t>–</w:t>
      </w:r>
      <w:r w:rsidRPr="00FA628D">
        <w:rPr>
          <w:rFonts w:hint="cs"/>
          <w:rtl/>
        </w:rPr>
        <w:t xml:space="preserve"> דיניה כך וכך; אם במנחת מחבת עסקינן </w:t>
      </w:r>
      <w:r w:rsidRPr="00FA628D">
        <w:rPr>
          <w:rtl/>
        </w:rPr>
        <w:t>–</w:t>
      </w:r>
      <w:r w:rsidRPr="00FA628D">
        <w:rPr>
          <w:rFonts w:hint="cs"/>
          <w:rtl/>
        </w:rPr>
        <w:t xml:space="preserve"> דיניה כך וכך; ואם מדובר במנחת ביכורים </w:t>
      </w:r>
      <w:r w:rsidRPr="00FA628D">
        <w:rPr>
          <w:rtl/>
        </w:rPr>
        <w:t>–</w:t>
      </w:r>
      <w:r w:rsidRPr="00FA628D">
        <w:rPr>
          <w:rFonts w:hint="cs"/>
          <w:rtl/>
        </w:rPr>
        <w:t xml:space="preserve"> דיניה כך וכך. לפי זה אין להסיק מהפתיחה מאומה על אופי הנדבה או החובה של המנחה הנדונה.</w:t>
      </w:r>
    </w:p>
  </w:footnote>
  <w:footnote w:id="11">
    <w:p w14:paraId="0A732034" w14:textId="7F7DF41F" w:rsidR="00E10606" w:rsidRPr="00FA628D" w:rsidRDefault="00E10606" w:rsidP="00FA628D">
      <w:pPr>
        <w:pStyle w:val="a3"/>
        <w:rPr>
          <w:rtl/>
        </w:rPr>
      </w:pPr>
      <w:r w:rsidRPr="00FA628D">
        <w:rPr>
          <w:rStyle w:val="a5"/>
          <w:rFonts w:eastAsia="Narkisim"/>
        </w:rPr>
        <w:footnoteRef/>
      </w:r>
      <w:r w:rsidRPr="00FA628D">
        <w:rPr>
          <w:rtl/>
        </w:rPr>
        <w:t xml:space="preserve"> </w:t>
      </w:r>
      <w:r w:rsidR="007B0635" w:rsidRPr="00FA628D">
        <w:rPr>
          <w:rtl/>
        </w:rPr>
        <w:tab/>
      </w:r>
      <w:r w:rsidRPr="00FA628D">
        <w:rPr>
          <w:rFonts w:hint="cs"/>
          <w:rtl/>
        </w:rPr>
        <w:t xml:space="preserve">הרב ב' קהת, מנחת הביכורים וקורבן העומר", </w:t>
      </w:r>
      <w:r w:rsidRPr="00FA628D">
        <w:rPr>
          <w:rFonts w:hint="cs"/>
          <w:b/>
          <w:bCs/>
          <w:rtl/>
        </w:rPr>
        <w:t>מגדים</w:t>
      </w:r>
      <w:r w:rsidRPr="00FA628D">
        <w:rPr>
          <w:rFonts w:hint="cs"/>
          <w:rtl/>
        </w:rPr>
        <w:t xml:space="preserve"> נז (טרם הודפס), עמ' 4</w:t>
      </w:r>
      <w:r w:rsidRPr="00FA628D">
        <w:rPr>
          <w:rtl/>
        </w:rPr>
        <w:softHyphen/>
      </w:r>
      <w:r w:rsidRPr="00FA628D">
        <w:rPr>
          <w:rFonts w:hint="cs"/>
          <w:rtl/>
        </w:rPr>
        <w:t>-6:</w:t>
      </w:r>
    </w:p>
    <w:p w14:paraId="7DA71047" w14:textId="77777777" w:rsidR="00E10606" w:rsidRPr="00FA628D" w:rsidRDefault="00315888" w:rsidP="00FA628D">
      <w:pPr>
        <w:pStyle w:val="a3"/>
      </w:pPr>
      <w:hyperlink r:id="rId1" w:history="1">
        <w:r w:rsidR="00E10606" w:rsidRPr="00FA628D">
          <w:rPr>
            <w:rStyle w:val="Hyperlink"/>
            <w:color w:val="auto"/>
            <w:u w:val="none"/>
          </w:rPr>
          <w:t>http://herzogpress.herzog.ac.il/UploadFiles/1_1345-162017_kehat.pdf</w:t>
        </w:r>
      </w:hyperlink>
    </w:p>
  </w:footnote>
  <w:footnote w:id="12">
    <w:p w14:paraId="0D286623" w14:textId="57D41D89"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דיון בפני עצמו זוקק קורבן החטאת הבא על חטא העדה כולה. אין זה קורבן ציבור במובן הרגיל של המונח, ועל כן אין הוא סותר את הכלל המוזכר.</w:t>
      </w:r>
    </w:p>
  </w:footnote>
  <w:footnote w:id="13">
    <w:p w14:paraId="61E30762" w14:textId="50408FA9"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Fonts w:hint="cs"/>
          <w:rtl/>
        </w:rPr>
        <w:t xml:space="preserve">רד"צ </w:t>
      </w:r>
      <w:r w:rsidRPr="00FA628D">
        <w:rPr>
          <w:rtl/>
        </w:rPr>
        <w:t>הופמן</w:t>
      </w:r>
      <w:r w:rsidRPr="00FA628D">
        <w:rPr>
          <w:rFonts w:hint="cs"/>
          <w:rtl/>
        </w:rPr>
        <w:t xml:space="preserve">, </w:t>
      </w:r>
      <w:r w:rsidRPr="00FA628D">
        <w:rPr>
          <w:rtl/>
        </w:rPr>
        <w:t xml:space="preserve">ויקרא, </w:t>
      </w:r>
      <w:r w:rsidRPr="00FA628D">
        <w:rPr>
          <w:rFonts w:hint="cs"/>
          <w:rtl/>
        </w:rPr>
        <w:t xml:space="preserve">כרך א, </w:t>
      </w:r>
      <w:r w:rsidRPr="00FA628D">
        <w:rPr>
          <w:rtl/>
        </w:rPr>
        <w:t>עמ' קיג.</w:t>
      </w:r>
    </w:p>
  </w:footnote>
  <w:footnote w:id="14">
    <w:p w14:paraId="5D9F1D0E" w14:textId="048E7BD2" w:rsidR="00E10606" w:rsidRPr="00FA628D" w:rsidRDefault="00E10606" w:rsidP="00A7069D">
      <w:pPr>
        <w:pStyle w:val="a3"/>
      </w:pPr>
      <w:r w:rsidRPr="00FA628D">
        <w:rPr>
          <w:rStyle w:val="a5"/>
          <w:rFonts w:eastAsia="Narkisim"/>
        </w:rPr>
        <w:footnoteRef/>
      </w:r>
      <w:r w:rsidRPr="00FA628D">
        <w:rPr>
          <w:rtl/>
        </w:rPr>
        <w:t xml:space="preserve"> </w:t>
      </w:r>
      <w:r w:rsidR="007B0635" w:rsidRPr="00FA628D">
        <w:rPr>
          <w:rtl/>
        </w:rPr>
        <w:tab/>
      </w:r>
      <w:r w:rsidRPr="00FA628D">
        <w:rPr>
          <w:rFonts w:hint="cs"/>
          <w:rtl/>
        </w:rPr>
        <w:t>ידי הספק לא יצאנו בראייה זו מפני שבק</w:t>
      </w:r>
      <w:r w:rsidR="00A7069D">
        <w:rPr>
          <w:rFonts w:hint="cs"/>
          <w:rtl/>
        </w:rPr>
        <w:t>ו</w:t>
      </w:r>
      <w:r w:rsidRPr="00FA628D">
        <w:rPr>
          <w:rFonts w:hint="cs"/>
          <w:rtl/>
        </w:rPr>
        <w:t>רבנות ציבור משולב הביטוי 'ריח ניחוח' גם בק</w:t>
      </w:r>
      <w:r w:rsidR="00A7069D">
        <w:rPr>
          <w:rFonts w:hint="cs"/>
          <w:rtl/>
        </w:rPr>
        <w:t>ו</w:t>
      </w:r>
      <w:r w:rsidRPr="00FA628D">
        <w:rPr>
          <w:rFonts w:hint="cs"/>
          <w:rtl/>
        </w:rPr>
        <w:t>רבנות חובה, ולפי חז"ל מנחת הביכורים היא גם חובה ציבורית כך שיכול היה הצירוף 'ריח ניחוח' לחזור כאן. אולי יש בדבר זה כדי לעודד את הפרשנות שתוצע למעלה, שאופי הק</w:t>
      </w:r>
      <w:r w:rsidR="00A7069D">
        <w:rPr>
          <w:rFonts w:hint="cs"/>
          <w:rtl/>
        </w:rPr>
        <w:t>ו</w:t>
      </w:r>
      <w:r w:rsidRPr="00FA628D">
        <w:rPr>
          <w:rFonts w:hint="cs"/>
          <w:rtl/>
        </w:rPr>
        <w:t>רבן נותר ק</w:t>
      </w:r>
      <w:r w:rsidR="00A7069D">
        <w:rPr>
          <w:rFonts w:hint="cs"/>
          <w:rtl/>
        </w:rPr>
        <w:t>ו</w:t>
      </w:r>
      <w:r w:rsidRPr="00FA628D">
        <w:rPr>
          <w:rFonts w:hint="cs"/>
          <w:rtl/>
        </w:rPr>
        <w:t>רבן יחיד למרות הפיכתו לחובה ציבורית.</w:t>
      </w:r>
    </w:p>
  </w:footnote>
  <w:footnote w:id="15">
    <w:p w14:paraId="3C2A95DA" w14:textId="1395B3BF" w:rsidR="00E10606" w:rsidRPr="00FA628D" w:rsidRDefault="00E10606" w:rsidP="00A7069D">
      <w:pPr>
        <w:pStyle w:val="a3"/>
        <w:rPr>
          <w:rtl/>
        </w:rPr>
      </w:pPr>
      <w:r w:rsidRPr="00FA628D">
        <w:rPr>
          <w:rStyle w:val="a5"/>
          <w:rFonts w:eastAsia="Narkisim"/>
        </w:rPr>
        <w:footnoteRef/>
      </w:r>
      <w:r w:rsidRPr="00FA628D">
        <w:rPr>
          <w:rFonts w:hint="cs"/>
          <w:rtl/>
        </w:rPr>
        <w:t xml:space="preserve"> </w:t>
      </w:r>
      <w:r w:rsidR="007B0635" w:rsidRPr="00FA628D">
        <w:rPr>
          <w:rtl/>
        </w:rPr>
        <w:tab/>
      </w:r>
      <w:r w:rsidRPr="00FA628D">
        <w:rPr>
          <w:rFonts w:hint="cs"/>
          <w:rtl/>
        </w:rPr>
        <w:t xml:space="preserve">בולה הציע שמנחה זו נאמרה כאן </w:t>
      </w:r>
      <w:r w:rsidRPr="00FA628D">
        <w:rPr>
          <w:rtl/>
        </w:rPr>
        <w:t>–</w:t>
      </w:r>
      <w:r w:rsidRPr="00FA628D">
        <w:rPr>
          <w:rFonts w:hint="cs"/>
          <w:rtl/>
        </w:rPr>
        <w:t xml:space="preserve"> "מחמת הדמיון שיש בדיניה לדיני מנחות הנדר והנדבה הנזכרות בפרשה"</w:t>
      </w:r>
      <w:r w:rsidR="00A7069D">
        <w:rPr>
          <w:rFonts w:hint="cs"/>
          <w:rtl/>
        </w:rPr>
        <w:t>.</w:t>
      </w:r>
      <w:r w:rsidRPr="00FA628D">
        <w:rPr>
          <w:rFonts w:hint="cs"/>
          <w:rtl/>
        </w:rPr>
        <w:t xml:space="preserve"> לכן, למרות שייכותה לפרק כ"ג</w:t>
      </w:r>
      <w:r w:rsidR="00A7069D">
        <w:rPr>
          <w:rFonts w:hint="cs"/>
          <w:rtl/>
        </w:rPr>
        <w:t>,</w:t>
      </w:r>
      <w:r w:rsidRPr="00FA628D">
        <w:rPr>
          <w:rFonts w:hint="cs"/>
          <w:rtl/>
        </w:rPr>
        <w:t xml:space="preserve"> היא נזכרה כבר בפ"ב </w:t>
      </w:r>
      <w:r w:rsidRPr="004B0420">
        <w:rPr>
          <w:rFonts w:hint="cs"/>
          <w:sz w:val="16"/>
          <w:szCs w:val="16"/>
          <w:rtl/>
        </w:rPr>
        <w:t xml:space="preserve">(בולה, ויקרא, </w:t>
      </w:r>
      <w:r w:rsidRPr="004B0420">
        <w:rPr>
          <w:rFonts w:hint="cs"/>
          <w:b/>
          <w:bCs/>
          <w:sz w:val="16"/>
          <w:szCs w:val="16"/>
          <w:rtl/>
        </w:rPr>
        <w:t>דעת מקרא</w:t>
      </w:r>
      <w:r w:rsidRPr="004B0420">
        <w:rPr>
          <w:rFonts w:hint="cs"/>
          <w:sz w:val="16"/>
          <w:szCs w:val="16"/>
          <w:rtl/>
        </w:rPr>
        <w:t>, עמ' מא)</w:t>
      </w:r>
      <w:r w:rsidRPr="00FA628D">
        <w:rPr>
          <w:rFonts w:hint="cs"/>
          <w:rtl/>
        </w:rPr>
        <w:t>. גם אם הסבר זה מניח את הדעת ביחס לעצם הופעת הציווי בפרק ב', הוא אינו מתרץ את שאלת סגנון הציווי, המעיד על עצמו שנושאו קורבן נדבה.</w:t>
      </w:r>
    </w:p>
  </w:footnote>
  <w:footnote w:id="16">
    <w:p w14:paraId="48C39806" w14:textId="7D0BBA45" w:rsidR="00E10606" w:rsidRPr="00FA628D" w:rsidRDefault="00E10606" w:rsidP="00C91B83">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 xml:space="preserve">מ' קוכמן, </w:t>
      </w:r>
      <w:r w:rsidRPr="004B0420">
        <w:rPr>
          <w:rFonts w:hint="cs"/>
          <w:b/>
          <w:bCs/>
          <w:rtl/>
        </w:rPr>
        <w:t>ויקרא</w:t>
      </w:r>
      <w:r w:rsidRPr="00FA628D">
        <w:rPr>
          <w:rFonts w:hint="cs"/>
          <w:rtl/>
        </w:rPr>
        <w:t xml:space="preserve">, </w:t>
      </w:r>
      <w:r w:rsidRPr="00FA628D">
        <w:rPr>
          <w:rtl/>
        </w:rPr>
        <w:t>עולם התנ"ך</w:t>
      </w:r>
      <w:r w:rsidRPr="00FA628D">
        <w:rPr>
          <w:rFonts w:hint="cs"/>
          <w:rtl/>
        </w:rPr>
        <w:t>,</w:t>
      </w:r>
      <w:r w:rsidRPr="00FA628D">
        <w:rPr>
          <w:rtl/>
        </w:rPr>
        <w:t xml:space="preserve"> עמ' 164. הוא מעדיף את הפירוש, הרואה במצווה זו חובה על כל יחיד ויחיד. </w:t>
      </w:r>
      <w:r w:rsidRPr="00FA628D">
        <w:rPr>
          <w:rFonts w:hint="cs"/>
          <w:rtl/>
        </w:rPr>
        <w:t xml:space="preserve">כפי שכבר הערתי, ניתן אף להציע </w:t>
      </w:r>
      <w:r w:rsidRPr="00FA628D">
        <w:rPr>
          <w:rtl/>
        </w:rPr>
        <w:t xml:space="preserve">שלא די בזה שהכתוב עוסק בחובת יחיד, אלא שלאחר ההנפה הנעשית על ידי הכהן במשכן, העומר </w:t>
      </w:r>
      <w:r w:rsidRPr="00FA628D">
        <w:rPr>
          <w:rFonts w:hint="cs"/>
          <w:rtl/>
        </w:rPr>
        <w:t>מ</w:t>
      </w:r>
      <w:r w:rsidRPr="00FA628D">
        <w:rPr>
          <w:rtl/>
        </w:rPr>
        <w:t>וחזר לבעליו</w:t>
      </w:r>
      <w:r w:rsidRPr="00FA628D">
        <w:rPr>
          <w:rFonts w:hint="cs"/>
          <w:rtl/>
        </w:rPr>
        <w:t xml:space="preserve">. </w:t>
      </w:r>
      <w:r w:rsidRPr="00FA628D">
        <w:rPr>
          <w:rtl/>
        </w:rPr>
        <w:t>ראוי לציין כי אף בפסוקים המקבילים בדברים ט"ז, ט-יב, ניתן להציע את שתי הקריאות.</w:t>
      </w:r>
    </w:p>
  </w:footnote>
  <w:footnote w:id="17">
    <w:p w14:paraId="12ABF121" w14:textId="62B77277"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 xml:space="preserve">ולכן, גם אם כופים אותו על כך, הוא מוכרח לומר: 'רוצה אני': "חייבי חטאות ואשמות אין ממשכנין אותן חייבי עולות ושלמים ממשכנין אותן, אף על פי שאין מתכפר לו עד שיתרצה שנאמר: 'לרצונו', כופין אותו עד שיאמר רוצה אני" </w:t>
      </w:r>
      <w:r w:rsidRPr="004B0420">
        <w:rPr>
          <w:sz w:val="16"/>
          <w:szCs w:val="16"/>
          <w:rtl/>
        </w:rPr>
        <w:t>(ערכין פ"ה מ"ו)</w:t>
      </w:r>
      <w:r w:rsidRPr="00FA628D">
        <w:rPr>
          <w:rtl/>
        </w:rPr>
        <w:t xml:space="preserve">. </w:t>
      </w:r>
    </w:p>
  </w:footnote>
  <w:footnote w:id="18">
    <w:p w14:paraId="694E3562" w14:textId="45F5E406" w:rsidR="00E10606" w:rsidRPr="00FA628D" w:rsidRDefault="00E10606" w:rsidP="001A160E">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 xml:space="preserve">גם המלבי"ם פרש כך </w:t>
      </w:r>
      <w:r w:rsidRPr="004B0420">
        <w:rPr>
          <w:sz w:val="16"/>
          <w:szCs w:val="16"/>
          <w:rtl/>
        </w:rPr>
        <w:t>(על א', ג)</w:t>
      </w:r>
      <w:r w:rsidRPr="00FA628D">
        <w:rPr>
          <w:rtl/>
        </w:rPr>
        <w:t xml:space="preserve"> ועוד. א</w:t>
      </w:r>
      <w:r w:rsidR="001A160E">
        <w:rPr>
          <w:rFonts w:hint="cs"/>
          <w:rtl/>
        </w:rPr>
        <w:t>ו</w:t>
      </w:r>
      <w:r w:rsidRPr="00FA628D">
        <w:rPr>
          <w:rtl/>
        </w:rPr>
        <w:t xml:space="preserve">מנם יש החולקים על הסבר זה. כבר אונקלוס מתרגם: "לרעוא ליה", כלומר שהאדם המקריב יזכה </w:t>
      </w:r>
      <w:r w:rsidR="001A160E">
        <w:rPr>
          <w:rFonts w:hint="cs"/>
          <w:rtl/>
        </w:rPr>
        <w:t>שה' יקבלו ברצון</w:t>
      </w:r>
      <w:r w:rsidRPr="00FA628D">
        <w:rPr>
          <w:rtl/>
        </w:rPr>
        <w:t>. לפי זה בעל הרצון המתואר בביטוי זה הוא ה', ולא האדם המקריב. בדרך זו הלכו רוב פרשני ימ</w:t>
      </w:r>
      <w:r w:rsidR="00C91B83">
        <w:rPr>
          <w:rFonts w:hint="cs"/>
          <w:rtl/>
        </w:rPr>
        <w:t>י הביניים</w:t>
      </w:r>
      <w:r w:rsidRPr="00FA628D">
        <w:rPr>
          <w:rtl/>
        </w:rPr>
        <w:t xml:space="preserve">, ואף בין המפרשים </w:t>
      </w:r>
      <w:r w:rsidRPr="00FA628D">
        <w:rPr>
          <w:rFonts w:hint="cs"/>
          <w:rtl/>
        </w:rPr>
        <w:t>המודרניים</w:t>
      </w:r>
      <w:r w:rsidRPr="00FA628D">
        <w:rPr>
          <w:rtl/>
        </w:rPr>
        <w:t xml:space="preserve"> יש שאימצו גישה זו. על מחלוקת זו רא</w:t>
      </w:r>
      <w:r w:rsidRPr="00FA628D">
        <w:rPr>
          <w:rFonts w:hint="cs"/>
          <w:rtl/>
        </w:rPr>
        <w:t>ו</w:t>
      </w:r>
      <w:r w:rsidRPr="00FA628D">
        <w:rPr>
          <w:rtl/>
        </w:rPr>
        <w:t xml:space="preserve"> אצל רד"צ הופמן, </w:t>
      </w:r>
      <w:r w:rsidRPr="00FA628D">
        <w:rPr>
          <w:rFonts w:hint="cs"/>
          <w:rtl/>
        </w:rPr>
        <w:t xml:space="preserve">ויקרא, </w:t>
      </w:r>
      <w:r w:rsidRPr="00FA628D">
        <w:rPr>
          <w:rtl/>
        </w:rPr>
        <w:t>עמ' פו-פז.</w:t>
      </w:r>
    </w:p>
  </w:footnote>
  <w:footnote w:id="19">
    <w:p w14:paraId="7862EBDB" w14:textId="2563EF68" w:rsidR="00E10606" w:rsidRPr="00FA628D" w:rsidRDefault="00E10606" w:rsidP="00C91B83">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ראב"ע במקום</w:t>
      </w:r>
      <w:r w:rsidR="00C91B83">
        <w:rPr>
          <w:rFonts w:hint="cs"/>
          <w:rtl/>
        </w:rPr>
        <w:t xml:space="preserve"> אכן</w:t>
      </w:r>
      <w:r w:rsidRPr="00FA628D">
        <w:rPr>
          <w:rtl/>
        </w:rPr>
        <w:t xml:space="preserve"> מוכיח מפסוק זה שיש להבין את משמעות "לרצנכם" </w:t>
      </w:r>
      <w:r w:rsidR="00C91B83">
        <w:rPr>
          <w:rtl/>
        </w:rPr>
        <w:t>–</w:t>
      </w:r>
      <w:r w:rsidRPr="00FA628D">
        <w:rPr>
          <w:rtl/>
        </w:rPr>
        <w:t xml:space="preserve"> "פירושו, להיות לכם לרצון" </w:t>
      </w:r>
      <w:r w:rsidRPr="004B0420">
        <w:rPr>
          <w:sz w:val="16"/>
          <w:szCs w:val="16"/>
          <w:rtl/>
        </w:rPr>
        <w:t>(</w:t>
      </w:r>
      <w:r w:rsidR="004B0420">
        <w:rPr>
          <w:rFonts w:hint="cs"/>
          <w:sz w:val="16"/>
          <w:szCs w:val="16"/>
          <w:rtl/>
        </w:rPr>
        <w:t xml:space="preserve">ראב"ע </w:t>
      </w:r>
      <w:r w:rsidRPr="004B0420">
        <w:rPr>
          <w:rFonts w:hint="cs"/>
          <w:sz w:val="16"/>
          <w:szCs w:val="16"/>
          <w:rtl/>
        </w:rPr>
        <w:t>ויקרא</w:t>
      </w:r>
      <w:r w:rsidRPr="004B0420">
        <w:rPr>
          <w:sz w:val="16"/>
          <w:szCs w:val="16"/>
          <w:rtl/>
        </w:rPr>
        <w:t xml:space="preserve"> כ"ג, יא)</w:t>
      </w:r>
      <w:r w:rsidRPr="00FA628D">
        <w:rPr>
          <w:rtl/>
        </w:rPr>
        <w:t>. כלומר, כאן לא ניתן לפרש שהקורבן בא ברצון המביאים, שהרי הוא חובה, וממילא אין ברירה אלא לפרש שהרצון הוא רצונו של ה'. לפי הצעתנו, גם כאן ניתן לפרש את הביטוי כמורה על רצון המקריב, וכדלהלן.</w:t>
      </w:r>
    </w:p>
  </w:footnote>
  <w:footnote w:id="20">
    <w:p w14:paraId="05FF290C" w14:textId="7FCADD6C"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ספרא, פר' יב</w:t>
      </w:r>
      <w:r w:rsidRPr="00FA628D">
        <w:rPr>
          <w:rFonts w:hint="cs"/>
          <w:rtl/>
        </w:rPr>
        <w:t>;</w:t>
      </w:r>
      <w:r w:rsidRPr="00FA628D">
        <w:rPr>
          <w:rtl/>
        </w:rPr>
        <w:t xml:space="preserve"> מנחות ס"ה ע"ב.</w:t>
      </w:r>
    </w:p>
  </w:footnote>
  <w:footnote w:id="21">
    <w:p w14:paraId="28D667D6" w14:textId="3AB5ED2F" w:rsidR="00E10606" w:rsidRPr="00FA628D" w:rsidRDefault="00E10606" w:rsidP="00944737">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ספרא בהר, פר' ב'</w:t>
      </w:r>
      <w:r w:rsidRPr="00FA628D">
        <w:rPr>
          <w:rFonts w:hint="cs"/>
          <w:rtl/>
        </w:rPr>
        <w:t xml:space="preserve">, וראו גם </w:t>
      </w:r>
      <w:r w:rsidRPr="00FA628D">
        <w:rPr>
          <w:rtl/>
        </w:rPr>
        <w:t xml:space="preserve">ברמב"ן על ויקרא כ"ג, טו, </w:t>
      </w:r>
      <w:r w:rsidR="00C91B83">
        <w:rPr>
          <w:rFonts w:hint="cs"/>
          <w:rtl/>
        </w:rPr>
        <w:t>ה</w:t>
      </w:r>
      <w:r w:rsidRPr="00FA628D">
        <w:rPr>
          <w:rtl/>
        </w:rPr>
        <w:t>מתלבט אם בית הדין צריכים לברך על ספירה זו. בהקשר זה, מעמת רמב"ן את ספירת העומר עם ספירה ציבורית זו מחד</w:t>
      </w:r>
      <w:r w:rsidRPr="00FA628D">
        <w:rPr>
          <w:rFonts w:hint="cs"/>
          <w:rtl/>
        </w:rPr>
        <w:t xml:space="preserve"> גיסא</w:t>
      </w:r>
      <w:r w:rsidRPr="00FA628D">
        <w:rPr>
          <w:rtl/>
        </w:rPr>
        <w:t>, ועם הספירות הפרטיות (זב וזבה) מאידך</w:t>
      </w:r>
      <w:r w:rsidRPr="00FA628D">
        <w:rPr>
          <w:rFonts w:hint="cs"/>
          <w:rtl/>
        </w:rPr>
        <w:t xml:space="preserve"> גיסא</w:t>
      </w:r>
      <w:r w:rsidRPr="00FA628D">
        <w:rPr>
          <w:rtl/>
        </w:rPr>
        <w:t xml:space="preserve">. </w:t>
      </w:r>
      <w:r w:rsidRPr="00FA628D">
        <w:rPr>
          <w:rFonts w:hint="cs"/>
          <w:rtl/>
        </w:rPr>
        <w:t xml:space="preserve">השוו </w:t>
      </w:r>
      <w:r w:rsidRPr="00FA628D">
        <w:rPr>
          <w:rtl/>
        </w:rPr>
        <w:t xml:space="preserve">גם </w:t>
      </w:r>
      <w:r w:rsidRPr="00FA628D">
        <w:rPr>
          <w:rFonts w:hint="cs"/>
          <w:rtl/>
        </w:rPr>
        <w:t>לדברי ה</w:t>
      </w:r>
      <w:r w:rsidRPr="00FA628D">
        <w:rPr>
          <w:rtl/>
        </w:rPr>
        <w:t xml:space="preserve">תוספות </w:t>
      </w:r>
      <w:r w:rsidR="00944737">
        <w:rPr>
          <w:rFonts w:hint="cs"/>
          <w:rtl/>
        </w:rPr>
        <w:t>(</w:t>
      </w:r>
      <w:r w:rsidRPr="00FA628D">
        <w:rPr>
          <w:rtl/>
        </w:rPr>
        <w:t>כתובות ע"ב ע"א, ד"ה</w:t>
      </w:r>
      <w:r w:rsidR="00944737">
        <w:rPr>
          <w:rFonts w:hint="cs"/>
          <w:rtl/>
        </w:rPr>
        <w:t xml:space="preserve"> </w:t>
      </w:r>
      <w:r w:rsidRPr="00FA628D">
        <w:rPr>
          <w:rtl/>
        </w:rPr>
        <w:t>וספרה</w:t>
      </w:r>
      <w:r w:rsidR="00944737">
        <w:rPr>
          <w:rFonts w:hint="cs"/>
          <w:rtl/>
        </w:rPr>
        <w:t>)</w:t>
      </w:r>
      <w:r w:rsidRPr="00FA628D">
        <w:rPr>
          <w:rtl/>
        </w:rPr>
        <w:t>, שהכריעו שבית הדין מברך על ספירת שנות השמיטה.</w:t>
      </w:r>
    </w:p>
  </w:footnote>
  <w:footnote w:id="22">
    <w:p w14:paraId="445A323E" w14:textId="475D201A"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 xml:space="preserve">השוו להוכחת ר' אליעזר לגבי זיהוי "ממחרת השבת" עם מחרת יו"ט: "הרי הוא אומר 'תספר לך' – ספירה התלויה בבית דין שהם יודעים לקדש י"ט, יצאת שבת בראשית שספירתה בכל אדם" </w:t>
      </w:r>
      <w:r w:rsidRPr="004B0420">
        <w:rPr>
          <w:sz w:val="16"/>
          <w:szCs w:val="16"/>
          <w:rtl/>
        </w:rPr>
        <w:t xml:space="preserve">(מנחות ס"ה ע"א. הציטוט על סמך תיקוני </w:t>
      </w:r>
      <w:r w:rsidRPr="004B0420">
        <w:rPr>
          <w:rFonts w:hint="cs"/>
          <w:sz w:val="16"/>
          <w:szCs w:val="16"/>
          <w:rtl/>
        </w:rPr>
        <w:t>גרסאות</w:t>
      </w:r>
      <w:r w:rsidRPr="004B0420">
        <w:rPr>
          <w:sz w:val="16"/>
          <w:szCs w:val="16"/>
          <w:rtl/>
        </w:rPr>
        <w:t>)</w:t>
      </w:r>
      <w:r w:rsidRPr="00FA628D">
        <w:rPr>
          <w:rtl/>
        </w:rPr>
        <w:t>. חוזר על הוכחה זו גם ר' יהודה בן בתירא, שם בהמשך הסוגיה.</w:t>
      </w:r>
    </w:p>
  </w:footnote>
  <w:footnote w:id="23">
    <w:p w14:paraId="53464286" w14:textId="7896AC4E" w:rsidR="00E10606" w:rsidRPr="00FA628D" w:rsidRDefault="00E10606" w:rsidP="00FA628D">
      <w:pPr>
        <w:pStyle w:val="a3"/>
        <w:rPr>
          <w:rtl/>
        </w:rPr>
      </w:pPr>
      <w:r w:rsidRPr="00FA628D">
        <w:rPr>
          <w:rStyle w:val="a5"/>
          <w:rFonts w:eastAsia="Narkisim"/>
        </w:rPr>
        <w:footnoteRef/>
      </w:r>
      <w:r w:rsidRPr="00FA628D">
        <w:rPr>
          <w:rtl/>
        </w:rPr>
        <w:t xml:space="preserve"> </w:t>
      </w:r>
      <w:r w:rsidR="007B0635" w:rsidRPr="00FA628D">
        <w:rPr>
          <w:rtl/>
        </w:rPr>
        <w:tab/>
      </w:r>
      <w:r w:rsidRPr="00FA628D">
        <w:rPr>
          <w:rFonts w:hint="cs"/>
          <w:rtl/>
        </w:rPr>
        <w:t>מו"ר הרב ליכטנשטיין זצ"ל הציע לראות בספירה שנעשית בבית הכנסת על ידי שליח הציבור קיום של רובד ציבורי שקיים גם הוא בספרית העומר. ראו עוד אצל הרב</w:t>
      </w:r>
      <w:r w:rsidRPr="00FA628D">
        <w:rPr>
          <w:rtl/>
        </w:rPr>
        <w:t xml:space="preserve"> </w:t>
      </w:r>
      <w:r w:rsidRPr="00FA628D">
        <w:rPr>
          <w:rFonts w:hint="cs"/>
          <w:rtl/>
        </w:rPr>
        <w:t>נתי</w:t>
      </w:r>
      <w:r w:rsidRPr="00FA628D">
        <w:rPr>
          <w:rtl/>
        </w:rPr>
        <w:t xml:space="preserve"> </w:t>
      </w:r>
      <w:r w:rsidRPr="00FA628D">
        <w:rPr>
          <w:rFonts w:hint="cs"/>
          <w:rtl/>
        </w:rPr>
        <w:t>הלפגוט</w:t>
      </w:r>
      <w:r w:rsidRPr="00FA628D">
        <w:rPr>
          <w:rtl/>
        </w:rPr>
        <w:t xml:space="preserve">, </w:t>
      </w:r>
      <w:r w:rsidRPr="004B0420">
        <w:rPr>
          <w:rFonts w:hint="cs"/>
          <w:b/>
          <w:bCs/>
          <w:rtl/>
        </w:rPr>
        <w:t>דברי</w:t>
      </w:r>
      <w:r w:rsidRPr="004B0420">
        <w:rPr>
          <w:b/>
          <w:bCs/>
          <w:rtl/>
        </w:rPr>
        <w:t xml:space="preserve"> </w:t>
      </w:r>
      <w:r w:rsidRPr="004B0420">
        <w:rPr>
          <w:rFonts w:hint="cs"/>
          <w:b/>
          <w:bCs/>
          <w:rtl/>
        </w:rPr>
        <w:t>ברכה</w:t>
      </w:r>
      <w:r w:rsidRPr="004B0420">
        <w:rPr>
          <w:b/>
          <w:bCs/>
          <w:rtl/>
        </w:rPr>
        <w:t xml:space="preserve"> </w:t>
      </w:r>
      <w:r w:rsidRPr="004B0420">
        <w:rPr>
          <w:rFonts w:hint="cs"/>
          <w:b/>
          <w:bCs/>
          <w:rtl/>
        </w:rPr>
        <w:t>ומועד</w:t>
      </w:r>
      <w:r w:rsidRPr="004B0420">
        <w:rPr>
          <w:b/>
          <w:bCs/>
          <w:rtl/>
        </w:rPr>
        <w:t xml:space="preserve">: </w:t>
      </w:r>
      <w:r w:rsidRPr="004B0420">
        <w:rPr>
          <w:rFonts w:hint="cs"/>
          <w:b/>
          <w:bCs/>
          <w:rtl/>
        </w:rPr>
        <w:t>עיונים</w:t>
      </w:r>
      <w:r w:rsidRPr="004B0420">
        <w:rPr>
          <w:b/>
          <w:bCs/>
          <w:rtl/>
        </w:rPr>
        <w:t xml:space="preserve"> </w:t>
      </w:r>
      <w:r w:rsidRPr="004B0420">
        <w:rPr>
          <w:rFonts w:hint="cs"/>
          <w:b/>
          <w:bCs/>
          <w:rtl/>
        </w:rPr>
        <w:t>בנושאי</w:t>
      </w:r>
      <w:r w:rsidRPr="004B0420">
        <w:rPr>
          <w:b/>
          <w:bCs/>
          <w:rtl/>
        </w:rPr>
        <w:t xml:space="preserve"> </w:t>
      </w:r>
      <w:r w:rsidRPr="004B0420">
        <w:rPr>
          <w:rFonts w:hint="cs"/>
          <w:b/>
          <w:bCs/>
          <w:rtl/>
        </w:rPr>
        <w:t>ברכות</w:t>
      </w:r>
      <w:r w:rsidRPr="004B0420">
        <w:rPr>
          <w:b/>
          <w:bCs/>
          <w:rtl/>
        </w:rPr>
        <w:t xml:space="preserve"> </w:t>
      </w:r>
      <w:r w:rsidRPr="004B0420">
        <w:rPr>
          <w:rFonts w:hint="cs"/>
          <w:b/>
          <w:bCs/>
          <w:rtl/>
        </w:rPr>
        <w:t>ומועדים</w:t>
      </w:r>
      <w:r w:rsidRPr="00FA628D">
        <w:rPr>
          <w:rtl/>
        </w:rPr>
        <w:t xml:space="preserve">, </w:t>
      </w:r>
      <w:r w:rsidRPr="00FA628D">
        <w:rPr>
          <w:rFonts w:hint="cs"/>
          <w:rtl/>
        </w:rPr>
        <w:t>אלון</w:t>
      </w:r>
      <w:r w:rsidRPr="00FA628D">
        <w:rPr>
          <w:rtl/>
        </w:rPr>
        <w:t xml:space="preserve"> </w:t>
      </w:r>
      <w:r w:rsidRPr="00FA628D">
        <w:rPr>
          <w:rFonts w:hint="cs"/>
          <w:rtl/>
        </w:rPr>
        <w:t>שבות</w:t>
      </w:r>
      <w:r w:rsidRPr="00FA628D">
        <w:rPr>
          <w:rtl/>
        </w:rPr>
        <w:t xml:space="preserve"> </w:t>
      </w:r>
      <w:r w:rsidRPr="00FA628D">
        <w:rPr>
          <w:rFonts w:hint="cs"/>
          <w:rtl/>
        </w:rPr>
        <w:t>תשס</w:t>
      </w:r>
      <w:r w:rsidRPr="00FA628D">
        <w:rPr>
          <w:rtl/>
        </w:rPr>
        <w:t>"</w:t>
      </w:r>
      <w:r w:rsidRPr="00FA628D">
        <w:rPr>
          <w:rFonts w:hint="cs"/>
          <w:rtl/>
        </w:rPr>
        <w:t>ב, עמ' 79</w:t>
      </w:r>
      <w:r w:rsidRPr="00FA628D">
        <w:rPr>
          <w:rtl/>
        </w:rPr>
        <w:softHyphen/>
      </w:r>
      <w:r w:rsidRPr="00FA628D">
        <w:rPr>
          <w:rFonts w:hint="cs"/>
          <w:rtl/>
        </w:rPr>
        <w:t>-86. הוא הציע לראות שני תפקידים לספירת העומר: ספירה שקושרת בין הנפת העומר לשתי הלחם (והיא המוטלת על כך יחיד) וספירה שיוצרת את קדושת חג השבועות (והיא המוטלת על הציבור). דבריו משתלבים היטב בטענה המובאת למעלה.</w:t>
      </w:r>
    </w:p>
  </w:footnote>
  <w:footnote w:id="24">
    <w:p w14:paraId="4972EBE4" w14:textId="0EB95FA3"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Fonts w:hint="cs"/>
          <w:rtl/>
        </w:rPr>
        <w:t xml:space="preserve">יצחק </w:t>
      </w:r>
      <w:r w:rsidRPr="00FA628D">
        <w:rPr>
          <w:rtl/>
        </w:rPr>
        <w:t xml:space="preserve">בער טען שדברי המשנה מתפרשים לאור דברי פילון האלכסנדרוני כ"אסיפה לאומית חגיגית לשם עבודה דתית" </w:t>
      </w:r>
      <w:r w:rsidRPr="00220D4A">
        <w:rPr>
          <w:sz w:val="16"/>
          <w:szCs w:val="16"/>
          <w:rtl/>
        </w:rPr>
        <w:t>(</w:t>
      </w:r>
      <w:r w:rsidRPr="00220D4A">
        <w:rPr>
          <w:rFonts w:hint="cs"/>
          <w:b/>
          <w:bCs/>
          <w:sz w:val="16"/>
          <w:szCs w:val="16"/>
          <w:rtl/>
        </w:rPr>
        <w:t>מחקרים</w:t>
      </w:r>
      <w:r w:rsidRPr="00220D4A">
        <w:rPr>
          <w:b/>
          <w:bCs/>
          <w:sz w:val="16"/>
          <w:szCs w:val="16"/>
          <w:rtl/>
        </w:rPr>
        <w:t xml:space="preserve"> </w:t>
      </w:r>
      <w:r w:rsidRPr="00220D4A">
        <w:rPr>
          <w:rFonts w:hint="cs"/>
          <w:b/>
          <w:bCs/>
          <w:sz w:val="16"/>
          <w:szCs w:val="16"/>
          <w:rtl/>
        </w:rPr>
        <w:t>ומסות</w:t>
      </w:r>
      <w:r w:rsidRPr="00220D4A">
        <w:rPr>
          <w:b/>
          <w:bCs/>
          <w:sz w:val="16"/>
          <w:szCs w:val="16"/>
          <w:rtl/>
        </w:rPr>
        <w:t xml:space="preserve"> </w:t>
      </w:r>
      <w:r w:rsidRPr="00220D4A">
        <w:rPr>
          <w:rFonts w:hint="cs"/>
          <w:b/>
          <w:bCs/>
          <w:sz w:val="16"/>
          <w:szCs w:val="16"/>
          <w:rtl/>
        </w:rPr>
        <w:t>בתולדות</w:t>
      </w:r>
      <w:r w:rsidRPr="00220D4A">
        <w:rPr>
          <w:b/>
          <w:bCs/>
          <w:sz w:val="16"/>
          <w:szCs w:val="16"/>
          <w:rtl/>
        </w:rPr>
        <w:t xml:space="preserve"> </w:t>
      </w:r>
      <w:r w:rsidRPr="00220D4A">
        <w:rPr>
          <w:rFonts w:hint="cs"/>
          <w:b/>
          <w:bCs/>
          <w:sz w:val="16"/>
          <w:szCs w:val="16"/>
          <w:rtl/>
        </w:rPr>
        <w:t>עם</w:t>
      </w:r>
      <w:r w:rsidRPr="00220D4A">
        <w:rPr>
          <w:b/>
          <w:bCs/>
          <w:sz w:val="16"/>
          <w:szCs w:val="16"/>
          <w:rtl/>
        </w:rPr>
        <w:t xml:space="preserve"> </w:t>
      </w:r>
      <w:r w:rsidRPr="00220D4A">
        <w:rPr>
          <w:rFonts w:hint="cs"/>
          <w:b/>
          <w:bCs/>
          <w:sz w:val="16"/>
          <w:szCs w:val="16"/>
          <w:rtl/>
        </w:rPr>
        <w:t>ישראל</w:t>
      </w:r>
      <w:r w:rsidRPr="00220D4A">
        <w:rPr>
          <w:sz w:val="16"/>
          <w:szCs w:val="16"/>
          <w:rtl/>
        </w:rPr>
        <w:t xml:space="preserve">, </w:t>
      </w:r>
      <w:r w:rsidRPr="00220D4A">
        <w:rPr>
          <w:rFonts w:hint="cs"/>
          <w:sz w:val="16"/>
          <w:szCs w:val="16"/>
          <w:rtl/>
        </w:rPr>
        <w:t>ירושלים</w:t>
      </w:r>
      <w:r w:rsidRPr="00220D4A">
        <w:rPr>
          <w:sz w:val="16"/>
          <w:szCs w:val="16"/>
          <w:rtl/>
        </w:rPr>
        <w:t xml:space="preserve"> </w:t>
      </w:r>
      <w:r w:rsidRPr="00220D4A">
        <w:rPr>
          <w:rFonts w:hint="cs"/>
          <w:sz w:val="16"/>
          <w:szCs w:val="16"/>
          <w:rtl/>
        </w:rPr>
        <w:t>תשמ</w:t>
      </w:r>
      <w:r w:rsidRPr="00220D4A">
        <w:rPr>
          <w:sz w:val="16"/>
          <w:szCs w:val="16"/>
          <w:rtl/>
        </w:rPr>
        <w:t>"</w:t>
      </w:r>
      <w:r w:rsidRPr="00220D4A">
        <w:rPr>
          <w:rFonts w:hint="cs"/>
          <w:sz w:val="16"/>
          <w:szCs w:val="16"/>
          <w:rtl/>
        </w:rPr>
        <w:t xml:space="preserve">ו, </w:t>
      </w:r>
      <w:r w:rsidRPr="00220D4A">
        <w:rPr>
          <w:sz w:val="16"/>
          <w:szCs w:val="16"/>
          <w:rtl/>
        </w:rPr>
        <w:t>עמ' 462-461)</w:t>
      </w:r>
      <w:r w:rsidRPr="00FA628D">
        <w:rPr>
          <w:rtl/>
        </w:rPr>
        <w:t xml:space="preserve">. בסיכום דבריו הוא אף אומר: "העבודה של קצירת העומר כפי שנתקיימה בישראל בימי הבית השני, היא אחת העבודות הטהורות והמקודשות ביותר שאפשר למצוא </w:t>
      </w:r>
      <w:r w:rsidRPr="00FA628D">
        <w:rPr>
          <w:rFonts w:hint="cs"/>
          <w:rtl/>
        </w:rPr>
        <w:t xml:space="preserve">בתולדות </w:t>
      </w:r>
      <w:r w:rsidRPr="00FA628D">
        <w:rPr>
          <w:rtl/>
        </w:rPr>
        <w:t>הדת והאמונה האנושית בכלל"</w:t>
      </w:r>
      <w:r w:rsidRPr="00FA628D">
        <w:rPr>
          <w:rFonts w:hint="cs"/>
          <w:rtl/>
        </w:rPr>
        <w:t xml:space="preserve"> </w:t>
      </w:r>
      <w:r w:rsidRPr="00220D4A">
        <w:rPr>
          <w:rFonts w:hint="cs"/>
          <w:sz w:val="16"/>
          <w:szCs w:val="16"/>
          <w:rtl/>
        </w:rPr>
        <w:t>(ע</w:t>
      </w:r>
      <w:r w:rsidRPr="00220D4A">
        <w:rPr>
          <w:sz w:val="16"/>
          <w:szCs w:val="16"/>
          <w:rtl/>
        </w:rPr>
        <w:t>מ' 470)</w:t>
      </w:r>
      <w:r w:rsidRPr="00FA628D">
        <w:rPr>
          <w:rtl/>
        </w:rPr>
        <w:t>.</w:t>
      </w:r>
    </w:p>
  </w:footnote>
  <w:footnote w:id="25">
    <w:p w14:paraId="58D0622B" w14:textId="65B47E3B" w:rsidR="00E10606" w:rsidRPr="00FA628D" w:rsidRDefault="00E10606" w:rsidP="00944737">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 xml:space="preserve">מדרש זה אינו קורא כרש"י ("ואם" במשמעות של חובה), אלא מדגיש כי הכתוב </w:t>
      </w:r>
      <w:r w:rsidR="00944737">
        <w:rPr>
          <w:rFonts w:hint="cs"/>
          <w:rtl/>
        </w:rPr>
        <w:t xml:space="preserve">אכן </w:t>
      </w:r>
      <w:r w:rsidRPr="00FA628D">
        <w:rPr>
          <w:rtl/>
        </w:rPr>
        <w:t>מבקש ליצו</w:t>
      </w:r>
      <w:r w:rsidR="00944737">
        <w:rPr>
          <w:rFonts w:hint="cs"/>
          <w:rtl/>
        </w:rPr>
        <w:t>ק</w:t>
      </w:r>
      <w:r w:rsidRPr="00FA628D">
        <w:rPr>
          <w:rtl/>
        </w:rPr>
        <w:t xml:space="preserve"> אווירת נדבה לתוכי חיוב הבאת המנחה.</w:t>
      </w:r>
    </w:p>
  </w:footnote>
  <w:footnote w:id="26">
    <w:p w14:paraId="4D52EB61" w14:textId="4525A866" w:rsidR="00E10606" w:rsidRPr="00FA628D" w:rsidRDefault="00E10606" w:rsidP="00FA628D">
      <w:pPr>
        <w:pStyle w:val="a3"/>
        <w:rPr>
          <w:rtl/>
        </w:rPr>
      </w:pPr>
      <w:r w:rsidRPr="00FA628D">
        <w:rPr>
          <w:rStyle w:val="a5"/>
          <w:rFonts w:eastAsia="Narkisim"/>
          <w:rtl/>
        </w:rPr>
        <w:footnoteRef/>
      </w:r>
      <w:r w:rsidRPr="00FA628D">
        <w:rPr>
          <w:rtl/>
        </w:rPr>
        <w:t xml:space="preserve"> </w:t>
      </w:r>
      <w:r w:rsidR="007B0635" w:rsidRPr="00FA628D">
        <w:rPr>
          <w:rtl/>
        </w:rPr>
        <w:tab/>
      </w:r>
      <w:r w:rsidRPr="00FA628D">
        <w:rPr>
          <w:rtl/>
        </w:rPr>
        <w:t>ספרא, פר' י"ג, שם.</w:t>
      </w:r>
    </w:p>
  </w:footnote>
  <w:footnote w:id="27">
    <w:p w14:paraId="011CC754" w14:textId="485D45B4" w:rsidR="00E10606" w:rsidRPr="00FA628D" w:rsidRDefault="00E10606" w:rsidP="00944737">
      <w:pPr>
        <w:pStyle w:val="a3"/>
      </w:pPr>
      <w:r w:rsidRPr="00FA628D">
        <w:rPr>
          <w:rStyle w:val="a5"/>
          <w:rFonts w:eastAsia="Narkisim"/>
        </w:rPr>
        <w:footnoteRef/>
      </w:r>
      <w:r w:rsidRPr="00FA628D">
        <w:rPr>
          <w:rtl/>
        </w:rPr>
        <w:t xml:space="preserve"> </w:t>
      </w:r>
      <w:r w:rsidR="007B0635" w:rsidRPr="00FA628D">
        <w:rPr>
          <w:rtl/>
        </w:rPr>
        <w:tab/>
      </w:r>
      <w:r w:rsidRPr="00FA628D">
        <w:rPr>
          <w:rFonts w:hint="cs"/>
          <w:rtl/>
        </w:rPr>
        <w:t xml:space="preserve">הרב ברוך קהת עמד בהרחבה על יחס מנחת הביכורים שבויקרא ב' להנפת העומר ושתי הלחם שבויקרא כ"ג. לדעתו, הצדק עם ראב"ע ומדובר בשני קורבנות שונים. את הזיקה ביניהם הוא רואה כהכרעת חז"ל מאחר שלדעתם "לא ראוי שקורבן זה יוקרב רק על ידי אלו הקרובים לבית המקדש, שבידם להביא את קורבנם 'כרמל', ולא על ידי הרחוקים יותר" </w:t>
      </w:r>
      <w:r w:rsidRPr="00944737">
        <w:rPr>
          <w:rFonts w:hint="cs"/>
          <w:sz w:val="16"/>
          <w:szCs w:val="16"/>
          <w:rtl/>
        </w:rPr>
        <w:t>("מנחת הביכורים וקורבן העומר", עמ' 10. וראו אצלו שם סיבה נוספת)</w:t>
      </w:r>
      <w:r w:rsidRPr="00FA628D">
        <w:rPr>
          <w:rFonts w:hint="cs"/>
          <w:rtl/>
        </w:rPr>
        <w:t>. לדעתי, כבר בפסוקים בשתי הפרשיות ניכר המתח בין נדבת היחיד לחובת הציבור.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576A9E">
      <w:rPr>
        <w:noProof/>
        <w:rtl/>
      </w:rPr>
      <w:t>6</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6337"/>
    <w:rsid w:val="0007734B"/>
    <w:rsid w:val="000773F4"/>
    <w:rsid w:val="000845ED"/>
    <w:rsid w:val="00084B00"/>
    <w:rsid w:val="00086970"/>
    <w:rsid w:val="000963EF"/>
    <w:rsid w:val="000A1BE6"/>
    <w:rsid w:val="000A56FC"/>
    <w:rsid w:val="000A5D16"/>
    <w:rsid w:val="000A7A3E"/>
    <w:rsid w:val="000B18D3"/>
    <w:rsid w:val="000B59A2"/>
    <w:rsid w:val="000C5EDE"/>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0D4A"/>
    <w:rsid w:val="00223CEC"/>
    <w:rsid w:val="002314D2"/>
    <w:rsid w:val="002338A7"/>
    <w:rsid w:val="00233E7F"/>
    <w:rsid w:val="00235575"/>
    <w:rsid w:val="00251114"/>
    <w:rsid w:val="0025188F"/>
    <w:rsid w:val="00252934"/>
    <w:rsid w:val="002548F1"/>
    <w:rsid w:val="00254CCB"/>
    <w:rsid w:val="00260AA2"/>
    <w:rsid w:val="002635D1"/>
    <w:rsid w:val="00267C22"/>
    <w:rsid w:val="00270BA3"/>
    <w:rsid w:val="00270E17"/>
    <w:rsid w:val="002744D7"/>
    <w:rsid w:val="00275739"/>
    <w:rsid w:val="00275B17"/>
    <w:rsid w:val="00281070"/>
    <w:rsid w:val="00282163"/>
    <w:rsid w:val="002826F7"/>
    <w:rsid w:val="00284937"/>
    <w:rsid w:val="00293BED"/>
    <w:rsid w:val="0029412F"/>
    <w:rsid w:val="002A26CA"/>
    <w:rsid w:val="002A300A"/>
    <w:rsid w:val="002A7264"/>
    <w:rsid w:val="002B33FB"/>
    <w:rsid w:val="002B3B0F"/>
    <w:rsid w:val="002B4D51"/>
    <w:rsid w:val="002B6CA6"/>
    <w:rsid w:val="002C12A6"/>
    <w:rsid w:val="002C33E6"/>
    <w:rsid w:val="002C3C5F"/>
    <w:rsid w:val="002D22C4"/>
    <w:rsid w:val="002E0589"/>
    <w:rsid w:val="002E098C"/>
    <w:rsid w:val="002E0D3F"/>
    <w:rsid w:val="002E417E"/>
    <w:rsid w:val="002E65D7"/>
    <w:rsid w:val="002F2680"/>
    <w:rsid w:val="002F7C51"/>
    <w:rsid w:val="00304682"/>
    <w:rsid w:val="003060D9"/>
    <w:rsid w:val="00307245"/>
    <w:rsid w:val="003116C3"/>
    <w:rsid w:val="003128B3"/>
    <w:rsid w:val="00315888"/>
    <w:rsid w:val="00323FBD"/>
    <w:rsid w:val="00324177"/>
    <w:rsid w:val="00324B44"/>
    <w:rsid w:val="00324BEF"/>
    <w:rsid w:val="00332A56"/>
    <w:rsid w:val="003403F3"/>
    <w:rsid w:val="00340D7F"/>
    <w:rsid w:val="00343750"/>
    <w:rsid w:val="0034550A"/>
    <w:rsid w:val="00346874"/>
    <w:rsid w:val="00351974"/>
    <w:rsid w:val="003531FA"/>
    <w:rsid w:val="00356341"/>
    <w:rsid w:val="00367299"/>
    <w:rsid w:val="0037776B"/>
    <w:rsid w:val="0038000A"/>
    <w:rsid w:val="003814BA"/>
    <w:rsid w:val="003825B9"/>
    <w:rsid w:val="003828F1"/>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1895"/>
    <w:rsid w:val="00443A27"/>
    <w:rsid w:val="00451C66"/>
    <w:rsid w:val="0045432D"/>
    <w:rsid w:val="00460362"/>
    <w:rsid w:val="00460E6D"/>
    <w:rsid w:val="00464F58"/>
    <w:rsid w:val="00475741"/>
    <w:rsid w:val="00476985"/>
    <w:rsid w:val="00476D9D"/>
    <w:rsid w:val="00477C74"/>
    <w:rsid w:val="00481042"/>
    <w:rsid w:val="0048350A"/>
    <w:rsid w:val="00484DA1"/>
    <w:rsid w:val="00486E88"/>
    <w:rsid w:val="0049613D"/>
    <w:rsid w:val="00497938"/>
    <w:rsid w:val="004A1673"/>
    <w:rsid w:val="004A2571"/>
    <w:rsid w:val="004A4A66"/>
    <w:rsid w:val="004B0420"/>
    <w:rsid w:val="004B34E9"/>
    <w:rsid w:val="004B64A8"/>
    <w:rsid w:val="004C6137"/>
    <w:rsid w:val="004C6B5D"/>
    <w:rsid w:val="004D0C20"/>
    <w:rsid w:val="004D31E2"/>
    <w:rsid w:val="004D47F3"/>
    <w:rsid w:val="004E37D0"/>
    <w:rsid w:val="004F0D92"/>
    <w:rsid w:val="004F1BA9"/>
    <w:rsid w:val="004F25D6"/>
    <w:rsid w:val="004F2997"/>
    <w:rsid w:val="004F3587"/>
    <w:rsid w:val="004F5AC8"/>
    <w:rsid w:val="004F7707"/>
    <w:rsid w:val="00506D17"/>
    <w:rsid w:val="005141A4"/>
    <w:rsid w:val="005160F8"/>
    <w:rsid w:val="00521C86"/>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87B"/>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50E0"/>
    <w:rsid w:val="005E65BE"/>
    <w:rsid w:val="005F4985"/>
    <w:rsid w:val="005F7954"/>
    <w:rsid w:val="00603920"/>
    <w:rsid w:val="00605B50"/>
    <w:rsid w:val="00607423"/>
    <w:rsid w:val="006101DF"/>
    <w:rsid w:val="006126F5"/>
    <w:rsid w:val="00612A40"/>
    <w:rsid w:val="00615999"/>
    <w:rsid w:val="006216C9"/>
    <w:rsid w:val="0062196F"/>
    <w:rsid w:val="00621C68"/>
    <w:rsid w:val="00622528"/>
    <w:rsid w:val="00624354"/>
    <w:rsid w:val="0062477E"/>
    <w:rsid w:val="00625DC3"/>
    <w:rsid w:val="00632DE8"/>
    <w:rsid w:val="0063660F"/>
    <w:rsid w:val="00640ED2"/>
    <w:rsid w:val="0064335B"/>
    <w:rsid w:val="00643B0D"/>
    <w:rsid w:val="00644A0E"/>
    <w:rsid w:val="0065284D"/>
    <w:rsid w:val="00656260"/>
    <w:rsid w:val="00657B50"/>
    <w:rsid w:val="00660BD6"/>
    <w:rsid w:val="00663423"/>
    <w:rsid w:val="00664FE2"/>
    <w:rsid w:val="00665F8F"/>
    <w:rsid w:val="00666CEB"/>
    <w:rsid w:val="00670555"/>
    <w:rsid w:val="00670F7F"/>
    <w:rsid w:val="00680CBB"/>
    <w:rsid w:val="00681BC7"/>
    <w:rsid w:val="006860DF"/>
    <w:rsid w:val="006901D9"/>
    <w:rsid w:val="00692B3F"/>
    <w:rsid w:val="00695BCE"/>
    <w:rsid w:val="006A086B"/>
    <w:rsid w:val="006A4F72"/>
    <w:rsid w:val="006A58EE"/>
    <w:rsid w:val="006B09D1"/>
    <w:rsid w:val="006B1A58"/>
    <w:rsid w:val="006B4964"/>
    <w:rsid w:val="006B57AF"/>
    <w:rsid w:val="006B57DE"/>
    <w:rsid w:val="006B648A"/>
    <w:rsid w:val="006C157A"/>
    <w:rsid w:val="006C1C74"/>
    <w:rsid w:val="006C330B"/>
    <w:rsid w:val="006D74BE"/>
    <w:rsid w:val="006E3F9D"/>
    <w:rsid w:val="006F016B"/>
    <w:rsid w:val="006F20BC"/>
    <w:rsid w:val="006F77DB"/>
    <w:rsid w:val="006F7B26"/>
    <w:rsid w:val="00701021"/>
    <w:rsid w:val="00701DF9"/>
    <w:rsid w:val="00706365"/>
    <w:rsid w:val="007071A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4286"/>
    <w:rsid w:val="00836815"/>
    <w:rsid w:val="00853097"/>
    <w:rsid w:val="00855513"/>
    <w:rsid w:val="00856FE3"/>
    <w:rsid w:val="00863B49"/>
    <w:rsid w:val="008657A6"/>
    <w:rsid w:val="008779E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52AE"/>
    <w:rsid w:val="009737F2"/>
    <w:rsid w:val="009757AF"/>
    <w:rsid w:val="009769CF"/>
    <w:rsid w:val="009850FB"/>
    <w:rsid w:val="0098577E"/>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7682"/>
    <w:rsid w:val="00A61CC1"/>
    <w:rsid w:val="00A65685"/>
    <w:rsid w:val="00A67CE0"/>
    <w:rsid w:val="00A7069D"/>
    <w:rsid w:val="00A70ABB"/>
    <w:rsid w:val="00A74AB1"/>
    <w:rsid w:val="00A828AD"/>
    <w:rsid w:val="00A837BF"/>
    <w:rsid w:val="00A86F24"/>
    <w:rsid w:val="00A92C0A"/>
    <w:rsid w:val="00A95BD5"/>
    <w:rsid w:val="00A96885"/>
    <w:rsid w:val="00AA284F"/>
    <w:rsid w:val="00AA2E53"/>
    <w:rsid w:val="00AA4FCC"/>
    <w:rsid w:val="00AA6B58"/>
    <w:rsid w:val="00AB17BF"/>
    <w:rsid w:val="00AB39B7"/>
    <w:rsid w:val="00AB415E"/>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5C53"/>
    <w:rsid w:val="00BB1BB6"/>
    <w:rsid w:val="00BB2FA9"/>
    <w:rsid w:val="00BB34C2"/>
    <w:rsid w:val="00BB3B92"/>
    <w:rsid w:val="00BB52ED"/>
    <w:rsid w:val="00BC5418"/>
    <w:rsid w:val="00BD0D01"/>
    <w:rsid w:val="00BD4185"/>
    <w:rsid w:val="00BD5546"/>
    <w:rsid w:val="00BD5842"/>
    <w:rsid w:val="00BD7EC0"/>
    <w:rsid w:val="00BE0E97"/>
    <w:rsid w:val="00BF08BD"/>
    <w:rsid w:val="00BF251F"/>
    <w:rsid w:val="00BF58B6"/>
    <w:rsid w:val="00C00364"/>
    <w:rsid w:val="00C028C7"/>
    <w:rsid w:val="00C02AD6"/>
    <w:rsid w:val="00C02D94"/>
    <w:rsid w:val="00C03545"/>
    <w:rsid w:val="00C1023C"/>
    <w:rsid w:val="00C20987"/>
    <w:rsid w:val="00C26085"/>
    <w:rsid w:val="00C320DF"/>
    <w:rsid w:val="00C354A3"/>
    <w:rsid w:val="00C36DAD"/>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B83"/>
    <w:rsid w:val="00C91E73"/>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6B71"/>
    <w:rsid w:val="00DC775F"/>
    <w:rsid w:val="00DD08BF"/>
    <w:rsid w:val="00DD1649"/>
    <w:rsid w:val="00DD18A7"/>
    <w:rsid w:val="00DD2471"/>
    <w:rsid w:val="00DD30A2"/>
    <w:rsid w:val="00DD4BCD"/>
    <w:rsid w:val="00DE1653"/>
    <w:rsid w:val="00DE73FF"/>
    <w:rsid w:val="00DF4FF7"/>
    <w:rsid w:val="00DF5A0E"/>
    <w:rsid w:val="00E00BC5"/>
    <w:rsid w:val="00E06D13"/>
    <w:rsid w:val="00E10606"/>
    <w:rsid w:val="00E10C99"/>
    <w:rsid w:val="00E10E63"/>
    <w:rsid w:val="00E17D16"/>
    <w:rsid w:val="00E25294"/>
    <w:rsid w:val="00E33C36"/>
    <w:rsid w:val="00E413D7"/>
    <w:rsid w:val="00E4366C"/>
    <w:rsid w:val="00E439D4"/>
    <w:rsid w:val="00E44E5C"/>
    <w:rsid w:val="00E4747F"/>
    <w:rsid w:val="00E5181D"/>
    <w:rsid w:val="00E52009"/>
    <w:rsid w:val="00E5289B"/>
    <w:rsid w:val="00E52CB4"/>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erzogpress.herzog.ac.il/UploadFiles/1_1345-162017_kehat.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15C8-3CBB-4ED5-B990-DA9BC888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2920</Words>
  <Characters>14601</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17487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2018-02-20T13:20:00Z</dcterms:created>
  <dcterms:modified xsi:type="dcterms:W3CDTF">2018-02-20T13:20:00Z</dcterms:modified>
</cp:coreProperties>
</file>