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9C" w:rsidRPr="001B5E9C" w:rsidRDefault="001B5E9C" w:rsidP="001B5E9C">
      <w:pPr>
        <w:jc w:val="both"/>
        <w:rPr>
          <w:b/>
          <w:bCs/>
          <w:sz w:val="22"/>
          <w:szCs w:val="22"/>
        </w:rPr>
      </w:pPr>
      <w:proofErr w:type="spellStart"/>
      <w:r w:rsidRPr="001B5E9C">
        <w:rPr>
          <w:rFonts w:hint="cs"/>
          <w:b/>
          <w:bCs/>
          <w:sz w:val="22"/>
          <w:szCs w:val="22"/>
          <w:rtl/>
        </w:rPr>
        <w:t>לע"נ</w:t>
      </w:r>
      <w:proofErr w:type="spellEnd"/>
      <w:r w:rsidRPr="001B5E9C">
        <w:rPr>
          <w:rFonts w:hint="cs"/>
          <w:b/>
          <w:bCs/>
          <w:sz w:val="22"/>
          <w:szCs w:val="22"/>
          <w:rtl/>
        </w:rPr>
        <w:t xml:space="preserve"> משה יהושע </w:t>
      </w:r>
      <w:proofErr w:type="spellStart"/>
      <w:r w:rsidRPr="001B5E9C">
        <w:rPr>
          <w:rFonts w:hint="cs"/>
          <w:b/>
          <w:bCs/>
          <w:sz w:val="22"/>
          <w:szCs w:val="22"/>
          <w:rtl/>
        </w:rPr>
        <w:t>ב"ר</w:t>
      </w:r>
      <w:proofErr w:type="spellEnd"/>
      <w:r w:rsidRPr="001B5E9C">
        <w:rPr>
          <w:rFonts w:hint="cs"/>
          <w:b/>
          <w:bCs/>
          <w:sz w:val="22"/>
          <w:szCs w:val="22"/>
          <w:rtl/>
        </w:rPr>
        <w:t xml:space="preserve"> זרח</w:t>
      </w:r>
    </w:p>
    <w:p w:rsidR="001B5E9C" w:rsidRPr="001B5E9C" w:rsidRDefault="001B5E9C">
      <w:pPr>
        <w:pStyle w:val="a0"/>
      </w:pPr>
    </w:p>
    <w:p w:rsidR="00000000" w:rsidRDefault="001B5E9C">
      <w:pPr>
        <w:pStyle w:val="a0"/>
        <w:rPr>
          <w:rtl/>
        </w:rPr>
      </w:pPr>
      <w:r>
        <w:rPr>
          <w:rtl/>
        </w:rPr>
        <w:t xml:space="preserve">הרב בנימין </w:t>
      </w:r>
      <w:proofErr w:type="spellStart"/>
      <w:r>
        <w:rPr>
          <w:rtl/>
        </w:rPr>
        <w:t>תבורי</w:t>
      </w:r>
      <w:proofErr w:type="spellEnd"/>
    </w:p>
    <w:p w:rsidR="00000000" w:rsidRDefault="001B5E9C">
      <w:pPr>
        <w:pStyle w:val="a"/>
        <w:rPr>
          <w:rtl/>
        </w:rPr>
      </w:pPr>
      <w:r>
        <w:rPr>
          <w:rtl/>
        </w:rPr>
        <w:t>בעני</w:t>
      </w:r>
      <w:r>
        <w:rPr>
          <w:rtl/>
        </w:rPr>
        <w:t>ין ח</w:t>
      </w:r>
      <w:bookmarkStart w:id="0" w:name="_GoBack"/>
      <w:bookmarkEnd w:id="0"/>
      <w:r>
        <w:rPr>
          <w:rtl/>
        </w:rPr>
        <w:t>ודש העיבור</w:t>
      </w:r>
      <w:r>
        <w:rPr>
          <w:rStyle w:val="FootnoteReference"/>
          <w:rtl/>
        </w:rPr>
        <w:footnoteReference w:customMarkFollows="1" w:id="1"/>
        <w:t>*</w:t>
      </w:r>
    </w:p>
    <w:p w:rsidR="00000000" w:rsidRDefault="001B5E9C">
      <w:pPr>
        <w:jc w:val="both"/>
        <w:rPr>
          <w:rtl/>
        </w:rPr>
      </w:pPr>
      <w:r>
        <w:rPr>
          <w:rtl/>
        </w:rPr>
        <w:t xml:space="preserve">הוספת חודש העיבור יוצרת בעיות הלכתיות שונות. אנו נסקור סוגיות שונות בש"ס הדנות בבעיות אלה, ולאור היסודות שנגדיר נראה קו </w:t>
      </w:r>
      <w:proofErr w:type="spellStart"/>
      <w:r>
        <w:rPr>
          <w:rtl/>
        </w:rPr>
        <w:t>מסויים</w:t>
      </w:r>
      <w:proofErr w:type="spellEnd"/>
      <w:r>
        <w:rPr>
          <w:rtl/>
        </w:rPr>
        <w:t xml:space="preserve"> שיסייע לנו בדיון בשאלות שלא נידונו בש"ס אלא</w:t>
      </w:r>
      <w:r>
        <w:rPr>
          <w:rtl/>
        </w:rPr>
        <w:t xml:space="preserve"> בראשונים ובאחרונים.</w:t>
      </w:r>
    </w:p>
    <w:p w:rsidR="00000000" w:rsidRDefault="001B5E9C">
      <w:pPr>
        <w:pStyle w:val="2"/>
        <w:rPr>
          <w:rtl/>
        </w:rPr>
      </w:pPr>
      <w:r>
        <w:rPr>
          <w:rtl/>
        </w:rPr>
        <w:t>קריאת המגילה, שמחה והספד</w:t>
      </w:r>
    </w:p>
    <w:p w:rsidR="00000000" w:rsidRDefault="001B5E9C">
      <w:pPr>
        <w:jc w:val="both"/>
        <w:rPr>
          <w:rtl/>
        </w:rPr>
      </w:pPr>
      <w:r>
        <w:rPr>
          <w:rtl/>
        </w:rPr>
        <w:t>איתא במשנה במגילה ו ע"ב:</w:t>
      </w:r>
    </w:p>
    <w:p w:rsidR="00000000" w:rsidRDefault="001B5E9C">
      <w:pPr>
        <w:pStyle w:val="a1"/>
        <w:ind w:left="567" w:right="0"/>
        <w:rPr>
          <w:rtl/>
        </w:rPr>
      </w:pPr>
      <w:r>
        <w:rPr>
          <w:rtl/>
        </w:rPr>
        <w:t xml:space="preserve">"קראו את המגילה באדר ראשון </w:t>
      </w:r>
      <w:proofErr w:type="spellStart"/>
      <w:r>
        <w:rPr>
          <w:rtl/>
        </w:rPr>
        <w:t>ונתעברה</w:t>
      </w:r>
      <w:proofErr w:type="spellEnd"/>
      <w:r>
        <w:rPr>
          <w:rtl/>
        </w:rPr>
        <w:t xml:space="preserve"> השנה, קורין אותה באדר שני. אין בין אדר ראשון לאדר שני אלא קריאת המגילה ומתנות לאביונים".</w:t>
      </w:r>
    </w:p>
    <w:p w:rsidR="00000000" w:rsidRDefault="001B5E9C">
      <w:pPr>
        <w:pStyle w:val="BodyText"/>
        <w:rPr>
          <w:rtl/>
        </w:rPr>
      </w:pPr>
      <w:r>
        <w:rPr>
          <w:rtl/>
        </w:rPr>
        <w:t>בגמרא מובאת מחלוקת תנאים האם ניתן לצאת ידי חובת קריאת מגילה ב</w:t>
      </w:r>
      <w:r>
        <w:rPr>
          <w:rtl/>
        </w:rPr>
        <w:t xml:space="preserve">אדר ראשון, או שמא רק באדר שני, ואפילו אם קראו בראשון </w:t>
      </w:r>
      <w:proofErr w:type="spellStart"/>
      <w:r>
        <w:rPr>
          <w:rtl/>
        </w:rPr>
        <w:t>ונתעברה</w:t>
      </w:r>
      <w:proofErr w:type="spellEnd"/>
      <w:r>
        <w:rPr>
          <w:rtl/>
        </w:rPr>
        <w:t xml:space="preserve"> השנה, יש לקוראה בשני כיוון שמצוותה רק בשני. מחלוקת זו, אומרת הגמרא, תלויה בהבנת הפסוק "בכל שנה ושנה": האם יש צורך שיקראו את המגילה כבכל שנה באדר הקרוב לשבט, או שיש להקפיד על כך שיקראו את המגילה ב</w:t>
      </w:r>
      <w:r>
        <w:rPr>
          <w:rtl/>
        </w:rPr>
        <w:t xml:space="preserve">אדר הסמוך לניסן. </w:t>
      </w:r>
    </w:p>
    <w:p w:rsidR="00000000" w:rsidRDefault="001B5E9C">
      <w:pPr>
        <w:ind w:firstLine="367"/>
        <w:jc w:val="both"/>
        <w:rPr>
          <w:rtl/>
        </w:rPr>
      </w:pPr>
      <w:r>
        <w:rPr>
          <w:rtl/>
        </w:rPr>
        <w:t xml:space="preserve">הגמרא מביאה גם סברות נוספות - מחד: מצווה הבאה לידך אל </w:t>
      </w:r>
      <w:proofErr w:type="spellStart"/>
      <w:r>
        <w:rPr>
          <w:rtl/>
        </w:rPr>
        <w:t>תחמיצנה</w:t>
      </w:r>
      <w:proofErr w:type="spellEnd"/>
      <w:r>
        <w:rPr>
          <w:rtl/>
        </w:rPr>
        <w:t>, ולכן יש לקרוא את המגילה באדר ראשון, ומאידך, ישנה עדיפות '</w:t>
      </w:r>
      <w:proofErr w:type="spellStart"/>
      <w:r>
        <w:rPr>
          <w:rtl/>
        </w:rPr>
        <w:t>למיסמך</w:t>
      </w:r>
      <w:proofErr w:type="spellEnd"/>
      <w:r>
        <w:rPr>
          <w:rtl/>
        </w:rPr>
        <w:t xml:space="preserve"> גאולה לגאולה' (גאולת מרדכי לגאולת פסח). ללא הפסוק "בכל שנה בשנה", היינו חייבים לקרוא את המגילה פעמיים, אך בגלל </w:t>
      </w:r>
      <w:r>
        <w:rPr>
          <w:rtl/>
        </w:rPr>
        <w:t>הפסוק יש לקרוא רק פעם אחת, כבכל שנה ושנה, והשאלה היא רק מתי קוראים.</w:t>
      </w:r>
    </w:p>
    <w:p w:rsidR="00000000" w:rsidRDefault="001B5E9C">
      <w:pPr>
        <w:ind w:firstLine="367"/>
        <w:jc w:val="both"/>
        <w:rPr>
          <w:rtl/>
        </w:rPr>
      </w:pPr>
      <w:r>
        <w:rPr>
          <w:rtl/>
        </w:rPr>
        <w:t xml:space="preserve">המשנה שהבאנו לעיל דנה במצב שקראו את המגילה ואחר כך </w:t>
      </w:r>
      <w:proofErr w:type="spellStart"/>
      <w:r>
        <w:rPr>
          <w:rtl/>
        </w:rPr>
        <w:t>נתעברה</w:t>
      </w:r>
      <w:proofErr w:type="spellEnd"/>
      <w:r>
        <w:rPr>
          <w:rtl/>
        </w:rPr>
        <w:t xml:space="preserve"> השנה, אך כעת נדון מה הדין בימינו, כאשר חודש העיבור נקבע מראש. נראה כי יש להפריד בין מקרא מצוות הפורים - מקרא מגילה ומתנות לאביונים</w:t>
      </w:r>
      <w:r>
        <w:rPr>
          <w:rtl/>
        </w:rPr>
        <w:t>, לבין איסור הספד וחיוב השמחה. ברור שמקרא מגילה ומתנות לאביונים הולכים יד ביד עם פורים, הנחגג באדר שני. לגבי איסור הספד וחיוב שמחה באדר ראשון יש שלש שיטות בראשונים:</w:t>
      </w:r>
    </w:p>
    <w:p w:rsidR="00000000" w:rsidRDefault="001B5E9C">
      <w:pPr>
        <w:numPr>
          <w:ilvl w:val="0"/>
          <w:numId w:val="7"/>
        </w:numPr>
        <w:ind w:left="360"/>
        <w:jc w:val="both"/>
        <w:rPr>
          <w:rtl/>
        </w:rPr>
      </w:pPr>
      <w:r>
        <w:rPr>
          <w:rtl/>
        </w:rPr>
        <w:t>התוספות אומרים שבאדר ראשון יש איסור הספד, אך אין חיוב שמחה.</w:t>
      </w:r>
    </w:p>
    <w:p w:rsidR="00000000" w:rsidRDefault="001B5E9C">
      <w:pPr>
        <w:numPr>
          <w:ilvl w:val="0"/>
          <w:numId w:val="7"/>
        </w:numPr>
        <w:ind w:left="360"/>
        <w:jc w:val="both"/>
        <w:rPr>
          <w:rtl/>
        </w:rPr>
      </w:pPr>
      <w:proofErr w:type="spellStart"/>
      <w:r>
        <w:rPr>
          <w:rtl/>
        </w:rPr>
        <w:t>הרא"ש</w:t>
      </w:r>
      <w:proofErr w:type="spellEnd"/>
      <w:r>
        <w:rPr>
          <w:rtl/>
        </w:rPr>
        <w:t xml:space="preserve"> אומר ששמחה והספד </w:t>
      </w:r>
      <w:r>
        <w:rPr>
          <w:rtl/>
        </w:rPr>
        <w:t>תלויים זה בזה, וכשם שאין חיוב שמחה, כך אין איסור הספד.</w:t>
      </w:r>
    </w:p>
    <w:p w:rsidR="00000000" w:rsidRDefault="001B5E9C">
      <w:pPr>
        <w:numPr>
          <w:ilvl w:val="0"/>
          <w:numId w:val="7"/>
        </w:numPr>
        <w:ind w:left="360"/>
        <w:jc w:val="both"/>
        <w:rPr>
          <w:rtl/>
        </w:rPr>
      </w:pPr>
      <w:proofErr w:type="spellStart"/>
      <w:r>
        <w:rPr>
          <w:rtl/>
        </w:rPr>
        <w:t>הר"ן</w:t>
      </w:r>
      <w:proofErr w:type="spellEnd"/>
      <w:r>
        <w:rPr>
          <w:rtl/>
        </w:rPr>
        <w:t xml:space="preserve"> הולך בכיוון הפוך לגמרי - הוא מודה </w:t>
      </w:r>
      <w:proofErr w:type="spellStart"/>
      <w:r>
        <w:rPr>
          <w:rtl/>
        </w:rPr>
        <w:t>לרא"ש</w:t>
      </w:r>
      <w:proofErr w:type="spellEnd"/>
      <w:r>
        <w:rPr>
          <w:rtl/>
        </w:rPr>
        <w:t xml:space="preserve"> לגבי הנקודה שאין להפריד בין שמחה להספד, אלא שלדעתו שניהם חלים, יש איסור הספד ויש חיוב שמחה.</w:t>
      </w:r>
    </w:p>
    <w:p w:rsidR="00000000" w:rsidRDefault="001B5E9C">
      <w:pPr>
        <w:pStyle w:val="2"/>
        <w:rPr>
          <w:rtl/>
        </w:rPr>
      </w:pPr>
      <w:r>
        <w:rPr>
          <w:rtl/>
        </w:rPr>
        <w:t>נדרים</w:t>
      </w:r>
    </w:p>
    <w:p w:rsidR="00000000" w:rsidRDefault="001B5E9C">
      <w:pPr>
        <w:jc w:val="both"/>
        <w:rPr>
          <w:rtl/>
        </w:rPr>
      </w:pPr>
      <w:proofErr w:type="spellStart"/>
      <w:r>
        <w:rPr>
          <w:rtl/>
        </w:rPr>
        <w:t>הגמ</w:t>
      </w:r>
      <w:proofErr w:type="spellEnd"/>
      <w:r>
        <w:rPr>
          <w:rtl/>
        </w:rPr>
        <w:t>' בנדרים ס"ג ע"א דנה במקרה שאדם נדר בחודש אדר 'שאינ</w:t>
      </w:r>
      <w:r>
        <w:rPr>
          <w:rtl/>
        </w:rPr>
        <w:t xml:space="preserve">י טועם יין לשנה שלמה'. מהי שנה - שנים עשר חודש או שנה מלאה (- שלושה עשר חודש, כולל חודש העיבור). המשנה שם </w:t>
      </w:r>
      <w:r>
        <w:rPr>
          <w:rtl/>
        </w:rPr>
        <w:lastRenderedPageBreak/>
        <w:t>אומרת  שאם אמר 'שנה' נדרו חל על שני ה'אדרים', אם אמר 'עד ראש חודש אדר - נדרו חל עד ראש חודש אדר ראשון, ואם אמר 'עד סוף אדר' נדרו חל עד סוף אדר שני.</w:t>
      </w:r>
    </w:p>
    <w:p w:rsidR="00000000" w:rsidRDefault="001B5E9C">
      <w:pPr>
        <w:ind w:firstLine="367"/>
        <w:jc w:val="both"/>
        <w:rPr>
          <w:rtl/>
        </w:rPr>
      </w:pPr>
      <w:r>
        <w:rPr>
          <w:rtl/>
        </w:rPr>
        <w:t>הג</w:t>
      </w:r>
      <w:r>
        <w:rPr>
          <w:rtl/>
        </w:rPr>
        <w:t>מרא שם דנה מה דינו של מי שאמר סתם 'אדר', ולא פירש לאיזה אדר התכוון. לגבי שטרות, נחלקו התנאים מהו אדר סתם - האם הכוונה לאדר ראשון או לאדר שני, והגמרא אומרת שיש הבדל בין אדם שיודע על קיומו של העיבור ובין אדם שלא יודע. יש להבין כי ישנן שתי שאלות נפרדות, שאינן</w:t>
      </w:r>
      <w:r>
        <w:rPr>
          <w:rtl/>
        </w:rPr>
        <w:t xml:space="preserve"> תלויות זו בזו:</w:t>
      </w:r>
    </w:p>
    <w:p w:rsidR="00000000" w:rsidRDefault="001B5E9C">
      <w:pPr>
        <w:numPr>
          <w:ilvl w:val="0"/>
          <w:numId w:val="10"/>
        </w:numPr>
        <w:ind w:left="360"/>
        <w:jc w:val="both"/>
        <w:rPr>
          <w:rtl/>
        </w:rPr>
      </w:pPr>
      <w:r>
        <w:rPr>
          <w:rtl/>
        </w:rPr>
        <w:t xml:space="preserve">אובייקטיבית, איזה חודש הוא אדר </w:t>
      </w:r>
      <w:proofErr w:type="spellStart"/>
      <w:r>
        <w:rPr>
          <w:rtl/>
        </w:rPr>
        <w:t>האמיתי</w:t>
      </w:r>
      <w:proofErr w:type="spellEnd"/>
      <w:r>
        <w:rPr>
          <w:rtl/>
        </w:rPr>
        <w:t>.</w:t>
      </w:r>
    </w:p>
    <w:p w:rsidR="00000000" w:rsidRDefault="001B5E9C">
      <w:pPr>
        <w:numPr>
          <w:ilvl w:val="0"/>
          <w:numId w:val="10"/>
        </w:numPr>
        <w:ind w:left="360"/>
        <w:jc w:val="both"/>
        <w:rPr>
          <w:rtl/>
        </w:rPr>
      </w:pPr>
      <w:r>
        <w:rPr>
          <w:rtl/>
        </w:rPr>
        <w:t xml:space="preserve">כאשר אדם נודר, </w:t>
      </w:r>
      <w:r>
        <w:rPr>
          <w:bCs/>
          <w:rtl/>
        </w:rPr>
        <w:t>מהי כוונתו</w:t>
      </w:r>
      <w:r>
        <w:rPr>
          <w:rtl/>
        </w:rPr>
        <w:t xml:space="preserve"> כשאומר 'אדר'. שאלה זו היא שאלה בדעת בני אדם, ובה דנה הגמרא בנדרים. כיוון שכך - אין אנו יכולים להשליך ממסקנת הסוגיה כדי לענות על השאלה הראשונה, בה אנו עוסקים.</w:t>
      </w:r>
    </w:p>
    <w:p w:rsidR="00000000" w:rsidRDefault="001B5E9C">
      <w:pPr>
        <w:pStyle w:val="2"/>
        <w:rPr>
          <w:rtl/>
        </w:rPr>
      </w:pPr>
      <w:r>
        <w:rPr>
          <w:rtl/>
        </w:rPr>
        <w:t>שכירות ומ</w:t>
      </w:r>
      <w:r>
        <w:rPr>
          <w:rtl/>
        </w:rPr>
        <w:t>כר</w:t>
      </w:r>
    </w:p>
    <w:p w:rsidR="00000000" w:rsidRDefault="001B5E9C">
      <w:pPr>
        <w:jc w:val="both"/>
        <w:rPr>
          <w:rtl/>
        </w:rPr>
      </w:pPr>
      <w:r>
        <w:rPr>
          <w:rtl/>
        </w:rPr>
        <w:t xml:space="preserve">הגמרא </w:t>
      </w:r>
      <w:proofErr w:type="spellStart"/>
      <w:r>
        <w:rPr>
          <w:rtl/>
        </w:rPr>
        <w:t>בבבא</w:t>
      </w:r>
      <w:proofErr w:type="spellEnd"/>
      <w:r>
        <w:rPr>
          <w:rtl/>
        </w:rPr>
        <w:t xml:space="preserve"> מציעא דף קב ע"א דנה בשאלה מהי כוונתו של אדם האומר שהוא משכיר את ביתו לשנה, האם חודש העיבור כלול בתוך שנה זו. גם הסוגיה </w:t>
      </w:r>
      <w:proofErr w:type="spellStart"/>
      <w:r>
        <w:rPr>
          <w:rtl/>
        </w:rPr>
        <w:t>בבבא</w:t>
      </w:r>
      <w:proofErr w:type="spellEnd"/>
      <w:r>
        <w:rPr>
          <w:rtl/>
        </w:rPr>
        <w:t xml:space="preserve"> מציעא מדברת על </w:t>
      </w:r>
      <w:r>
        <w:rPr>
          <w:b/>
          <w:bCs/>
          <w:rtl/>
        </w:rPr>
        <w:t>לשון בני אדם וכוונתם</w:t>
      </w:r>
      <w:r>
        <w:rPr>
          <w:rtl/>
        </w:rPr>
        <w:t>, ולא על האמת המוחלטת, כפי שראינו לעיל.</w:t>
      </w:r>
    </w:p>
    <w:p w:rsidR="00000000" w:rsidRDefault="001B5E9C">
      <w:pPr>
        <w:ind w:firstLine="367"/>
        <w:jc w:val="both"/>
        <w:rPr>
          <w:rtl/>
        </w:rPr>
      </w:pPr>
      <w:r>
        <w:rPr>
          <w:rtl/>
        </w:rPr>
        <w:t xml:space="preserve">דין דומה, שאולי כן ניתן ללמוד ממנו הוא דין </w:t>
      </w:r>
      <w:r>
        <w:rPr>
          <w:rtl/>
        </w:rPr>
        <w:t xml:space="preserve">מוכר בית בבתי ערי חומה. התורה אומרת כי יש למוכר זכות לגאול את הבית במשך שנה שלמה. כאן הדיון הוא אובייקטיבי ומהותי: כמה חודשים יש למוכר בהם יוכל לגאול את ביתו - שנים עשר או שלושה עשר? המשנה </w:t>
      </w:r>
      <w:proofErr w:type="spellStart"/>
      <w:r>
        <w:rPr>
          <w:rtl/>
        </w:rPr>
        <w:t>בערכין</w:t>
      </w:r>
      <w:proofErr w:type="spellEnd"/>
      <w:r>
        <w:rPr>
          <w:rtl/>
        </w:rPr>
        <w:t xml:space="preserve"> לא ע"א קובעת ששנה היא בת שלושה עשר חודשים (אם השנה מעוברת כמ</w:t>
      </w:r>
      <w:r>
        <w:rPr>
          <w:rtl/>
        </w:rPr>
        <w:t xml:space="preserve">ובן), והגמרא אומרת כי דין זה נלמד מהמילים 'שנה תמימה'. השאלה היסודית כעת היא האם ניתן ללמוד מדין זה גם לשאלתנו, האם מבחינה אובייקטיבית - סתם אדר הוא אדר ראשון או אדר שני. בשאלה זו חלוקים </w:t>
      </w:r>
      <w:proofErr w:type="spellStart"/>
      <w:r>
        <w:rPr>
          <w:rtl/>
        </w:rPr>
        <w:t>הרשב"א</w:t>
      </w:r>
      <w:proofErr w:type="spellEnd"/>
      <w:r>
        <w:rPr>
          <w:rtl/>
        </w:rPr>
        <w:t xml:space="preserve"> </w:t>
      </w:r>
      <w:proofErr w:type="spellStart"/>
      <w:r>
        <w:rPr>
          <w:rtl/>
        </w:rPr>
        <w:t>והר"ן</w:t>
      </w:r>
      <w:proofErr w:type="spellEnd"/>
      <w:r>
        <w:rPr>
          <w:rtl/>
        </w:rPr>
        <w:t xml:space="preserve"> בנדרים </w:t>
      </w:r>
      <w:proofErr w:type="spellStart"/>
      <w:r>
        <w:rPr>
          <w:rtl/>
        </w:rPr>
        <w:t>סג</w:t>
      </w:r>
      <w:proofErr w:type="spellEnd"/>
      <w:r>
        <w:rPr>
          <w:rtl/>
        </w:rPr>
        <w:t xml:space="preserve"> ע"א.</w:t>
      </w:r>
    </w:p>
    <w:p w:rsidR="00000000" w:rsidRDefault="001B5E9C">
      <w:pPr>
        <w:jc w:val="center"/>
        <w:rPr>
          <w:rtl/>
        </w:rPr>
      </w:pPr>
      <w:r>
        <w:rPr>
          <w:rtl/>
        </w:rPr>
        <w:t>*</w:t>
      </w:r>
    </w:p>
    <w:p w:rsidR="00000000" w:rsidRDefault="001B5E9C">
      <w:pPr>
        <w:jc w:val="both"/>
        <w:rPr>
          <w:rtl/>
        </w:rPr>
      </w:pPr>
      <w:r>
        <w:rPr>
          <w:rtl/>
        </w:rPr>
        <w:t>עד כה עסקנו בדינים שנידונו בש"ס. מכאן נ</w:t>
      </w:r>
      <w:r>
        <w:rPr>
          <w:rtl/>
        </w:rPr>
        <w:t>עבור להלכות שנידונו בראשונים ובאחרונים.</w:t>
      </w:r>
    </w:p>
    <w:p w:rsidR="00000000" w:rsidRDefault="001B5E9C">
      <w:pPr>
        <w:pStyle w:val="2"/>
        <w:rPr>
          <w:rtl/>
        </w:rPr>
      </w:pPr>
      <w:r>
        <w:rPr>
          <w:rtl/>
        </w:rPr>
        <w:t>בר-מצווה</w:t>
      </w:r>
    </w:p>
    <w:p w:rsidR="00000000" w:rsidRDefault="001B5E9C">
      <w:pPr>
        <w:jc w:val="both"/>
        <w:rPr>
          <w:rtl/>
        </w:rPr>
      </w:pPr>
      <w:r>
        <w:rPr>
          <w:rtl/>
        </w:rPr>
        <w:t xml:space="preserve">שאלה מעניינת נשאלת לגבי בר-מצווה: מתי חל יום כניסתו לעול מצוות של ילד שנולד באדר לפני שלוש עשרה שנה - אם שנה זו הייתה רגילה, ואילו שנתו השלש עשרה מעוברת: באדר ראשון או באדר שני? שאלה זו תלויה לכאורה בדיוננו </w:t>
      </w:r>
      <w:r>
        <w:rPr>
          <w:rtl/>
        </w:rPr>
        <w:t>מהו אורך השנה בהלכה.</w:t>
      </w:r>
    </w:p>
    <w:p w:rsidR="00000000" w:rsidRDefault="001B5E9C">
      <w:pPr>
        <w:ind w:firstLine="367"/>
        <w:jc w:val="both"/>
        <w:rPr>
          <w:rtl/>
        </w:rPr>
      </w:pPr>
      <w:proofErr w:type="spellStart"/>
      <w:r>
        <w:rPr>
          <w:rtl/>
        </w:rPr>
        <w:t>השו"ע</w:t>
      </w:r>
      <w:proofErr w:type="spellEnd"/>
      <w:r>
        <w:rPr>
          <w:rtl/>
        </w:rPr>
        <w:t xml:space="preserve"> (אורח חיים סימן </w:t>
      </w:r>
      <w:proofErr w:type="spellStart"/>
      <w:r>
        <w:rPr>
          <w:rtl/>
        </w:rPr>
        <w:t>נה</w:t>
      </w:r>
      <w:proofErr w:type="spellEnd"/>
      <w:r>
        <w:rPr>
          <w:rtl/>
        </w:rPr>
        <w:t>) פוסק שילד זה - בר המצווה שלו חל באדר שני. הראשונים מסתמכים על הירושלמי האומר שכאשר חכמים מעברים את השנה - גם המצב הביולוגי משתנה, כביכול, וכך בתוליה של קטנה בת שלוש שנים חוזרים אם עיברו את השנה, משום שהעיבור מ</w:t>
      </w:r>
      <w:r>
        <w:rPr>
          <w:rtl/>
        </w:rPr>
        <w:t>חזיר, כביכול, את הגלגל הביולוגי אחורנית. משמע מהירושלמי</w:t>
      </w:r>
      <w:r>
        <w:rPr>
          <w:rStyle w:val="FootnoteReference"/>
          <w:rtl/>
        </w:rPr>
        <w:footnoteReference w:id="2"/>
      </w:r>
      <w:r>
        <w:rPr>
          <w:rtl/>
        </w:rPr>
        <w:t xml:space="preserve"> כי אדר שני הוא המשמעותי לגבי כל דיני חודש אדר. הפרי חדש מביא דעה חולקת, הסוברת שאדר </w:t>
      </w:r>
      <w:r>
        <w:rPr>
          <w:rtl/>
        </w:rPr>
        <w:lastRenderedPageBreak/>
        <w:t xml:space="preserve">ראשון הוא החודש המשמעותי לגבי מצוותיה של חודש אדר, ולכן גם נער שמתבגר ונכנס לעול מצוות - </w:t>
      </w:r>
      <w:r>
        <w:rPr>
          <w:rtl/>
        </w:rPr>
        <w:t xml:space="preserve">אדר ראשון הוא החודש בו ייכנס למצוות. ואכן יש הנוהגים לחשוש </w:t>
      </w:r>
      <w:proofErr w:type="spellStart"/>
      <w:r>
        <w:rPr>
          <w:rtl/>
        </w:rPr>
        <w:t>לחומרא</w:t>
      </w:r>
      <w:proofErr w:type="spellEnd"/>
      <w:r>
        <w:rPr>
          <w:rtl/>
        </w:rPr>
        <w:t xml:space="preserve"> לגבי חיוב מצוות כבר מאדר ראשון - בגלל שיטה זו</w:t>
      </w:r>
      <w:r>
        <w:rPr>
          <w:rStyle w:val="FootnoteReference"/>
          <w:rtl/>
        </w:rPr>
        <w:footnoteReference w:id="3"/>
      </w:r>
      <w:r>
        <w:rPr>
          <w:rtl/>
        </w:rPr>
        <w:t xml:space="preserve">. </w:t>
      </w:r>
    </w:p>
    <w:p w:rsidR="00000000" w:rsidRDefault="001B5E9C">
      <w:pPr>
        <w:ind w:firstLine="367"/>
        <w:jc w:val="both"/>
        <w:rPr>
          <w:rtl/>
        </w:rPr>
      </w:pPr>
      <w:r>
        <w:rPr>
          <w:rtl/>
        </w:rPr>
        <w:t xml:space="preserve">כמו כן יש לדון גם לגבי ילד שנולד באדר ראשון, ושנתו </w:t>
      </w:r>
      <w:proofErr w:type="spellStart"/>
      <w:r>
        <w:rPr>
          <w:rtl/>
        </w:rPr>
        <w:t>הי"ג</w:t>
      </w:r>
      <w:proofErr w:type="spellEnd"/>
      <w:r>
        <w:rPr>
          <w:rtl/>
        </w:rPr>
        <w:t xml:space="preserve"> גם כן חלה בשנה מעוברת - באיזה אדר יהיה לו בר</w:t>
      </w:r>
      <w:r>
        <w:rPr>
          <w:rtl/>
        </w:rPr>
        <w:t xml:space="preserve"> מצווה - </w:t>
      </w:r>
      <w:proofErr w:type="spellStart"/>
      <w:r>
        <w:rPr>
          <w:rtl/>
        </w:rPr>
        <w:t>הסברא</w:t>
      </w:r>
      <w:proofErr w:type="spellEnd"/>
      <w:r>
        <w:rPr>
          <w:rtl/>
        </w:rPr>
        <w:t xml:space="preserve"> אומרת שבאדר הראשון, כיוון שלמרות שאנו פוסקים שאדר הראשון דינו כשבט - כאן לא ניתן לאחוז את החבל בשני קצותיו, ואין זה משנה מה נקרא אדר, כיוון שזהו החודש בו נולד לפני שלש עשרה שנה. כך סוברים גם רוב האחרונים, אך המגן אברהם חולק, וסובר שהוא מתחיי</w:t>
      </w:r>
      <w:r>
        <w:rPr>
          <w:rtl/>
        </w:rPr>
        <w:t>ב במצוות רק מאדר שני.</w:t>
      </w:r>
    </w:p>
    <w:p w:rsidR="00000000" w:rsidRDefault="001B5E9C">
      <w:pPr>
        <w:ind w:firstLine="367"/>
        <w:jc w:val="both"/>
        <w:rPr>
          <w:rtl/>
        </w:rPr>
      </w:pPr>
      <w:r>
        <w:rPr>
          <w:rtl/>
        </w:rPr>
        <w:t xml:space="preserve">דינים אלה יוצרים קוריוז הלכתי ידוע. אם ילד נולד בכ' אדר ראשון, </w:t>
      </w:r>
      <w:proofErr w:type="spellStart"/>
      <w:r>
        <w:rPr>
          <w:rtl/>
        </w:rPr>
        <w:t>וחבירו</w:t>
      </w:r>
      <w:proofErr w:type="spellEnd"/>
      <w:r>
        <w:rPr>
          <w:rtl/>
        </w:rPr>
        <w:t xml:space="preserve"> נולד באותה שנה בשני אדר שני, ובשנה שהגיעו לגיל מצוות יש רק אדר אחד, אזי זה שנולד ראשון יתחייב במצוות לאחר </w:t>
      </w:r>
      <w:proofErr w:type="spellStart"/>
      <w:r>
        <w:rPr>
          <w:rtl/>
        </w:rPr>
        <w:t>חבירו</w:t>
      </w:r>
      <w:proofErr w:type="spellEnd"/>
      <w:r>
        <w:rPr>
          <w:rtl/>
        </w:rPr>
        <w:t xml:space="preserve"> ה"צעיר"</w:t>
      </w:r>
      <w:r>
        <w:rPr>
          <w:rStyle w:val="FootnoteReference"/>
          <w:rtl/>
        </w:rPr>
        <w:footnoteReference w:id="4"/>
      </w:r>
      <w:r>
        <w:rPr>
          <w:rtl/>
        </w:rPr>
        <w:t xml:space="preserve">. </w:t>
      </w:r>
    </w:p>
    <w:p w:rsidR="00000000" w:rsidRDefault="001B5E9C">
      <w:pPr>
        <w:pStyle w:val="2"/>
        <w:rPr>
          <w:rtl/>
        </w:rPr>
      </w:pPr>
      <w:proofErr w:type="spellStart"/>
      <w:r>
        <w:rPr>
          <w:rtl/>
        </w:rPr>
        <w:t>אבילות</w:t>
      </w:r>
      <w:proofErr w:type="spellEnd"/>
      <w:r>
        <w:rPr>
          <w:rtl/>
        </w:rPr>
        <w:t xml:space="preserve"> ושמחות</w:t>
      </w:r>
    </w:p>
    <w:p w:rsidR="00000000" w:rsidRDefault="001B5E9C">
      <w:pPr>
        <w:jc w:val="both"/>
        <w:rPr>
          <w:rtl/>
        </w:rPr>
      </w:pPr>
      <w:r>
        <w:rPr>
          <w:rtl/>
        </w:rPr>
        <w:t xml:space="preserve">בעיה נוספת היא בקשר לאבלות וליארצייט. ידוע </w:t>
      </w:r>
      <w:proofErr w:type="spellStart"/>
      <w:r>
        <w:rPr>
          <w:rtl/>
        </w:rPr>
        <w:t>שאבילות</w:t>
      </w:r>
      <w:proofErr w:type="spellEnd"/>
      <w:r>
        <w:rPr>
          <w:rtl/>
        </w:rPr>
        <w:t xml:space="preserve"> הורים היא </w:t>
      </w:r>
      <w:proofErr w:type="spellStart"/>
      <w:r>
        <w:rPr>
          <w:rtl/>
        </w:rPr>
        <w:t>אבילות</w:t>
      </w:r>
      <w:proofErr w:type="spellEnd"/>
      <w:r>
        <w:rPr>
          <w:rtl/>
        </w:rPr>
        <w:t xml:space="preserve"> שאורכה שנה, אך יסוד הדין הוא שנים עשר חודשי אבלות, ולכן ברור ששנת האבל מסתיימת באדר ראשון</w:t>
      </w:r>
      <w:r>
        <w:rPr>
          <w:rStyle w:val="FootnoteReference"/>
          <w:rtl/>
        </w:rPr>
        <w:footnoteReference w:id="5"/>
      </w:r>
      <w:r>
        <w:rPr>
          <w:rtl/>
        </w:rPr>
        <w:t>.</w:t>
      </w:r>
    </w:p>
    <w:p w:rsidR="00000000" w:rsidRDefault="001B5E9C">
      <w:pPr>
        <w:ind w:firstLine="367"/>
        <w:jc w:val="both"/>
        <w:rPr>
          <w:rtl/>
        </w:rPr>
      </w:pPr>
      <w:r>
        <w:rPr>
          <w:rtl/>
        </w:rPr>
        <w:t xml:space="preserve">כעת, נותר לנו לברר מה לגבי יום הזיכרון. אמנם, לעניין חודשי </w:t>
      </w:r>
      <w:proofErr w:type="spellStart"/>
      <w:r>
        <w:rPr>
          <w:rtl/>
        </w:rPr>
        <w:t>האבילות</w:t>
      </w:r>
      <w:proofErr w:type="spellEnd"/>
      <w:r>
        <w:rPr>
          <w:rtl/>
        </w:rPr>
        <w:t xml:space="preserve"> אין חשוב מה שם החודש, אולם לגבי יום </w:t>
      </w:r>
      <w:proofErr w:type="spellStart"/>
      <w:r>
        <w:rPr>
          <w:rtl/>
        </w:rPr>
        <w:t>הזכרון</w:t>
      </w:r>
      <w:proofErr w:type="spellEnd"/>
      <w:r>
        <w:rPr>
          <w:rtl/>
        </w:rPr>
        <w:t xml:space="preserve"> עלינו לדעת מה נקרא אדר, כדי לדעת איזה חודש נחשב חודש הפטירה - בו יערך יום השנה. יש בכך מחלוקת:</w:t>
      </w:r>
    </w:p>
    <w:p w:rsidR="00000000" w:rsidRDefault="001B5E9C">
      <w:pPr>
        <w:ind w:firstLine="367"/>
        <w:jc w:val="both"/>
        <w:rPr>
          <w:rtl/>
        </w:rPr>
      </w:pPr>
      <w:r>
        <w:rPr>
          <w:rtl/>
        </w:rPr>
        <w:t xml:space="preserve">המחבר באורח חיים סימן </w:t>
      </w:r>
      <w:proofErr w:type="spellStart"/>
      <w:r>
        <w:rPr>
          <w:rtl/>
        </w:rPr>
        <w:t>תקסח</w:t>
      </w:r>
      <w:proofErr w:type="spellEnd"/>
      <w:r>
        <w:rPr>
          <w:rtl/>
        </w:rPr>
        <w:t xml:space="preserve"> סעיף ז סובר שיום זה י</w:t>
      </w:r>
      <w:r>
        <w:rPr>
          <w:rtl/>
        </w:rPr>
        <w:t xml:space="preserve">חול באדר שני. </w:t>
      </w:r>
      <w:proofErr w:type="spellStart"/>
      <w:r>
        <w:rPr>
          <w:rtl/>
        </w:rPr>
        <w:t>הרמ"א</w:t>
      </w:r>
      <w:proofErr w:type="spellEnd"/>
      <w:r>
        <w:rPr>
          <w:rtl/>
        </w:rPr>
        <w:t xml:space="preserve"> מביא את דעת </w:t>
      </w:r>
      <w:proofErr w:type="spellStart"/>
      <w:r>
        <w:rPr>
          <w:rtl/>
        </w:rPr>
        <w:t>המהרי"ל</w:t>
      </w:r>
      <w:proofErr w:type="spellEnd"/>
      <w:r>
        <w:rPr>
          <w:rtl/>
        </w:rPr>
        <w:t xml:space="preserve">, ולפיו היארצייט הוא באדר ראשון, ופוסק לנהוג </w:t>
      </w:r>
      <w:proofErr w:type="spellStart"/>
      <w:r>
        <w:rPr>
          <w:rtl/>
        </w:rPr>
        <w:t>כמהרי"ל</w:t>
      </w:r>
      <w:proofErr w:type="spellEnd"/>
      <w:r>
        <w:rPr>
          <w:rtl/>
        </w:rPr>
        <w:t xml:space="preserve"> למרות שיש דעה המחמירה לנהוג את יום השנה הן באדר ראשון והן באדר שני. </w:t>
      </w:r>
      <w:proofErr w:type="spellStart"/>
      <w:r>
        <w:rPr>
          <w:rtl/>
        </w:rPr>
        <w:t>הגר"א</w:t>
      </w:r>
      <w:proofErr w:type="spellEnd"/>
      <w:r>
        <w:rPr>
          <w:rtl/>
        </w:rPr>
        <w:t xml:space="preserve"> על אתר פוסק שעליו לנהוג את היארצייט פעמיים. בכדי לרדת לעומק הדין, עלינו להבין מהי מהותו של</w:t>
      </w:r>
      <w:r>
        <w:rPr>
          <w:rtl/>
        </w:rPr>
        <w:t xml:space="preserve"> יום השנה, ולכך יש מספר אפשרויות:</w:t>
      </w:r>
    </w:p>
    <w:p w:rsidR="00000000" w:rsidRDefault="001B5E9C">
      <w:pPr>
        <w:numPr>
          <w:ilvl w:val="0"/>
          <w:numId w:val="15"/>
        </w:numPr>
        <w:ind w:left="360"/>
        <w:jc w:val="both"/>
        <w:rPr>
          <w:rtl/>
        </w:rPr>
      </w:pPr>
      <w:r>
        <w:rPr>
          <w:rtl/>
        </w:rPr>
        <w:t xml:space="preserve">היארצייט נקבע ביום שתמו בו שנים עשר חודשי </w:t>
      </w:r>
      <w:proofErr w:type="spellStart"/>
      <w:r>
        <w:rPr>
          <w:rtl/>
        </w:rPr>
        <w:t>האבילות</w:t>
      </w:r>
      <w:proofErr w:type="spellEnd"/>
      <w:r>
        <w:rPr>
          <w:rtl/>
        </w:rPr>
        <w:t>. רעיון זה נדחה ע"י החתם סופר מכל וכל (עיין שו"ת חתם סופר אורח חיים סימן יד), שכן אז אדם שנפטר בשבט של שנה מעוברת, יום הזיכרון שלו יהיה בטבת.</w:t>
      </w:r>
    </w:p>
    <w:p w:rsidR="00000000" w:rsidRDefault="001B5E9C">
      <w:pPr>
        <w:numPr>
          <w:ilvl w:val="0"/>
          <w:numId w:val="15"/>
        </w:numPr>
        <w:ind w:left="360"/>
        <w:jc w:val="both"/>
        <w:rPr>
          <w:rtl/>
        </w:rPr>
      </w:pPr>
      <w:r>
        <w:rPr>
          <w:rtl/>
        </w:rPr>
        <w:t>ניתן להגיד שיום השנה נק</w:t>
      </w:r>
      <w:r>
        <w:rPr>
          <w:rtl/>
        </w:rPr>
        <w:t>בע על פי תאריך יום הפטירה, ותאריך הפטירה הוא רק אדר שני שכן אדר שני הוא ממשיכו של חודש אדר הרגיל שבכל שנה ושנה.</w:t>
      </w:r>
    </w:p>
    <w:p w:rsidR="00000000" w:rsidRDefault="001B5E9C">
      <w:pPr>
        <w:numPr>
          <w:ilvl w:val="0"/>
          <w:numId w:val="15"/>
        </w:numPr>
        <w:ind w:left="360"/>
        <w:jc w:val="both"/>
        <w:rPr>
          <w:rtl/>
        </w:rPr>
      </w:pPr>
      <w:r>
        <w:rPr>
          <w:rtl/>
        </w:rPr>
        <w:t xml:space="preserve">ניתן להסכים שיום הפטירה הוא התאריך הקובע, אולם יום זה מוגדר על פי תום </w:t>
      </w:r>
      <w:proofErr w:type="spellStart"/>
      <w:r>
        <w:rPr>
          <w:rtl/>
        </w:rPr>
        <w:t>האבילות</w:t>
      </w:r>
      <w:proofErr w:type="spellEnd"/>
      <w:r>
        <w:rPr>
          <w:rtl/>
        </w:rPr>
        <w:t xml:space="preserve">, והיות </w:t>
      </w:r>
      <w:proofErr w:type="spellStart"/>
      <w:r>
        <w:rPr>
          <w:rtl/>
        </w:rPr>
        <w:t>שהאבילות</w:t>
      </w:r>
      <w:proofErr w:type="spellEnd"/>
      <w:r>
        <w:rPr>
          <w:rtl/>
        </w:rPr>
        <w:t xml:space="preserve"> תמה לה באדר ראשון, ייחשב יום פטירתו של אדם זה </w:t>
      </w:r>
      <w:r>
        <w:rPr>
          <w:rtl/>
        </w:rPr>
        <w:t xml:space="preserve">באדר הראשון. תום </w:t>
      </w:r>
      <w:proofErr w:type="spellStart"/>
      <w:r>
        <w:rPr>
          <w:rtl/>
        </w:rPr>
        <w:t>האבילות</w:t>
      </w:r>
      <w:proofErr w:type="spellEnd"/>
      <w:r>
        <w:rPr>
          <w:rtl/>
        </w:rPr>
        <w:t xml:space="preserve"> מגדירה את הפטירה. הרבה אחרונים הבינו שמחלוקת הפוסקים היא בין שתי השיטות האחרונות שהזכרנו.</w:t>
      </w:r>
    </w:p>
    <w:p w:rsidR="00000000" w:rsidRDefault="001B5E9C">
      <w:pPr>
        <w:numPr>
          <w:ilvl w:val="0"/>
          <w:numId w:val="15"/>
        </w:numPr>
        <w:ind w:left="360"/>
        <w:jc w:val="both"/>
        <w:rPr>
          <w:rtl/>
        </w:rPr>
      </w:pPr>
      <w:r>
        <w:rPr>
          <w:rtl/>
        </w:rPr>
        <w:lastRenderedPageBreak/>
        <w:t>הרעיון שעומד מאחורי יום השנה הוא, שבתאריך שנפטר הקרוב יש מנהג לעשות דברים מסוימים. כעת יש לדון מהו התאריך שנקרא אדר, אפשר לומר ששני התארי</w:t>
      </w:r>
      <w:r>
        <w:rPr>
          <w:rtl/>
        </w:rPr>
        <w:t xml:space="preserve">כים - הן אדר ראשון והן אדר שני נקראים אדר, וזאת על פי הסוגיה במסכת מגילה. כל הסיבה שחג פורים נחוג רק פעם אחת היא הפסוק  'בכל שנה ושנה', אולם לולא הפסוקים יש שני אדרים. לפי סברה זו מחליט </w:t>
      </w:r>
      <w:proofErr w:type="spellStart"/>
      <w:r>
        <w:rPr>
          <w:rtl/>
        </w:rPr>
        <w:t>הגר"א</w:t>
      </w:r>
      <w:proofErr w:type="spellEnd"/>
      <w:r>
        <w:rPr>
          <w:rtl/>
        </w:rPr>
        <w:t xml:space="preserve"> בסימן </w:t>
      </w:r>
      <w:proofErr w:type="spellStart"/>
      <w:r>
        <w:rPr>
          <w:rtl/>
        </w:rPr>
        <w:t>תקסח</w:t>
      </w:r>
      <w:proofErr w:type="spellEnd"/>
      <w:r>
        <w:rPr>
          <w:rtl/>
        </w:rPr>
        <w:t xml:space="preserve"> ששני הימים הם ימי יארצייט, וממילא שאלת החתם סופר אינה</w:t>
      </w:r>
      <w:r>
        <w:rPr>
          <w:rtl/>
        </w:rPr>
        <w:t xml:space="preserve"> רלוונטית, כי כל הבעיה היא מצד התאריך בלוח השנה. וברור שלאדם שנפטר בשבט, תאריך פטירתו יהיה בשבט למרות השנה המעוברת. כמובן, עדיין נותר לדון האם מנהגים שונים כתענית ביום השנה הם דינים אובייקטיביים, או שהם תלויים במנהג כמו נדרים, ואם כן, יש להשוות בין הגמרא ב</w:t>
      </w:r>
      <w:r>
        <w:rPr>
          <w:rtl/>
        </w:rPr>
        <w:t>נדרים לענייננו (דיון בנידון במשנה ברורה על אתר).</w:t>
      </w:r>
    </w:p>
    <w:p w:rsidR="00000000" w:rsidRDefault="001B5E9C">
      <w:pPr>
        <w:pStyle w:val="2"/>
        <w:rPr>
          <w:rtl/>
        </w:rPr>
      </w:pPr>
      <w:r>
        <w:rPr>
          <w:rtl/>
        </w:rPr>
        <w:t>דיונים אחרים</w:t>
      </w:r>
    </w:p>
    <w:p w:rsidR="00000000" w:rsidRDefault="001B5E9C">
      <w:pPr>
        <w:jc w:val="both"/>
        <w:rPr>
          <w:rtl/>
        </w:rPr>
      </w:pPr>
      <w:r>
        <w:rPr>
          <w:rtl/>
        </w:rPr>
        <w:t>נזכיר בקציר האומר שאלות נוספות המתעוררות בשנה מעוברת.</w:t>
      </w:r>
    </w:p>
    <w:p w:rsidR="00000000" w:rsidRDefault="001B5E9C">
      <w:pPr>
        <w:numPr>
          <w:ilvl w:val="0"/>
          <w:numId w:val="20"/>
        </w:numPr>
        <w:ind w:left="360"/>
        <w:jc w:val="both"/>
        <w:rPr>
          <w:rtl/>
        </w:rPr>
      </w:pPr>
      <w:r>
        <w:rPr>
          <w:rtl/>
        </w:rPr>
        <w:t>"נקי יהיה לביתו שנה אחת" - מצווה זו מטילה על החתן לשמח את אשתו</w:t>
      </w:r>
      <w:r>
        <w:rPr>
          <w:rStyle w:val="FootnoteReference"/>
          <w:rtl/>
        </w:rPr>
        <w:footnoteReference w:id="6"/>
      </w:r>
      <w:r>
        <w:rPr>
          <w:rtl/>
        </w:rPr>
        <w:t xml:space="preserve">. השאלה המתעוררת היא האם החיוב חל במשך שנה רגילה (י"ב חודש), או במשך שנה מלאה (י"ג חודש בשנה מעוברת). </w:t>
      </w:r>
      <w:proofErr w:type="spellStart"/>
      <w:r>
        <w:rPr>
          <w:rtl/>
        </w:rPr>
        <w:t>האדר"ת</w:t>
      </w:r>
      <w:proofErr w:type="spellEnd"/>
      <w:r>
        <w:rPr>
          <w:rtl/>
        </w:rPr>
        <w:t xml:space="preserve"> הסתפק בשאלה זו, המובאת בשמו בספר ההשלמה על מנחת חינוך.</w:t>
      </w:r>
    </w:p>
    <w:p w:rsidR="00000000" w:rsidRDefault="001B5E9C">
      <w:pPr>
        <w:numPr>
          <w:ilvl w:val="0"/>
          <w:numId w:val="20"/>
        </w:numPr>
        <w:ind w:left="360"/>
        <w:jc w:val="both"/>
        <w:rPr>
          <w:rtl/>
        </w:rPr>
      </w:pPr>
      <w:r>
        <w:rPr>
          <w:rtl/>
        </w:rPr>
        <w:t xml:space="preserve">מסורת היא בידינו שמשה רבינו נפטר בז' אדר (ולא ברור אם </w:t>
      </w:r>
      <w:proofErr w:type="spellStart"/>
      <w:r>
        <w:rPr>
          <w:rtl/>
        </w:rPr>
        <w:t>היתה</w:t>
      </w:r>
      <w:proofErr w:type="spellEnd"/>
      <w:r>
        <w:rPr>
          <w:rtl/>
        </w:rPr>
        <w:t xml:space="preserve"> זו שנה מעוברת אם ל</w:t>
      </w:r>
      <w:r>
        <w:rPr>
          <w:rtl/>
        </w:rPr>
        <w:t xml:space="preserve">או). ישנו מנהג (ובפרט </w:t>
      </w:r>
      <w:proofErr w:type="spellStart"/>
      <w:r>
        <w:rPr>
          <w:rtl/>
        </w:rPr>
        <w:t>בחברא</w:t>
      </w:r>
      <w:proofErr w:type="spellEnd"/>
      <w:r>
        <w:rPr>
          <w:rtl/>
        </w:rPr>
        <w:t xml:space="preserve"> </w:t>
      </w:r>
      <w:proofErr w:type="spellStart"/>
      <w:r>
        <w:rPr>
          <w:rtl/>
        </w:rPr>
        <w:t>חדישא</w:t>
      </w:r>
      <w:proofErr w:type="spellEnd"/>
      <w:r>
        <w:rPr>
          <w:rtl/>
        </w:rPr>
        <w:t xml:space="preserve">) לנהוג יום זה בסעודת מצווה. איך יש לנהוג בשנה מעוברת? הרב עובדיה יוסף </w:t>
      </w:r>
      <w:proofErr w:type="spellStart"/>
      <w:r>
        <w:rPr>
          <w:rtl/>
        </w:rPr>
        <w:t>ביחוה</w:t>
      </w:r>
      <w:proofErr w:type="spellEnd"/>
      <w:r>
        <w:rPr>
          <w:rtl/>
        </w:rPr>
        <w:t xml:space="preserve"> דעת חלק א סימן פג פסק להלכה שנוהגים מנהג זה רק באדר שני (אך דעת המגן אברהם בסימן </w:t>
      </w:r>
      <w:proofErr w:type="spellStart"/>
      <w:r>
        <w:rPr>
          <w:rtl/>
        </w:rPr>
        <w:t>תקפ</w:t>
      </w:r>
      <w:proofErr w:type="spellEnd"/>
      <w:r>
        <w:rPr>
          <w:rtl/>
        </w:rPr>
        <w:t xml:space="preserve"> </w:t>
      </w:r>
      <w:proofErr w:type="spellStart"/>
      <w:r>
        <w:rPr>
          <w:rtl/>
        </w:rPr>
        <w:t>ס"ק</w:t>
      </w:r>
      <w:proofErr w:type="spellEnd"/>
      <w:r>
        <w:rPr>
          <w:rtl/>
        </w:rPr>
        <w:t xml:space="preserve"> </w:t>
      </w:r>
      <w:proofErr w:type="spellStart"/>
      <w:r>
        <w:rPr>
          <w:rtl/>
        </w:rPr>
        <w:t>יח</w:t>
      </w:r>
      <w:proofErr w:type="spellEnd"/>
      <w:r>
        <w:rPr>
          <w:rtl/>
        </w:rPr>
        <w:t xml:space="preserve"> וכן הרבה אחרונים היא לעשותו באדר ראשון).</w:t>
      </w:r>
    </w:p>
    <w:p w:rsidR="00000000" w:rsidRDefault="001B5E9C">
      <w:pPr>
        <w:numPr>
          <w:ilvl w:val="0"/>
          <w:numId w:val="20"/>
        </w:numPr>
        <w:ind w:left="360"/>
        <w:jc w:val="both"/>
        <w:rPr>
          <w:rtl/>
        </w:rPr>
      </w:pPr>
      <w:r>
        <w:rPr>
          <w:rtl/>
        </w:rPr>
        <w:t xml:space="preserve">מי שנעשה </w:t>
      </w:r>
      <w:r>
        <w:rPr>
          <w:rtl/>
        </w:rPr>
        <w:t xml:space="preserve">לו נס באדר, וחוגג 'פורים יחיד' בכל שנה ושנה, מה דינו בשנה מעוברת? המשנה ברורה סימן תרפו </w:t>
      </w:r>
      <w:proofErr w:type="spellStart"/>
      <w:r>
        <w:rPr>
          <w:rtl/>
        </w:rPr>
        <w:t>ס"ק</w:t>
      </w:r>
      <w:proofErr w:type="spellEnd"/>
      <w:r>
        <w:rPr>
          <w:rtl/>
        </w:rPr>
        <w:t xml:space="preserve"> ח פוסק שיש לו לחוג רק באדר שני. בצדק העיר הרב שאול </w:t>
      </w:r>
      <w:proofErr w:type="spellStart"/>
      <w:r>
        <w:rPr>
          <w:rtl/>
        </w:rPr>
        <w:t>פרימר</w:t>
      </w:r>
      <w:proofErr w:type="spellEnd"/>
      <w:r>
        <w:rPr>
          <w:rStyle w:val="FootnoteReference"/>
          <w:rtl/>
        </w:rPr>
        <w:footnoteReference w:id="7"/>
      </w:r>
      <w:r>
        <w:rPr>
          <w:rtl/>
        </w:rPr>
        <w:t xml:space="preserve"> שמקור הדברים הוא </w:t>
      </w:r>
      <w:proofErr w:type="spellStart"/>
      <w:r>
        <w:rPr>
          <w:rtl/>
        </w:rPr>
        <w:t>בשו"ת</w:t>
      </w:r>
      <w:proofErr w:type="spellEnd"/>
      <w:r>
        <w:rPr>
          <w:rtl/>
        </w:rPr>
        <w:t xml:space="preserve"> החתם סופר אורח חיים סימן </w:t>
      </w:r>
      <w:proofErr w:type="spellStart"/>
      <w:r>
        <w:rPr>
          <w:rtl/>
        </w:rPr>
        <w:t>קסג</w:t>
      </w:r>
      <w:proofErr w:type="spellEnd"/>
      <w:r>
        <w:rPr>
          <w:rtl/>
        </w:rPr>
        <w:t>, המחלק בין סוגי מנ</w:t>
      </w:r>
      <w:r>
        <w:rPr>
          <w:rtl/>
        </w:rPr>
        <w:t xml:space="preserve">הגים שונים; אם היום נקבע כיום תענית, יעשהו באדר שני </w:t>
      </w:r>
      <w:proofErr w:type="spellStart"/>
      <w:r>
        <w:rPr>
          <w:bCs/>
          <w:rtl/>
        </w:rPr>
        <w:t>דאקדומי</w:t>
      </w:r>
      <w:proofErr w:type="spellEnd"/>
      <w:r>
        <w:rPr>
          <w:bCs/>
          <w:rtl/>
        </w:rPr>
        <w:t xml:space="preserve"> פורענות לא </w:t>
      </w:r>
      <w:proofErr w:type="spellStart"/>
      <w:r>
        <w:rPr>
          <w:bCs/>
          <w:rtl/>
        </w:rPr>
        <w:t>מקדימינן</w:t>
      </w:r>
      <w:proofErr w:type="spellEnd"/>
      <w:r>
        <w:rPr>
          <w:rtl/>
        </w:rPr>
        <w:t xml:space="preserve">, ואם נקבע כיום שמחה - </w:t>
      </w:r>
    </w:p>
    <w:p w:rsidR="00000000" w:rsidRDefault="001B5E9C">
      <w:pPr>
        <w:pStyle w:val="a1"/>
        <w:ind w:left="567" w:right="0"/>
        <w:rPr>
          <w:rtl/>
        </w:rPr>
      </w:pPr>
      <w:r>
        <w:rPr>
          <w:rtl/>
        </w:rPr>
        <w:t>"</w:t>
      </w:r>
      <w:r>
        <w:rPr>
          <w:bCs/>
          <w:rtl/>
        </w:rPr>
        <w:t>אינו צריך להטריח</w:t>
      </w:r>
      <w:r>
        <w:rPr>
          <w:rtl/>
        </w:rPr>
        <w:t xml:space="preserve"> [הדגשה אינה במקור - ב.ת.] אלא פעם אחת, היינו באדר שני, למסמך גאולה לגאולה. ואם הוא מידי דלית ביה טורח, כגון: שב ואל תעשה - מחייב לעשות </w:t>
      </w:r>
      <w:r>
        <w:rPr>
          <w:rtl/>
        </w:rPr>
        <w:t>בשני אדרים, בראשון ובשני".</w:t>
      </w:r>
    </w:p>
    <w:p w:rsidR="00000000" w:rsidRDefault="001B5E9C">
      <w:pPr>
        <w:numPr>
          <w:ilvl w:val="0"/>
          <w:numId w:val="20"/>
        </w:numPr>
        <w:ind w:left="360"/>
        <w:jc w:val="both"/>
        <w:rPr>
          <w:rtl/>
        </w:rPr>
      </w:pPr>
      <w:r>
        <w:rPr>
          <w:rtl/>
        </w:rPr>
        <w:t xml:space="preserve">חזקת שלש שנים - </w:t>
      </w:r>
      <w:proofErr w:type="spellStart"/>
      <w:r>
        <w:rPr>
          <w:rtl/>
        </w:rPr>
        <w:t>הריטב"א</w:t>
      </w:r>
      <w:proofErr w:type="spellEnd"/>
      <w:r>
        <w:rPr>
          <w:rtl/>
        </w:rPr>
        <w:t xml:space="preserve"> </w:t>
      </w:r>
      <w:proofErr w:type="spellStart"/>
      <w:r>
        <w:rPr>
          <w:rtl/>
        </w:rPr>
        <w:t>בבבא</w:t>
      </w:r>
      <w:proofErr w:type="spellEnd"/>
      <w:r>
        <w:rPr>
          <w:rtl/>
        </w:rPr>
        <w:t xml:space="preserve"> </w:t>
      </w:r>
      <w:proofErr w:type="spellStart"/>
      <w:r>
        <w:rPr>
          <w:rtl/>
        </w:rPr>
        <w:t>בתרא</w:t>
      </w:r>
      <w:proofErr w:type="spellEnd"/>
      <w:r>
        <w:rPr>
          <w:rtl/>
        </w:rPr>
        <w:t xml:space="preserve"> </w:t>
      </w:r>
      <w:proofErr w:type="spellStart"/>
      <w:r>
        <w:rPr>
          <w:rtl/>
        </w:rPr>
        <w:t>כח</w:t>
      </w:r>
      <w:proofErr w:type="spellEnd"/>
      <w:r>
        <w:rPr>
          <w:rtl/>
        </w:rPr>
        <w:t xml:space="preserve"> ע"א פוסק:</w:t>
      </w:r>
    </w:p>
    <w:p w:rsidR="00000000" w:rsidRDefault="001B5E9C">
      <w:pPr>
        <w:pStyle w:val="a1"/>
        <w:ind w:left="567" w:right="0"/>
        <w:rPr>
          <w:rtl/>
        </w:rPr>
      </w:pPr>
      <w:r>
        <w:rPr>
          <w:rtl/>
        </w:rPr>
        <w:t xml:space="preserve"> "והני ג' שנים אינן כמניין העולם מתשרי לתשרי, אלא שמתחיל למנות מן היום שהתחיל להחזיק י"ב חודש עד תשלום ל"ו חודש ואם </w:t>
      </w:r>
      <w:proofErr w:type="spellStart"/>
      <w:r>
        <w:rPr>
          <w:rtl/>
        </w:rPr>
        <w:t>נתעברה</w:t>
      </w:r>
      <w:proofErr w:type="spellEnd"/>
      <w:r>
        <w:rPr>
          <w:rtl/>
        </w:rPr>
        <w:t xml:space="preserve"> השנה </w:t>
      </w:r>
      <w:proofErr w:type="spellStart"/>
      <w:r>
        <w:rPr>
          <w:rtl/>
        </w:rPr>
        <w:t>נתעברה</w:t>
      </w:r>
      <w:proofErr w:type="spellEnd"/>
      <w:r>
        <w:rPr>
          <w:rtl/>
        </w:rPr>
        <w:t xml:space="preserve"> לו". (</w:t>
      </w:r>
      <w:proofErr w:type="spellStart"/>
      <w:r>
        <w:rPr>
          <w:rtl/>
        </w:rPr>
        <w:t>הפתחי</w:t>
      </w:r>
      <w:proofErr w:type="spellEnd"/>
      <w:r>
        <w:rPr>
          <w:rtl/>
        </w:rPr>
        <w:t xml:space="preserve"> תשובה חושן משפט סימן קמא מסתפק </w:t>
      </w:r>
      <w:r>
        <w:rPr>
          <w:rtl/>
        </w:rPr>
        <w:t>בזה)</w:t>
      </w:r>
    </w:p>
    <w:p w:rsidR="00000000" w:rsidRDefault="001B5E9C">
      <w:pPr>
        <w:numPr>
          <w:ilvl w:val="0"/>
          <w:numId w:val="20"/>
        </w:numPr>
        <w:ind w:left="360"/>
        <w:jc w:val="both"/>
        <w:rPr>
          <w:rtl/>
        </w:rPr>
      </w:pPr>
      <w:r>
        <w:rPr>
          <w:rtl/>
        </w:rPr>
        <w:lastRenderedPageBreak/>
        <w:t xml:space="preserve">פרשת זכור - אנו קוראים פרשת זכור בשבת שלפני פורים, ולהרבה פוסקים קריאה זו היא מן התורה. הם הבינו שהציוויים "לא תשכח" ו"זכור" שנאמרו לגבי עמלק מחייבים לקרוא פרשה זו פעם אחת בשנה. מהי שנה לעניין זה? והרי עוברים יותר מי"ב חודש משבת פרשת זכור של השנה </w:t>
      </w:r>
      <w:r>
        <w:rPr>
          <w:rtl/>
        </w:rPr>
        <w:t>שעברה עד שבת שלפני פורים שבשנה מעוברת זו? לפי מנהגנו שקוראים את כל התורה כל שנה יש מקום לכוון לצאת ידי חובה בשנה כזו בשבת פרשת כי-תצא, אך לפי המנהג שגומרים את התורה בשלש שנים, איך יוצאים ידי חובה? החתם סופר בתשובותיו</w:t>
      </w:r>
      <w:r>
        <w:rPr>
          <w:rStyle w:val="FootnoteReference"/>
          <w:rtl/>
        </w:rPr>
        <w:footnoteReference w:id="8"/>
      </w:r>
      <w:r>
        <w:rPr>
          <w:rtl/>
        </w:rPr>
        <w:t xml:space="preserve"> כתב כי בשנה מעובר</w:t>
      </w:r>
      <w:r>
        <w:rPr>
          <w:rtl/>
        </w:rPr>
        <w:t>ת שיעור השכחה הוא י"ג חודש</w:t>
      </w:r>
      <w:r>
        <w:rPr>
          <w:rStyle w:val="FootnoteReference"/>
          <w:rtl/>
        </w:rPr>
        <w:footnoteReference w:id="9"/>
      </w:r>
      <w:r>
        <w:rPr>
          <w:rtl/>
        </w:rPr>
        <w:t xml:space="preserve">. </w:t>
      </w:r>
    </w:p>
    <w:p w:rsidR="00000000" w:rsidRDefault="001B5E9C">
      <w:pPr>
        <w:pStyle w:val="2"/>
        <w:rPr>
          <w:rtl/>
        </w:rPr>
      </w:pPr>
      <w:r>
        <w:rPr>
          <w:rtl/>
        </w:rPr>
        <w:t>קו מנחה בנושא - סיכום</w:t>
      </w:r>
    </w:p>
    <w:p w:rsidR="00000000" w:rsidRDefault="001B5E9C">
      <w:pPr>
        <w:jc w:val="both"/>
        <w:rPr>
          <w:rtl/>
        </w:rPr>
      </w:pPr>
      <w:r>
        <w:rPr>
          <w:rtl/>
        </w:rPr>
        <w:t xml:space="preserve">לאור דיוננו ניתן להציע שהבעיות ההלכתיות </w:t>
      </w:r>
      <w:proofErr w:type="spellStart"/>
      <w:r>
        <w:rPr>
          <w:rtl/>
        </w:rPr>
        <w:t>תפתרנה</w:t>
      </w:r>
      <w:proofErr w:type="spellEnd"/>
      <w:r>
        <w:rPr>
          <w:rtl/>
        </w:rPr>
        <w:t xml:space="preserve"> כשנבין את שורש השאלה. אם דנים בנושא שהמדד בו הוא י"ב חודש - בוודאי שחודש העיבור אינו בכלל. מסיבה זו מש</w:t>
      </w:r>
      <w:r>
        <w:rPr>
          <w:rtl/>
        </w:rPr>
        <w:t xml:space="preserve">ך </w:t>
      </w:r>
      <w:proofErr w:type="spellStart"/>
      <w:r>
        <w:rPr>
          <w:rtl/>
        </w:rPr>
        <w:t>האבילות</w:t>
      </w:r>
      <w:proofErr w:type="spellEnd"/>
      <w:r>
        <w:rPr>
          <w:rtl/>
        </w:rPr>
        <w:t xml:space="preserve"> הינו י"ב חודש בלבד, ללא חודש העיבור. </w:t>
      </w:r>
      <w:proofErr w:type="spellStart"/>
      <w:r>
        <w:rPr>
          <w:rtl/>
        </w:rPr>
        <w:t>הריטב"א</w:t>
      </w:r>
      <w:proofErr w:type="spellEnd"/>
      <w:r>
        <w:rPr>
          <w:rtl/>
        </w:rPr>
        <w:t xml:space="preserve"> אף סבור מאותה סיבה שכיוון שחזקת ג' שנים היא בת ל"ו חודש - אין להתחשב בחודש העיבור. במקומות אחרים, בהם דנים על שנה - הראיה מבתי ערי חומה מוכיחה שאורכה בשנת העיבור י"ג חודש ושנה מסתיימת רק באדר שני (אם כ</w:t>
      </w:r>
      <w:r>
        <w:rPr>
          <w:rtl/>
        </w:rPr>
        <w:t xml:space="preserve">י ניתן לדחות ולומר ששם יש דין מיוחד של 'שנה תמימה', ועיין במחלוקת </w:t>
      </w:r>
      <w:proofErr w:type="spellStart"/>
      <w:r>
        <w:rPr>
          <w:rtl/>
        </w:rPr>
        <w:t>הרשב"א</w:t>
      </w:r>
      <w:proofErr w:type="spellEnd"/>
      <w:r>
        <w:rPr>
          <w:rtl/>
        </w:rPr>
        <w:t xml:space="preserve"> </w:t>
      </w:r>
      <w:proofErr w:type="spellStart"/>
      <w:r>
        <w:rPr>
          <w:rtl/>
        </w:rPr>
        <w:t>והר"ן</w:t>
      </w:r>
      <w:proofErr w:type="spellEnd"/>
      <w:r>
        <w:rPr>
          <w:rtl/>
        </w:rPr>
        <w:t xml:space="preserve"> שהבאנו לעיל). לגבי בר מצווה - רוב הפוסקים סבורים שילד נהיה בר מצווה במלאת לו י"ג שנה, ולכן חודש העיבור בכלל השנה. לעניין </w:t>
      </w:r>
      <w:r>
        <w:rPr>
          <w:b/>
          <w:bCs/>
          <w:rtl/>
        </w:rPr>
        <w:t xml:space="preserve">התאריך </w:t>
      </w:r>
      <w:r>
        <w:rPr>
          <w:rtl/>
        </w:rPr>
        <w:t xml:space="preserve">שנקרא אדר, ייתכן ששני התאריכים נחשבים לאדר, ולכן </w:t>
      </w:r>
      <w:r>
        <w:rPr>
          <w:rtl/>
        </w:rPr>
        <w:t xml:space="preserve">לגבי יארצייט סבור </w:t>
      </w:r>
      <w:proofErr w:type="spellStart"/>
      <w:r>
        <w:rPr>
          <w:rtl/>
        </w:rPr>
        <w:t>הגר"א</w:t>
      </w:r>
      <w:proofErr w:type="spellEnd"/>
      <w:r>
        <w:rPr>
          <w:rtl/>
        </w:rPr>
        <w:t xml:space="preserve"> שיש לנהוג את שני הימים. בנדרים הדין נקבע לפי כוונת הנודר ופירוש דבריו. ולכן למרות ששני התאריכים נחשבים לאדר, נקל ונאמר שצריכים לנהוג רק אחד מהם, ונחלק בין סוגי המנהגים. כך גם מחלק החתם סופר לגבי פורים יחיד, ואף ביארצייט וז' אדר יתכן</w:t>
      </w:r>
      <w:r>
        <w:rPr>
          <w:rtl/>
        </w:rPr>
        <w:t xml:space="preserve"> שהמצב דומה.  </w:t>
      </w:r>
    </w:p>
    <w:p w:rsidR="00000000" w:rsidRDefault="001B5E9C">
      <w:pPr>
        <w:ind w:firstLine="367"/>
        <w:jc w:val="both"/>
        <w:rPr>
          <w:rtl/>
        </w:rPr>
      </w:pPr>
      <w:r>
        <w:rPr>
          <w:rtl/>
        </w:rPr>
        <w:t>לאור דברינו ניתן לחזור למחלוקת הראשונים לגבי איסור הספד וחיוב שמחה בפורים קטן, ונבאר את השיטות השונות לפי סברותיהן:</w:t>
      </w:r>
    </w:p>
    <w:p w:rsidR="00000000" w:rsidRDefault="001B5E9C">
      <w:pPr>
        <w:numPr>
          <w:ilvl w:val="0"/>
          <w:numId w:val="22"/>
        </w:numPr>
        <w:ind w:left="727"/>
        <w:jc w:val="both"/>
        <w:rPr>
          <w:rtl/>
        </w:rPr>
      </w:pPr>
      <w:r>
        <w:rPr>
          <w:rtl/>
        </w:rPr>
        <w:t>עקרונית, ניתן לומר ששני התאריכים נחשבים לי"ד אדר הכתוב במגילת תענית ובמגילת אסתר ולכן צריך לחגוג יומיים, אך הפסוק שלל אפש</w:t>
      </w:r>
      <w:r>
        <w:rPr>
          <w:rtl/>
        </w:rPr>
        <w:t xml:space="preserve">רות זו באומרו "בכל שנה ושנה" - כלומר: יש רק פורים אחד. </w:t>
      </w:r>
      <w:proofErr w:type="spellStart"/>
      <w:r>
        <w:rPr>
          <w:rtl/>
        </w:rPr>
        <w:t>הרא"ש</w:t>
      </w:r>
      <w:proofErr w:type="spellEnd"/>
      <w:r>
        <w:rPr>
          <w:rtl/>
        </w:rPr>
        <w:t xml:space="preserve"> הסיק מכך ש</w:t>
      </w:r>
      <w:r>
        <w:rPr>
          <w:b/>
          <w:bCs/>
          <w:rtl/>
        </w:rPr>
        <w:t xml:space="preserve">אין שום חיוב באדר </w:t>
      </w:r>
      <w:r>
        <w:rPr>
          <w:rtl/>
        </w:rPr>
        <w:t xml:space="preserve">ראשון. ידידי </w:t>
      </w:r>
      <w:proofErr w:type="spellStart"/>
      <w:r>
        <w:rPr>
          <w:rtl/>
        </w:rPr>
        <w:t>הר"ר</w:t>
      </w:r>
      <w:proofErr w:type="spellEnd"/>
      <w:r>
        <w:rPr>
          <w:rtl/>
        </w:rPr>
        <w:t xml:space="preserve"> יאיר </w:t>
      </w:r>
      <w:proofErr w:type="spellStart"/>
      <w:r>
        <w:rPr>
          <w:rtl/>
        </w:rPr>
        <w:t>קאהן</w:t>
      </w:r>
      <w:proofErr w:type="spellEnd"/>
      <w:r>
        <w:rPr>
          <w:rtl/>
        </w:rPr>
        <w:t xml:space="preserve"> העיר שמלשון </w:t>
      </w:r>
      <w:proofErr w:type="spellStart"/>
      <w:r>
        <w:rPr>
          <w:rtl/>
        </w:rPr>
        <w:t>הרא"ש</w:t>
      </w:r>
      <w:proofErr w:type="spellEnd"/>
      <w:r>
        <w:rPr>
          <w:rtl/>
        </w:rPr>
        <w:t xml:space="preserve"> שאומר שחודש אדר הוא כחודש שבט משמע שהוא חולק על הקו שלנו, ומבין שאדר ראשון אינו בכלל חודש אדר כלל! אמנם, ייתכן שהוא השתמש</w:t>
      </w:r>
      <w:r>
        <w:rPr>
          <w:rtl/>
        </w:rPr>
        <w:t xml:space="preserve"> בלשון זו רק לאחר גזירת הכתוב "בכל שנה ושנה", ולכן אי אפשר ללמוד מכך על דעתו של </w:t>
      </w:r>
      <w:proofErr w:type="spellStart"/>
      <w:r>
        <w:rPr>
          <w:rtl/>
        </w:rPr>
        <w:t>הרא"ש</w:t>
      </w:r>
      <w:proofErr w:type="spellEnd"/>
      <w:r>
        <w:rPr>
          <w:rtl/>
        </w:rPr>
        <w:t xml:space="preserve">. </w:t>
      </w:r>
    </w:p>
    <w:p w:rsidR="00000000" w:rsidRDefault="001B5E9C">
      <w:pPr>
        <w:numPr>
          <w:ilvl w:val="0"/>
          <w:numId w:val="22"/>
        </w:numPr>
        <w:ind w:left="727"/>
        <w:jc w:val="both"/>
        <w:rPr>
          <w:rtl/>
        </w:rPr>
      </w:pPr>
      <w:r>
        <w:rPr>
          <w:rtl/>
        </w:rPr>
        <w:t xml:space="preserve">התוספות מחלקים בין מגילת אסתר, לגביה נאמר הפסוק, לבין מגילת תענית הנקבעת על פי התאריך. </w:t>
      </w:r>
    </w:p>
    <w:p w:rsidR="00000000" w:rsidRDefault="001B5E9C">
      <w:pPr>
        <w:numPr>
          <w:ilvl w:val="0"/>
          <w:numId w:val="22"/>
        </w:numPr>
        <w:ind w:left="727"/>
        <w:jc w:val="both"/>
        <w:rPr>
          <w:rtl/>
        </w:rPr>
      </w:pPr>
      <w:proofErr w:type="spellStart"/>
      <w:r>
        <w:rPr>
          <w:rtl/>
        </w:rPr>
        <w:lastRenderedPageBreak/>
        <w:t>הר"ן</w:t>
      </w:r>
      <w:proofErr w:type="spellEnd"/>
      <w:r>
        <w:rPr>
          <w:rtl/>
        </w:rPr>
        <w:t>, לעומתם, הבין שהתאריך י"ד אדר חל פעמיים בשנה מעוברת, ולגבי מגילה יש</w:t>
      </w:r>
      <w:r>
        <w:rPr>
          <w:rtl/>
        </w:rPr>
        <w:t>נו מיעוט מיוחד, אך עדיין קיים חיוב סעודה ואיסור הספד</w:t>
      </w:r>
      <w:r>
        <w:rPr>
          <w:rStyle w:val="FootnoteReference"/>
          <w:rtl/>
        </w:rPr>
        <w:footnoteReference w:id="10"/>
      </w:r>
      <w:r>
        <w:rPr>
          <w:rtl/>
        </w:rPr>
        <w:t xml:space="preserve">. </w:t>
      </w:r>
    </w:p>
    <w:p w:rsidR="00000000" w:rsidRDefault="001B5E9C">
      <w:pPr>
        <w:jc w:val="both"/>
        <w:rPr>
          <w:rtl/>
        </w:rPr>
      </w:pPr>
      <w:r>
        <w:rPr>
          <w:rtl/>
        </w:rPr>
        <w:t xml:space="preserve">להלכה, מביא המחבר את שיטת התוספות ומוסיף את שיטת </w:t>
      </w:r>
      <w:proofErr w:type="spellStart"/>
      <w:r>
        <w:rPr>
          <w:rtl/>
        </w:rPr>
        <w:t>הרא"ש</w:t>
      </w:r>
      <w:proofErr w:type="spellEnd"/>
      <w:r>
        <w:rPr>
          <w:rtl/>
        </w:rPr>
        <w:t xml:space="preserve">. </w:t>
      </w:r>
      <w:proofErr w:type="spellStart"/>
      <w:r>
        <w:rPr>
          <w:rtl/>
        </w:rPr>
        <w:t>הרמ"א</w:t>
      </w:r>
      <w:proofErr w:type="spellEnd"/>
      <w:r>
        <w:rPr>
          <w:rtl/>
        </w:rPr>
        <w:t xml:space="preserve"> מוסיף שאמנם המנהג כשיטת התוספות, אך מביא את </w:t>
      </w:r>
      <w:proofErr w:type="spellStart"/>
      <w:r>
        <w:rPr>
          <w:rtl/>
        </w:rPr>
        <w:t>הרא"ש</w:t>
      </w:r>
      <w:proofErr w:type="spellEnd"/>
      <w:r>
        <w:rPr>
          <w:rtl/>
        </w:rPr>
        <w:t xml:space="preserve"> בשם 'יש אומרים' וקובע שאין נוהגים כן. </w:t>
      </w:r>
      <w:proofErr w:type="spellStart"/>
      <w:r>
        <w:rPr>
          <w:rtl/>
        </w:rPr>
        <w:t>הרמ"א</w:t>
      </w:r>
      <w:proofErr w:type="spellEnd"/>
      <w:r>
        <w:rPr>
          <w:rtl/>
        </w:rPr>
        <w:t xml:space="preserve"> מסיים את חיבורו לחלק אורח חיים במילים הבאות:</w:t>
      </w:r>
    </w:p>
    <w:p w:rsidR="00000000" w:rsidRDefault="001B5E9C">
      <w:pPr>
        <w:pStyle w:val="a1"/>
        <w:ind w:left="567" w:right="0"/>
        <w:rPr>
          <w:rtl/>
        </w:rPr>
      </w:pPr>
      <w:r>
        <w:rPr>
          <w:rtl/>
        </w:rPr>
        <w:t>"מכל מקום ירבה קצת בסעודה כדי לצאת ידי המחמירי</w:t>
      </w:r>
      <w:r>
        <w:rPr>
          <w:rtl/>
        </w:rPr>
        <w:t>ם 'וטוב לב משתה תמיד'".</w:t>
      </w:r>
    </w:p>
    <w:p w:rsidR="00000000" w:rsidRDefault="001B5E9C">
      <w:pPr>
        <w:jc w:val="both"/>
        <w:rPr>
          <w:bCs/>
          <w:u w:val="single"/>
          <w:rtl/>
        </w:rPr>
      </w:pPr>
    </w:p>
    <w:p w:rsidR="00000000" w:rsidRDefault="001B5E9C">
      <w:pPr>
        <w:jc w:val="both"/>
      </w:pPr>
    </w:p>
    <w:p w:rsidR="00000000" w:rsidRDefault="001B5E9C">
      <w:pPr>
        <w:pStyle w:val="a1"/>
        <w:ind w:left="567" w:right="0"/>
        <w:rPr>
          <w:sz w:val="14"/>
          <w:szCs w:val="14"/>
          <w:rtl/>
        </w:rPr>
      </w:pPr>
    </w:p>
    <w:p w:rsidR="00000000" w:rsidRDefault="001B5E9C">
      <w:pPr>
        <w:pStyle w:val="a1"/>
        <w:ind w:left="567" w:right="0"/>
        <w:rPr>
          <w:sz w:val="14"/>
          <w:szCs w:val="14"/>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tblPrEx>
          <w:tblCellMar>
            <w:top w:w="0" w:type="dxa"/>
            <w:bottom w:w="0" w:type="dxa"/>
          </w:tblCellMar>
        </w:tblPrEx>
        <w:tc>
          <w:tcPr>
            <w:tcW w:w="283" w:type="dxa"/>
            <w:tcBorders>
              <w:top w:val="nil"/>
              <w:left w:val="nil"/>
              <w:bottom w:val="nil"/>
              <w:right w:val="nil"/>
            </w:tcBorders>
          </w:tcPr>
          <w:p w:rsidR="00000000" w:rsidRDefault="001B5E9C">
            <w:pPr>
              <w:pStyle w:val="a2"/>
              <w:jc w:val="both"/>
              <w:rPr>
                <w:rtl/>
              </w:rPr>
            </w:pPr>
            <w:r>
              <w:rPr>
                <w:rtl/>
              </w:rPr>
              <w:t>*</w:t>
            </w:r>
          </w:p>
        </w:tc>
        <w:tc>
          <w:tcPr>
            <w:tcW w:w="4111" w:type="dxa"/>
            <w:tcBorders>
              <w:top w:val="nil"/>
              <w:left w:val="nil"/>
              <w:bottom w:val="nil"/>
              <w:right w:val="nil"/>
            </w:tcBorders>
          </w:tcPr>
          <w:p w:rsidR="00000000" w:rsidRDefault="001B5E9C">
            <w:pPr>
              <w:pStyle w:val="a2"/>
              <w:jc w:val="both"/>
              <w:rPr>
                <w:rtl/>
              </w:rPr>
            </w:pPr>
            <w:r>
              <w:rPr>
                <w:rtl/>
              </w:rPr>
              <w:t>**********************************************************</w:t>
            </w:r>
          </w:p>
        </w:tc>
        <w:tc>
          <w:tcPr>
            <w:tcW w:w="284" w:type="dxa"/>
            <w:tcBorders>
              <w:top w:val="nil"/>
              <w:left w:val="nil"/>
              <w:bottom w:val="nil"/>
              <w:right w:val="nil"/>
            </w:tcBorders>
          </w:tcPr>
          <w:p w:rsidR="00000000" w:rsidRDefault="001B5E9C">
            <w:pPr>
              <w:pStyle w:val="a2"/>
              <w:jc w:val="both"/>
              <w:rPr>
                <w:rtl/>
              </w:rPr>
            </w:pPr>
            <w:r>
              <w:rPr>
                <w:rtl/>
              </w:rPr>
              <w:t>*</w:t>
            </w:r>
          </w:p>
        </w:tc>
      </w:tr>
      <w:tr w:rsidR="00000000">
        <w:tblPrEx>
          <w:tblCellMar>
            <w:top w:w="0" w:type="dxa"/>
            <w:bottom w:w="0" w:type="dxa"/>
          </w:tblCellMar>
        </w:tblPrEx>
        <w:tc>
          <w:tcPr>
            <w:tcW w:w="283" w:type="dxa"/>
            <w:tcBorders>
              <w:top w:val="nil"/>
              <w:left w:val="nil"/>
              <w:bottom w:val="nil"/>
              <w:right w:val="nil"/>
            </w:tcBorders>
          </w:tcPr>
          <w:p w:rsidR="00000000" w:rsidRDefault="001B5E9C">
            <w:pPr>
              <w:pStyle w:val="a2"/>
              <w:jc w:val="both"/>
              <w:rPr>
                <w:rtl/>
              </w:rPr>
            </w:pPr>
            <w:r>
              <w:rPr>
                <w:rtl/>
              </w:rPr>
              <w:t>* * * * * * * * * *</w:t>
            </w:r>
          </w:p>
        </w:tc>
        <w:tc>
          <w:tcPr>
            <w:tcW w:w="4111" w:type="dxa"/>
            <w:tcBorders>
              <w:top w:val="nil"/>
              <w:left w:val="nil"/>
              <w:bottom w:val="nil"/>
              <w:right w:val="nil"/>
            </w:tcBorders>
          </w:tcPr>
          <w:p w:rsidR="00000000" w:rsidRDefault="001B5E9C">
            <w:pPr>
              <w:pStyle w:val="a2"/>
              <w:jc w:val="both"/>
              <w:rPr>
                <w:rtl/>
              </w:rPr>
            </w:pPr>
            <w:r>
              <w:rPr>
                <w:rtl/>
              </w:rPr>
              <w:t>כל הזכויות שמורות לישיבת הר עציון תשס"ג</w:t>
            </w:r>
          </w:p>
          <w:p w:rsidR="00000000" w:rsidRDefault="001B5E9C">
            <w:pPr>
              <w:pStyle w:val="a2"/>
              <w:jc w:val="both"/>
              <w:rPr>
                <w:rtl/>
              </w:rPr>
            </w:pPr>
            <w:r>
              <w:rPr>
                <w:rtl/>
              </w:rPr>
              <w:t>*******************************************************</w:t>
            </w:r>
          </w:p>
          <w:p w:rsidR="00000000" w:rsidRDefault="001B5E9C">
            <w:pPr>
              <w:pStyle w:val="a2"/>
              <w:jc w:val="both"/>
              <w:rPr>
                <w:rtl/>
              </w:rPr>
            </w:pPr>
          </w:p>
          <w:p w:rsidR="00000000" w:rsidRDefault="001B5E9C">
            <w:pPr>
              <w:pStyle w:val="a2"/>
              <w:jc w:val="both"/>
              <w:rPr>
                <w:rtl/>
              </w:rPr>
            </w:pPr>
            <w:r>
              <w:rPr>
                <w:rtl/>
              </w:rPr>
              <w:t>בית המדרש הוירטואלי שליד ישיבת הר עציון</w:t>
            </w:r>
          </w:p>
          <w:p w:rsidR="00000000" w:rsidRDefault="001B5E9C">
            <w:pPr>
              <w:pStyle w:val="a2"/>
              <w:jc w:val="both"/>
              <w:rPr>
                <w:rFonts w:ascii="Times New Roman" w:hAnsi="Times New Roman"/>
                <w:noProof w:val="0"/>
                <w:rtl/>
              </w:rPr>
            </w:pPr>
            <w:r>
              <w:rPr>
                <w:rtl/>
              </w:rPr>
              <w:t>האתר בע</w:t>
            </w:r>
            <w:r>
              <w:rPr>
                <w:rtl/>
              </w:rPr>
              <w:t>ברית:</w:t>
            </w:r>
            <w:r>
              <w:rPr>
                <w:rtl/>
              </w:rPr>
              <w:tab/>
            </w:r>
            <w:hyperlink r:id="rId8" w:history="1">
              <w:r w:rsidR="00632F81">
                <w:rPr>
                  <w:rStyle w:val="Hyperlink"/>
                </w:rPr>
                <w:t>http://www.vbm-torah.org</w:t>
              </w:r>
            </w:hyperlink>
          </w:p>
          <w:p w:rsidR="00000000" w:rsidRDefault="001B5E9C">
            <w:pPr>
              <w:pStyle w:val="a2"/>
              <w:jc w:val="both"/>
              <w:rPr>
                <w:rFonts w:ascii="Times New Roman" w:hAnsi="Times New Roman"/>
                <w:noProof w:val="0"/>
                <w:rtl/>
              </w:rPr>
            </w:pPr>
            <w:r>
              <w:rPr>
                <w:rtl/>
              </w:rPr>
              <w:t>האתר באנגלית:</w:t>
            </w:r>
            <w:r>
              <w:rPr>
                <w:rtl/>
              </w:rPr>
              <w:tab/>
            </w:r>
            <w:hyperlink r:id="rId9" w:history="1">
              <w:r>
                <w:rPr>
                  <w:rStyle w:val="Hyperlink"/>
                </w:rPr>
                <w:t>http://www.vbm-torah.org</w:t>
              </w:r>
            </w:hyperlink>
          </w:p>
          <w:p w:rsidR="00000000" w:rsidRDefault="001B5E9C">
            <w:pPr>
              <w:pStyle w:val="a2"/>
              <w:jc w:val="both"/>
              <w:rPr>
                <w:rtl/>
              </w:rPr>
            </w:pPr>
          </w:p>
          <w:p w:rsidR="00000000" w:rsidRDefault="001B5E9C">
            <w:pPr>
              <w:pStyle w:val="a2"/>
              <w:jc w:val="both"/>
              <w:rPr>
                <w:rtl/>
              </w:rPr>
            </w:pPr>
            <w:r>
              <w:rPr>
                <w:rtl/>
              </w:rPr>
              <w:t xml:space="preserve">משרדי בית המדרש הוירטואלי: 02-9931456 שלוחה 5 </w:t>
            </w:r>
          </w:p>
          <w:p w:rsidR="00000000" w:rsidRDefault="001B5E9C">
            <w:pPr>
              <w:pStyle w:val="a2"/>
              <w:jc w:val="both"/>
              <w:rPr>
                <w:rFonts w:ascii="Times New Roman" w:hAnsi="Times New Roman"/>
                <w:noProof w:val="0"/>
                <w:rtl/>
              </w:rPr>
            </w:pPr>
            <w:r>
              <w:rPr>
                <w:rtl/>
              </w:rPr>
              <w:t xml:space="preserve">דואל: </w:t>
            </w:r>
            <w:hyperlink r:id="rId10" w:history="1">
              <w:r>
                <w:rPr>
                  <w:rStyle w:val="Hyperlink"/>
                </w:rPr>
                <w:t>YHE@etzion.org.il</w:t>
              </w:r>
            </w:hyperlink>
          </w:p>
        </w:tc>
        <w:tc>
          <w:tcPr>
            <w:tcW w:w="284" w:type="dxa"/>
            <w:tcBorders>
              <w:top w:val="nil"/>
              <w:left w:val="nil"/>
              <w:bottom w:val="nil"/>
              <w:right w:val="nil"/>
            </w:tcBorders>
          </w:tcPr>
          <w:p w:rsidR="00000000" w:rsidRDefault="001B5E9C">
            <w:pPr>
              <w:pStyle w:val="a2"/>
              <w:jc w:val="both"/>
              <w:rPr>
                <w:rtl/>
              </w:rPr>
            </w:pPr>
            <w:r>
              <w:rPr>
                <w:rtl/>
              </w:rPr>
              <w:t xml:space="preserve">* * * * * * * * * * </w:t>
            </w:r>
          </w:p>
        </w:tc>
      </w:tr>
      <w:tr w:rsidR="00000000">
        <w:tblPrEx>
          <w:tblCellMar>
            <w:top w:w="0" w:type="dxa"/>
            <w:bottom w:w="0" w:type="dxa"/>
          </w:tblCellMar>
        </w:tblPrEx>
        <w:tc>
          <w:tcPr>
            <w:tcW w:w="283" w:type="dxa"/>
            <w:tcBorders>
              <w:top w:val="nil"/>
              <w:left w:val="nil"/>
              <w:bottom w:val="nil"/>
              <w:right w:val="nil"/>
            </w:tcBorders>
          </w:tcPr>
          <w:p w:rsidR="00000000" w:rsidRDefault="001B5E9C">
            <w:pPr>
              <w:pStyle w:val="a2"/>
              <w:jc w:val="both"/>
              <w:rPr>
                <w:rtl/>
              </w:rPr>
            </w:pPr>
            <w:r>
              <w:rPr>
                <w:rtl/>
              </w:rPr>
              <w:t>*</w:t>
            </w:r>
          </w:p>
        </w:tc>
        <w:tc>
          <w:tcPr>
            <w:tcW w:w="4111" w:type="dxa"/>
            <w:tcBorders>
              <w:top w:val="nil"/>
              <w:left w:val="nil"/>
              <w:bottom w:val="nil"/>
              <w:right w:val="nil"/>
            </w:tcBorders>
          </w:tcPr>
          <w:p w:rsidR="00000000" w:rsidRDefault="001B5E9C">
            <w:pPr>
              <w:pStyle w:val="a2"/>
              <w:jc w:val="both"/>
              <w:rPr>
                <w:rtl/>
              </w:rPr>
            </w:pPr>
            <w:r>
              <w:rPr>
                <w:rtl/>
              </w:rPr>
              <w:t>**********************************************************</w:t>
            </w:r>
          </w:p>
        </w:tc>
        <w:tc>
          <w:tcPr>
            <w:tcW w:w="284" w:type="dxa"/>
            <w:tcBorders>
              <w:top w:val="nil"/>
              <w:left w:val="nil"/>
              <w:bottom w:val="nil"/>
              <w:right w:val="nil"/>
            </w:tcBorders>
          </w:tcPr>
          <w:p w:rsidR="00000000" w:rsidRDefault="001B5E9C">
            <w:pPr>
              <w:pStyle w:val="a2"/>
              <w:jc w:val="both"/>
              <w:rPr>
                <w:rtl/>
              </w:rPr>
            </w:pPr>
            <w:r>
              <w:rPr>
                <w:rtl/>
              </w:rPr>
              <w:t>*</w:t>
            </w:r>
          </w:p>
        </w:tc>
      </w:tr>
    </w:tbl>
    <w:p w:rsidR="00000000" w:rsidRDefault="001B5E9C">
      <w:pPr>
        <w:pStyle w:val="a1"/>
        <w:ind w:left="567" w:right="0"/>
        <w:rPr>
          <w:rtl/>
        </w:rPr>
      </w:pPr>
    </w:p>
    <w:sectPr w:rsidR="0000000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E9C">
      <w:pPr>
        <w:spacing w:after="0" w:line="240" w:lineRule="auto"/>
      </w:pPr>
      <w:r>
        <w:separator/>
      </w:r>
    </w:p>
  </w:endnote>
  <w:endnote w:type="continuationSeparator" w:id="0">
    <w:p w:rsidR="00000000" w:rsidRDefault="001B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E9C">
      <w:pPr>
        <w:spacing w:after="0" w:line="240" w:lineRule="auto"/>
      </w:pPr>
      <w:r>
        <w:separator/>
      </w:r>
    </w:p>
  </w:footnote>
  <w:footnote w:type="continuationSeparator" w:id="0">
    <w:p w:rsidR="00000000" w:rsidRDefault="001B5E9C">
      <w:pPr>
        <w:spacing w:after="0" w:line="240" w:lineRule="auto"/>
      </w:pPr>
      <w:r>
        <w:continuationSeparator/>
      </w:r>
    </w:p>
  </w:footnote>
  <w:footnote w:id="1">
    <w:p w:rsidR="00000000" w:rsidRDefault="001B5E9C">
      <w:pPr>
        <w:pStyle w:val="FootnoteText"/>
        <w:bidi/>
      </w:pPr>
      <w:r>
        <w:rPr>
          <w:rStyle w:val="FootnoteReference"/>
          <w:szCs w:val="18"/>
        </w:rPr>
        <w:t>*</w:t>
      </w:r>
      <w:r>
        <w:rPr>
          <w:szCs w:val="18"/>
        </w:rPr>
        <w:t xml:space="preserve"> </w:t>
      </w:r>
      <w:r>
        <w:rPr>
          <w:szCs w:val="18"/>
          <w:rtl/>
        </w:rPr>
        <w:t xml:space="preserve">המאמר לקוח מתוך </w:t>
      </w:r>
      <w:proofErr w:type="spellStart"/>
      <w:r>
        <w:rPr>
          <w:szCs w:val="18"/>
          <w:rtl/>
        </w:rPr>
        <w:t>גליון</w:t>
      </w:r>
      <w:proofErr w:type="spellEnd"/>
      <w:r>
        <w:rPr>
          <w:szCs w:val="18"/>
          <w:rtl/>
        </w:rPr>
        <w:t xml:space="preserve"> 323 של דף קשר - עלון לתלמידי ישיבת הר עציון. </w:t>
      </w:r>
    </w:p>
  </w:footnote>
  <w:footnote w:id="2">
    <w:p w:rsidR="00000000" w:rsidRDefault="001B5E9C">
      <w:pPr>
        <w:pStyle w:val="FootnoteText"/>
        <w:bidi/>
      </w:pPr>
      <w:r>
        <w:rPr>
          <w:rStyle w:val="FootnoteReference"/>
        </w:rPr>
        <w:footnoteRef/>
      </w:r>
      <w:r>
        <w:t xml:space="preserve"> </w:t>
      </w:r>
      <w:r>
        <w:rPr>
          <w:szCs w:val="18"/>
          <w:rtl/>
        </w:rPr>
        <w:t xml:space="preserve">ירושלמי כתובות פ"א </w:t>
      </w:r>
      <w:proofErr w:type="spellStart"/>
      <w:r>
        <w:rPr>
          <w:szCs w:val="18"/>
          <w:rtl/>
        </w:rPr>
        <w:t>ה"ב</w:t>
      </w:r>
      <w:proofErr w:type="spellEnd"/>
      <w:r>
        <w:rPr>
          <w:szCs w:val="18"/>
          <w:rtl/>
        </w:rPr>
        <w:t>.</w:t>
      </w:r>
    </w:p>
  </w:footnote>
  <w:footnote w:id="3">
    <w:p w:rsidR="00000000" w:rsidRDefault="001B5E9C">
      <w:pPr>
        <w:pStyle w:val="FootnoteText"/>
        <w:bidi/>
      </w:pPr>
      <w:r>
        <w:rPr>
          <w:rStyle w:val="FootnoteReference"/>
        </w:rPr>
        <w:footnoteRef/>
      </w:r>
      <w:r>
        <w:t xml:space="preserve"> </w:t>
      </w:r>
      <w:r>
        <w:rPr>
          <w:szCs w:val="18"/>
          <w:rtl/>
        </w:rPr>
        <w:t xml:space="preserve">ועיין </w:t>
      </w:r>
      <w:proofErr w:type="spellStart"/>
      <w:r>
        <w:rPr>
          <w:szCs w:val="18"/>
          <w:rtl/>
        </w:rPr>
        <w:t>בשו"ת</w:t>
      </w:r>
      <w:proofErr w:type="spellEnd"/>
      <w:r>
        <w:rPr>
          <w:szCs w:val="18"/>
          <w:rtl/>
        </w:rPr>
        <w:t xml:space="preserve"> בית שלמה אבן העזר סימן נו.</w:t>
      </w:r>
    </w:p>
  </w:footnote>
  <w:footnote w:id="4">
    <w:p w:rsidR="00000000" w:rsidRDefault="001B5E9C">
      <w:pPr>
        <w:pStyle w:val="FootnoteText"/>
        <w:bidi/>
      </w:pPr>
      <w:r>
        <w:rPr>
          <w:rStyle w:val="FootnoteReference"/>
        </w:rPr>
        <w:footnoteRef/>
      </w:r>
      <w:r>
        <w:t xml:space="preserve"> </w:t>
      </w:r>
      <w:r>
        <w:rPr>
          <w:szCs w:val="18"/>
          <w:rtl/>
        </w:rPr>
        <w:t xml:space="preserve">דיון דומה לגבי גאולת שדה בבתי ערי חומה יש </w:t>
      </w:r>
      <w:proofErr w:type="spellStart"/>
      <w:r>
        <w:rPr>
          <w:szCs w:val="18"/>
          <w:rtl/>
        </w:rPr>
        <w:t>בערכין</w:t>
      </w:r>
      <w:proofErr w:type="spellEnd"/>
      <w:r>
        <w:rPr>
          <w:szCs w:val="18"/>
          <w:rtl/>
        </w:rPr>
        <w:t xml:space="preserve"> לא ע"ב.</w:t>
      </w:r>
    </w:p>
  </w:footnote>
  <w:footnote w:id="5">
    <w:p w:rsidR="00000000" w:rsidRDefault="001B5E9C">
      <w:pPr>
        <w:jc w:val="both"/>
      </w:pPr>
      <w:r>
        <w:rPr>
          <w:rStyle w:val="FootnoteReference"/>
        </w:rPr>
        <w:footnoteRef/>
      </w:r>
      <w:r>
        <w:t xml:space="preserve"> </w:t>
      </w:r>
      <w:r>
        <w:rPr>
          <w:szCs w:val="18"/>
          <w:rtl/>
        </w:rPr>
        <w:t xml:space="preserve">עיין </w:t>
      </w:r>
      <w:proofErr w:type="spellStart"/>
      <w:r>
        <w:rPr>
          <w:szCs w:val="18"/>
          <w:rtl/>
        </w:rPr>
        <w:t>רא"ש</w:t>
      </w:r>
      <w:proofErr w:type="spellEnd"/>
      <w:r>
        <w:rPr>
          <w:szCs w:val="18"/>
          <w:rtl/>
        </w:rPr>
        <w:t xml:space="preserve"> מועד קטן פרק ג סימן נ, ובשולחן ערוך יורה דעה סימן </w:t>
      </w:r>
      <w:proofErr w:type="spellStart"/>
      <w:r>
        <w:rPr>
          <w:szCs w:val="18"/>
          <w:rtl/>
        </w:rPr>
        <w:t>שצא</w:t>
      </w:r>
      <w:proofErr w:type="spellEnd"/>
      <w:r>
        <w:rPr>
          <w:szCs w:val="18"/>
          <w:rtl/>
        </w:rPr>
        <w:t>.</w:t>
      </w:r>
    </w:p>
  </w:footnote>
  <w:footnote w:id="6">
    <w:p w:rsidR="00000000" w:rsidRDefault="001B5E9C">
      <w:pPr>
        <w:pStyle w:val="FootnoteText"/>
        <w:bidi/>
      </w:pPr>
      <w:r>
        <w:rPr>
          <w:rStyle w:val="FootnoteReference"/>
        </w:rPr>
        <w:footnoteRef/>
      </w:r>
      <w:r>
        <w:t xml:space="preserve"> </w:t>
      </w:r>
      <w:r>
        <w:rPr>
          <w:szCs w:val="18"/>
          <w:rtl/>
        </w:rPr>
        <w:t xml:space="preserve">עיין </w:t>
      </w:r>
      <w:proofErr w:type="spellStart"/>
      <w:r>
        <w:rPr>
          <w:szCs w:val="18"/>
          <w:rtl/>
        </w:rPr>
        <w:t>בנצי"ב</w:t>
      </w:r>
      <w:proofErr w:type="spellEnd"/>
      <w:r>
        <w:rPr>
          <w:szCs w:val="18"/>
          <w:rtl/>
        </w:rPr>
        <w:t xml:space="preserve"> על התורה דברים כד, ה. הוא כותב שהחיוב הוא על המפקד ואין חיו</w:t>
      </w:r>
      <w:r>
        <w:rPr>
          <w:szCs w:val="18"/>
          <w:rtl/>
        </w:rPr>
        <w:t>ב על החתן.</w:t>
      </w:r>
    </w:p>
  </w:footnote>
  <w:footnote w:id="7">
    <w:p w:rsidR="00000000" w:rsidRDefault="001B5E9C">
      <w:pPr>
        <w:pStyle w:val="FootnoteText"/>
        <w:bidi/>
      </w:pPr>
      <w:r>
        <w:rPr>
          <w:rStyle w:val="FootnoteReference"/>
        </w:rPr>
        <w:footnoteRef/>
      </w:r>
      <w:r>
        <w:t xml:space="preserve"> </w:t>
      </w:r>
      <w:r>
        <w:rPr>
          <w:szCs w:val="18"/>
          <w:rtl/>
        </w:rPr>
        <w:t>באור המזרח חוברת קי-קיא עמוד 322.</w:t>
      </w:r>
    </w:p>
  </w:footnote>
  <w:footnote w:id="8">
    <w:p w:rsidR="00000000" w:rsidRDefault="001B5E9C">
      <w:pPr>
        <w:pStyle w:val="FootnoteText"/>
        <w:bidi/>
      </w:pPr>
      <w:r>
        <w:rPr>
          <w:rStyle w:val="FootnoteReference"/>
        </w:rPr>
        <w:footnoteRef/>
      </w:r>
      <w:r>
        <w:t xml:space="preserve"> </w:t>
      </w:r>
      <w:r>
        <w:rPr>
          <w:szCs w:val="18"/>
          <w:rtl/>
        </w:rPr>
        <w:t>אבן העזר סימן קיט.</w:t>
      </w:r>
    </w:p>
  </w:footnote>
  <w:footnote w:id="9">
    <w:p w:rsidR="00000000" w:rsidRDefault="001B5E9C">
      <w:pPr>
        <w:jc w:val="both"/>
      </w:pPr>
      <w:r>
        <w:rPr>
          <w:rStyle w:val="FootnoteReference"/>
        </w:rPr>
        <w:footnoteRef/>
      </w:r>
      <w:r>
        <w:t xml:space="preserve"> </w:t>
      </w:r>
      <w:r>
        <w:rPr>
          <w:szCs w:val="18"/>
          <w:rtl/>
        </w:rPr>
        <w:t xml:space="preserve">עיין במועדים וזמנים השלם חלק ב סימן </w:t>
      </w:r>
      <w:proofErr w:type="spellStart"/>
      <w:r>
        <w:rPr>
          <w:szCs w:val="18"/>
          <w:rtl/>
        </w:rPr>
        <w:t>קסו</w:t>
      </w:r>
      <w:proofErr w:type="spellEnd"/>
      <w:r>
        <w:rPr>
          <w:szCs w:val="18"/>
          <w:rtl/>
        </w:rPr>
        <w:t xml:space="preserve"> שמפלפל בדבר.</w:t>
      </w:r>
    </w:p>
  </w:footnote>
  <w:footnote w:id="10">
    <w:p w:rsidR="00000000" w:rsidRDefault="001B5E9C">
      <w:pPr>
        <w:pStyle w:val="FootnoteText"/>
        <w:bidi/>
      </w:pPr>
      <w:r>
        <w:rPr>
          <w:rStyle w:val="FootnoteReference"/>
        </w:rPr>
        <w:footnoteRef/>
      </w:r>
      <w:r>
        <w:t xml:space="preserve"> </w:t>
      </w:r>
      <w:r>
        <w:rPr>
          <w:szCs w:val="18"/>
          <w:rtl/>
        </w:rPr>
        <w:t xml:space="preserve">כמו כן העיר לי הרב יאיר </w:t>
      </w:r>
      <w:proofErr w:type="spellStart"/>
      <w:r>
        <w:rPr>
          <w:szCs w:val="18"/>
          <w:rtl/>
        </w:rPr>
        <w:t>קאהן</w:t>
      </w:r>
      <w:proofErr w:type="spellEnd"/>
      <w:r>
        <w:rPr>
          <w:szCs w:val="18"/>
          <w:rtl/>
        </w:rPr>
        <w:t xml:space="preserve"> שבקונטרס חנוכה ומגילה הרב אהרן </w:t>
      </w:r>
      <w:proofErr w:type="spellStart"/>
      <w:r>
        <w:rPr>
          <w:szCs w:val="18"/>
          <w:rtl/>
        </w:rPr>
        <w:t>טורצ'ין</w:t>
      </w:r>
      <w:proofErr w:type="spellEnd"/>
      <w:r>
        <w:rPr>
          <w:szCs w:val="18"/>
          <w:rtl/>
        </w:rPr>
        <w:t xml:space="preserve"> הסביר את </w:t>
      </w:r>
      <w:proofErr w:type="spellStart"/>
      <w:r>
        <w:rPr>
          <w:szCs w:val="18"/>
          <w:rtl/>
        </w:rPr>
        <w:t>הר"ן</w:t>
      </w:r>
      <w:proofErr w:type="spellEnd"/>
      <w:r>
        <w:rPr>
          <w:szCs w:val="18"/>
          <w:rtl/>
        </w:rPr>
        <w:t xml:space="preserve"> בצורה שונה. לדעתו </w:t>
      </w:r>
      <w:proofErr w:type="spellStart"/>
      <w:r>
        <w:rPr>
          <w:szCs w:val="18"/>
          <w:rtl/>
        </w:rPr>
        <w:t>הר"ן</w:t>
      </w:r>
      <w:proofErr w:type="spellEnd"/>
      <w:r>
        <w:rPr>
          <w:szCs w:val="18"/>
          <w:rtl/>
        </w:rPr>
        <w:t xml:space="preserve"> הבין שהתאריך במגילת תענית מחייב גם סעודה. </w:t>
      </w:r>
      <w:proofErr w:type="spellStart"/>
      <w:r>
        <w:rPr>
          <w:szCs w:val="18"/>
          <w:rtl/>
        </w:rPr>
        <w:t>הנפקא</w:t>
      </w:r>
      <w:proofErr w:type="spellEnd"/>
      <w:r>
        <w:rPr>
          <w:szCs w:val="18"/>
          <w:rtl/>
        </w:rPr>
        <w:t xml:space="preserve"> מינה בין ההבנות היא האם אומרים 'על הניסים' בסעוד</w:t>
      </w:r>
      <w:r>
        <w:rPr>
          <w:szCs w:val="18"/>
          <w:rtl/>
        </w:rPr>
        <w:t>ה זו.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E9C">
    <w:pPr>
      <w:pStyle w:val="Header"/>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tblPrEx>
        <w:tblCellMar>
          <w:top w:w="0" w:type="dxa"/>
          <w:bottom w:w="0" w:type="dxa"/>
        </w:tblCellMar>
      </w:tblPrEx>
      <w:tc>
        <w:tcPr>
          <w:tcW w:w="4927" w:type="dxa"/>
          <w:tcBorders>
            <w:top w:val="nil"/>
            <w:left w:val="nil"/>
            <w:bottom w:val="double" w:sz="4" w:space="0" w:color="auto"/>
            <w:right w:val="nil"/>
          </w:tcBorders>
        </w:tcPr>
        <w:p w:rsidR="00000000" w:rsidRDefault="001B5E9C">
          <w:pPr>
            <w:pStyle w:val="Header"/>
            <w:tabs>
              <w:tab w:val="clear" w:pos="4153"/>
              <w:tab w:val="clear" w:pos="8306"/>
              <w:tab w:val="center" w:pos="4818"/>
              <w:tab w:val="right" w:pos="8220"/>
            </w:tabs>
            <w:spacing w:after="0"/>
            <w:jc w:val="both"/>
            <w:rPr>
              <w:snapToGrid w:val="0"/>
              <w:rtl/>
            </w:rPr>
          </w:pPr>
          <w:r>
            <w:rPr>
              <w:snapToGrid w:val="0"/>
              <w:rtl/>
            </w:rPr>
            <w:t xml:space="preserve">בית המדרש </w:t>
          </w:r>
          <w:proofErr w:type="spellStart"/>
          <w:r>
            <w:rPr>
              <w:snapToGrid w:val="0"/>
              <w:rtl/>
            </w:rPr>
            <w:t>הוירטואלי</w:t>
          </w:r>
          <w:proofErr w:type="spellEnd"/>
          <w:r>
            <w:rPr>
              <w:snapToGrid w:val="0"/>
              <w:rtl/>
            </w:rPr>
            <w:t xml:space="preserve"> (</w:t>
          </w:r>
          <w:r>
            <w:rPr>
              <w:snapToGrid w:val="0"/>
            </w:rPr>
            <w:t>V.B.M</w:t>
          </w:r>
          <w:r>
            <w:rPr>
              <w:snapToGrid w:val="0"/>
              <w:rtl/>
            </w:rPr>
            <w:t>) שליד ישיבת הר עציון</w:t>
          </w:r>
        </w:p>
        <w:p w:rsidR="00000000" w:rsidRDefault="001B5E9C">
          <w:pPr>
            <w:pStyle w:val="Header"/>
            <w:tabs>
              <w:tab w:val="clear" w:pos="4153"/>
              <w:tab w:val="clear" w:pos="8306"/>
              <w:tab w:val="center" w:pos="4818"/>
              <w:tab w:val="right" w:pos="8220"/>
            </w:tabs>
            <w:spacing w:after="0"/>
            <w:jc w:val="both"/>
            <w:rPr>
              <w:snapToGrid w:val="0"/>
              <w:rtl/>
            </w:rPr>
          </w:pPr>
          <w:r>
            <w:rPr>
              <w:snapToGrid w:val="0"/>
              <w:rtl/>
            </w:rPr>
            <w:t>שיעורים בהלכה מאת רבני הישיבה</w:t>
          </w:r>
        </w:p>
      </w:tc>
      <w:tc>
        <w:tcPr>
          <w:tcW w:w="4927" w:type="dxa"/>
          <w:tcBorders>
            <w:top w:val="nil"/>
            <w:left w:val="nil"/>
            <w:bottom w:val="double" w:sz="4" w:space="0" w:color="auto"/>
            <w:right w:val="nil"/>
          </w:tcBorders>
          <w:vAlign w:val="center"/>
        </w:tcPr>
        <w:p w:rsidR="00000000" w:rsidRDefault="001B5E9C" w:rsidP="00632F81">
          <w:pPr>
            <w:pStyle w:val="Header"/>
            <w:tabs>
              <w:tab w:val="clear" w:pos="4153"/>
              <w:tab w:val="clear" w:pos="8306"/>
              <w:tab w:val="right" w:pos="8220"/>
            </w:tabs>
            <w:bidi w:val="0"/>
            <w:spacing w:after="0" w:line="240" w:lineRule="auto"/>
            <w:rPr>
              <w:b/>
              <w:bCs/>
              <w:snapToGrid w:val="0"/>
              <w:sz w:val="30"/>
              <w:szCs w:val="24"/>
              <w:rtl/>
            </w:rPr>
          </w:pPr>
          <w:r>
            <w:rPr>
              <w:b/>
              <w:bCs/>
              <w:snapToGrid w:val="0"/>
              <w:sz w:val="30"/>
              <w:szCs w:val="24"/>
            </w:rPr>
            <w:t>www.vbm-torah.org</w:t>
          </w:r>
        </w:p>
      </w:tc>
    </w:tr>
  </w:tbl>
  <w:p w:rsidR="00000000" w:rsidRDefault="001B5E9C">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990"/>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1">
    <w:nsid w:val="05745A32"/>
    <w:multiLevelType w:val="singleLevel"/>
    <w:tmpl w:val="03AC50B6"/>
    <w:lvl w:ilvl="0">
      <w:start w:val="1"/>
      <w:numFmt w:val="hebrew1"/>
      <w:lvlText w:val="%1."/>
      <w:lvlJc w:val="left"/>
      <w:pPr>
        <w:tabs>
          <w:tab w:val="num" w:pos="360"/>
        </w:tabs>
        <w:ind w:hanging="360"/>
      </w:pPr>
      <w:rPr>
        <w:rFonts w:cs="Narkisim" w:hint="cs"/>
        <w:sz w:val="20"/>
      </w:rPr>
    </w:lvl>
  </w:abstractNum>
  <w:abstractNum w:abstractNumId="2">
    <w:nsid w:val="06EE0956"/>
    <w:multiLevelType w:val="singleLevel"/>
    <w:tmpl w:val="A322CF14"/>
    <w:lvl w:ilvl="0">
      <w:start w:val="1"/>
      <w:numFmt w:val="hebrew1"/>
      <w:lvlText w:val="%1."/>
      <w:lvlJc w:val="left"/>
      <w:pPr>
        <w:tabs>
          <w:tab w:val="num" w:pos="360"/>
        </w:tabs>
        <w:ind w:hanging="360"/>
      </w:pPr>
      <w:rPr>
        <w:rFonts w:cs="Narkisim" w:hint="cs"/>
        <w:sz w:val="20"/>
      </w:rPr>
    </w:lvl>
  </w:abstractNum>
  <w:abstractNum w:abstractNumId="3">
    <w:nsid w:val="0EDB29B4"/>
    <w:multiLevelType w:val="singleLevel"/>
    <w:tmpl w:val="41DE4D72"/>
    <w:lvl w:ilvl="0">
      <w:start w:val="1"/>
      <w:numFmt w:val="hebrew1"/>
      <w:lvlText w:val="%1."/>
      <w:lvlJc w:val="left"/>
      <w:pPr>
        <w:tabs>
          <w:tab w:val="num" w:pos="360"/>
        </w:tabs>
        <w:ind w:hanging="360"/>
      </w:pPr>
      <w:rPr>
        <w:rFonts w:cs="Narkisim" w:hint="cs"/>
        <w:sz w:val="20"/>
      </w:rPr>
    </w:lvl>
  </w:abstractNum>
  <w:abstractNum w:abstractNumId="4">
    <w:nsid w:val="0F850B27"/>
    <w:multiLevelType w:val="singleLevel"/>
    <w:tmpl w:val="1C0662C2"/>
    <w:lvl w:ilvl="0">
      <w:start w:val="1"/>
      <w:numFmt w:val="hebrew1"/>
      <w:lvlText w:val="%1."/>
      <w:lvlJc w:val="left"/>
      <w:pPr>
        <w:tabs>
          <w:tab w:val="num" w:pos="727"/>
        </w:tabs>
        <w:ind w:hanging="360"/>
      </w:pPr>
      <w:rPr>
        <w:rFonts w:cs="Narkisim" w:hint="cs"/>
        <w:sz w:val="20"/>
      </w:rPr>
    </w:lvl>
  </w:abstractNum>
  <w:abstractNum w:abstractNumId="5">
    <w:nsid w:val="12DE0DAC"/>
    <w:multiLevelType w:val="singleLevel"/>
    <w:tmpl w:val="32DC9360"/>
    <w:lvl w:ilvl="0">
      <w:start w:val="1"/>
      <w:numFmt w:val="decimal"/>
      <w:lvlText w:val="%1."/>
      <w:lvlJc w:val="left"/>
      <w:pPr>
        <w:tabs>
          <w:tab w:val="num" w:pos="360"/>
        </w:tabs>
        <w:ind w:hanging="360"/>
      </w:pPr>
      <w:rPr>
        <w:rFonts w:cs="Narkisim" w:hint="cs"/>
        <w:b/>
        <w:sz w:val="20"/>
      </w:rPr>
    </w:lvl>
  </w:abstractNum>
  <w:abstractNum w:abstractNumId="6">
    <w:nsid w:val="13CF2C3A"/>
    <w:multiLevelType w:val="singleLevel"/>
    <w:tmpl w:val="AA7E25A2"/>
    <w:lvl w:ilvl="0">
      <w:start w:val="1"/>
      <w:numFmt w:val="hebrew1"/>
      <w:lvlText w:val="%1."/>
      <w:lvlJc w:val="left"/>
      <w:pPr>
        <w:tabs>
          <w:tab w:val="num" w:pos="720"/>
        </w:tabs>
        <w:ind w:hanging="720"/>
      </w:pPr>
      <w:rPr>
        <w:rFonts w:cs="Narkisim" w:hint="cs"/>
        <w:b/>
        <w:sz w:val="20"/>
        <w:u w:val="single"/>
      </w:rPr>
    </w:lvl>
  </w:abstractNum>
  <w:abstractNum w:abstractNumId="7">
    <w:nsid w:val="18676138"/>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8">
    <w:nsid w:val="28544E24"/>
    <w:multiLevelType w:val="singleLevel"/>
    <w:tmpl w:val="32DC9360"/>
    <w:lvl w:ilvl="0">
      <w:start w:val="1"/>
      <w:numFmt w:val="decimal"/>
      <w:lvlText w:val="%1."/>
      <w:lvlJc w:val="left"/>
      <w:pPr>
        <w:tabs>
          <w:tab w:val="num" w:pos="360"/>
        </w:tabs>
        <w:ind w:hanging="360"/>
      </w:pPr>
      <w:rPr>
        <w:rFonts w:cs="Narkisim" w:hint="cs"/>
        <w:b/>
        <w:sz w:val="20"/>
      </w:rPr>
    </w:lvl>
  </w:abstractNum>
  <w:abstractNum w:abstractNumId="9">
    <w:nsid w:val="2D5A0F7B"/>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10">
    <w:nsid w:val="2D7470E1"/>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11">
    <w:nsid w:val="2F631C3B"/>
    <w:multiLevelType w:val="singleLevel"/>
    <w:tmpl w:val="41DE4D72"/>
    <w:lvl w:ilvl="0">
      <w:start w:val="1"/>
      <w:numFmt w:val="hebrew1"/>
      <w:lvlText w:val="%1."/>
      <w:lvlJc w:val="left"/>
      <w:pPr>
        <w:tabs>
          <w:tab w:val="num" w:pos="360"/>
        </w:tabs>
        <w:ind w:hanging="360"/>
      </w:pPr>
      <w:rPr>
        <w:rFonts w:cs="Narkisim" w:hint="cs"/>
        <w:sz w:val="20"/>
      </w:rPr>
    </w:lvl>
  </w:abstractNum>
  <w:abstractNum w:abstractNumId="12">
    <w:nsid w:val="31677406"/>
    <w:multiLevelType w:val="singleLevel"/>
    <w:tmpl w:val="AEE040F0"/>
    <w:lvl w:ilvl="0">
      <w:start w:val="1"/>
      <w:numFmt w:val="hebrew1"/>
      <w:lvlText w:val="%1."/>
      <w:lvlJc w:val="left"/>
      <w:pPr>
        <w:tabs>
          <w:tab w:val="num" w:pos="1064"/>
        </w:tabs>
        <w:ind w:hanging="360"/>
      </w:pPr>
      <w:rPr>
        <w:rFonts w:cs="Narkisim" w:hint="cs"/>
      </w:rPr>
    </w:lvl>
  </w:abstractNum>
  <w:abstractNum w:abstractNumId="13">
    <w:nsid w:val="430B30E7"/>
    <w:multiLevelType w:val="singleLevel"/>
    <w:tmpl w:val="AA7E25A2"/>
    <w:lvl w:ilvl="0">
      <w:start w:val="1"/>
      <w:numFmt w:val="hebrew1"/>
      <w:lvlText w:val="%1."/>
      <w:lvlJc w:val="left"/>
      <w:pPr>
        <w:tabs>
          <w:tab w:val="num" w:pos="720"/>
        </w:tabs>
        <w:ind w:hanging="720"/>
      </w:pPr>
      <w:rPr>
        <w:rFonts w:cs="Narkisim" w:hint="cs"/>
        <w:b/>
        <w:sz w:val="20"/>
        <w:u w:val="single"/>
      </w:rPr>
    </w:lvl>
  </w:abstractNum>
  <w:abstractNum w:abstractNumId="14">
    <w:nsid w:val="440D5FFB"/>
    <w:multiLevelType w:val="singleLevel"/>
    <w:tmpl w:val="C29EA2C6"/>
    <w:lvl w:ilvl="0">
      <w:start w:val="1"/>
      <w:numFmt w:val="decimal"/>
      <w:lvlText w:val="%1."/>
      <w:lvlJc w:val="left"/>
      <w:pPr>
        <w:tabs>
          <w:tab w:val="num" w:pos="360"/>
        </w:tabs>
        <w:ind w:hanging="360"/>
      </w:pPr>
      <w:rPr>
        <w:rFonts w:cs="Narkisim" w:hint="cs"/>
        <w:sz w:val="20"/>
      </w:rPr>
    </w:lvl>
  </w:abstractNum>
  <w:abstractNum w:abstractNumId="15">
    <w:nsid w:val="4DD93C57"/>
    <w:multiLevelType w:val="singleLevel"/>
    <w:tmpl w:val="4772696E"/>
    <w:lvl w:ilvl="0">
      <w:start w:val="1"/>
      <w:numFmt w:val="decimal"/>
      <w:lvlText w:val="%1."/>
      <w:lvlJc w:val="left"/>
      <w:pPr>
        <w:tabs>
          <w:tab w:val="num" w:pos="360"/>
        </w:tabs>
        <w:ind w:hanging="360"/>
      </w:pPr>
      <w:rPr>
        <w:rFonts w:cs="Narkisim" w:hint="cs"/>
        <w:b/>
        <w:sz w:val="20"/>
      </w:rPr>
    </w:lvl>
  </w:abstractNum>
  <w:abstractNum w:abstractNumId="16">
    <w:nsid w:val="6AA33A85"/>
    <w:multiLevelType w:val="singleLevel"/>
    <w:tmpl w:val="8898BF8C"/>
    <w:lvl w:ilvl="0">
      <w:start w:val="1"/>
      <w:numFmt w:val="decimal"/>
      <w:lvlText w:val="%1."/>
      <w:lvlJc w:val="left"/>
      <w:pPr>
        <w:tabs>
          <w:tab w:val="num" w:pos="727"/>
        </w:tabs>
        <w:ind w:hanging="360"/>
      </w:pPr>
      <w:rPr>
        <w:rFonts w:cs="Narkisim" w:hint="cs"/>
        <w:sz w:val="20"/>
      </w:rPr>
    </w:lvl>
  </w:abstractNum>
  <w:abstractNum w:abstractNumId="17">
    <w:nsid w:val="6BD52562"/>
    <w:multiLevelType w:val="singleLevel"/>
    <w:tmpl w:val="040D000F"/>
    <w:lvl w:ilvl="0">
      <w:start w:val="1"/>
      <w:numFmt w:val="decimal"/>
      <w:lvlText w:val="%1."/>
      <w:lvlJc w:val="center"/>
      <w:pPr>
        <w:tabs>
          <w:tab w:val="num" w:pos="648"/>
        </w:tabs>
        <w:ind w:hanging="72"/>
      </w:pPr>
      <w:rPr>
        <w:rFonts w:cs="Narkisim"/>
      </w:rPr>
    </w:lvl>
  </w:abstractNum>
  <w:abstractNum w:abstractNumId="18">
    <w:nsid w:val="723D63C6"/>
    <w:multiLevelType w:val="singleLevel"/>
    <w:tmpl w:val="040D000F"/>
    <w:lvl w:ilvl="0">
      <w:start w:val="1"/>
      <w:numFmt w:val="decimal"/>
      <w:lvlText w:val="%1."/>
      <w:lvlJc w:val="center"/>
      <w:pPr>
        <w:tabs>
          <w:tab w:val="num" w:pos="648"/>
        </w:tabs>
        <w:ind w:hanging="72"/>
      </w:pPr>
      <w:rPr>
        <w:rFonts w:cs="Narkisim"/>
      </w:rPr>
    </w:lvl>
  </w:abstractNum>
  <w:abstractNum w:abstractNumId="19">
    <w:nsid w:val="72462524"/>
    <w:multiLevelType w:val="singleLevel"/>
    <w:tmpl w:val="5F164FD6"/>
    <w:lvl w:ilvl="0">
      <w:start w:val="1"/>
      <w:numFmt w:val="decimal"/>
      <w:lvlText w:val="%1."/>
      <w:lvlJc w:val="left"/>
      <w:pPr>
        <w:tabs>
          <w:tab w:val="num" w:pos="720"/>
        </w:tabs>
        <w:ind w:hanging="720"/>
      </w:pPr>
      <w:rPr>
        <w:rFonts w:cs="Narkisim" w:hint="cs"/>
        <w:b/>
        <w:sz w:val="20"/>
        <w:u w:val="single"/>
      </w:rPr>
    </w:lvl>
  </w:abstractNum>
  <w:abstractNum w:abstractNumId="20">
    <w:nsid w:val="736008D3"/>
    <w:multiLevelType w:val="singleLevel"/>
    <w:tmpl w:val="4BFC9BFA"/>
    <w:lvl w:ilvl="0">
      <w:start w:val="1"/>
      <w:numFmt w:val="hebrew1"/>
      <w:lvlText w:val="%1."/>
      <w:lvlJc w:val="left"/>
      <w:pPr>
        <w:tabs>
          <w:tab w:val="num" w:pos="360"/>
        </w:tabs>
        <w:ind w:hanging="360"/>
      </w:pPr>
      <w:rPr>
        <w:rFonts w:cs="Narkisim" w:hint="cs"/>
        <w:sz w:val="20"/>
      </w:rPr>
    </w:lvl>
  </w:abstractNum>
  <w:abstractNum w:abstractNumId="21">
    <w:nsid w:val="7D0C14A8"/>
    <w:multiLevelType w:val="singleLevel"/>
    <w:tmpl w:val="32DC9360"/>
    <w:lvl w:ilvl="0">
      <w:start w:val="1"/>
      <w:numFmt w:val="decimal"/>
      <w:lvlText w:val="%1."/>
      <w:lvlJc w:val="left"/>
      <w:pPr>
        <w:tabs>
          <w:tab w:val="num" w:pos="360"/>
        </w:tabs>
        <w:ind w:hanging="360"/>
      </w:pPr>
      <w:rPr>
        <w:rFonts w:cs="Narkisim" w:hint="cs"/>
        <w:b/>
        <w:sz w:val="20"/>
      </w:rPr>
    </w:lvl>
  </w:abstractNum>
  <w:num w:numId="1">
    <w:abstractNumId w:val="12"/>
  </w:num>
  <w:num w:numId="2">
    <w:abstractNumId w:val="14"/>
  </w:num>
  <w:num w:numId="3">
    <w:abstractNumId w:val="1"/>
  </w:num>
  <w:num w:numId="4">
    <w:abstractNumId w:val="2"/>
  </w:num>
  <w:num w:numId="5">
    <w:abstractNumId w:val="16"/>
  </w:num>
  <w:num w:numId="6">
    <w:abstractNumId w:val="17"/>
  </w:num>
  <w:num w:numId="7">
    <w:abstractNumId w:val="15"/>
  </w:num>
  <w:num w:numId="8">
    <w:abstractNumId w:val="18"/>
  </w:num>
  <w:num w:numId="9">
    <w:abstractNumId w:val="21"/>
  </w:num>
  <w:num w:numId="10">
    <w:abstractNumId w:val="8"/>
  </w:num>
  <w:num w:numId="11">
    <w:abstractNumId w:val="5"/>
  </w:num>
  <w:num w:numId="12">
    <w:abstractNumId w:val="10"/>
  </w:num>
  <w:num w:numId="13">
    <w:abstractNumId w:val="7"/>
  </w:num>
  <w:num w:numId="14">
    <w:abstractNumId w:val="19"/>
  </w:num>
  <w:num w:numId="15">
    <w:abstractNumId w:val="3"/>
  </w:num>
  <w:num w:numId="16">
    <w:abstractNumId w:val="11"/>
  </w:num>
  <w:num w:numId="17">
    <w:abstractNumId w:val="13"/>
  </w:num>
  <w:num w:numId="18">
    <w:abstractNumId w:val="6"/>
  </w:num>
  <w:num w:numId="19">
    <w:abstractNumId w:val="20"/>
  </w:num>
  <w:num w:numId="20">
    <w:abstractNumId w:val="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81"/>
    <w:rsid w:val="001B5E9C"/>
    <w:rsid w:val="0063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60" w:line="280" w:lineRule="exact"/>
    </w:pPr>
    <w:rPr>
      <w:rFonts w:ascii="Times New Roman" w:hAnsi="Times New Roman" w:cs="Narkisim"/>
      <w:sz w:val="18"/>
      <w:szCs w:val="20"/>
    </w:rPr>
  </w:style>
  <w:style w:type="paragraph" w:styleId="Heading1">
    <w:name w:val="heading 1"/>
    <w:basedOn w:val="Normal"/>
    <w:next w:val="Normal"/>
    <w:link w:val="Heading1Char"/>
    <w:uiPriority w:val="99"/>
    <w:qFormat/>
    <w:pPr>
      <w:keepNext/>
      <w:spacing w:before="240"/>
      <w:outlineLvl w:val="0"/>
    </w:pPr>
    <w:rPr>
      <w:rFonts w:ascii="Arial" w:hAnsi="Arial"/>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pPr>
      <w:bidi w:val="0"/>
      <w:jc w:val="both"/>
    </w:pPr>
  </w:style>
  <w:style w:type="character" w:customStyle="1" w:styleId="FootnoteTextChar">
    <w:name w:val="Footnote Text Char"/>
    <w:basedOn w:val="DefaultParagraphFont"/>
    <w:link w:val="FootnoteText"/>
    <w:uiPriority w:val="99"/>
    <w:semiHidden/>
    <w:rPr>
      <w:rFonts w:ascii="Times New Roman" w:hAnsi="Times New Roman" w:cs="Narkisim"/>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Narkisim"/>
      <w:sz w:val="18"/>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Narkisim"/>
      <w:sz w:val="18"/>
      <w:szCs w:val="20"/>
    </w:rPr>
  </w:style>
  <w:style w:type="paragraph" w:customStyle="1" w:styleId="-">
    <w:name w:val="מאמר - ציטוט"/>
    <w:basedOn w:val="Normal"/>
    <w:next w:val="Normal"/>
    <w:uiPriority w:val="99"/>
    <w:pPr>
      <w:tabs>
        <w:tab w:val="right" w:pos="8165"/>
      </w:tabs>
      <w:spacing w:after="0" w:line="360" w:lineRule="exact"/>
      <w:ind w:left="907" w:right="907"/>
      <w:jc w:val="both"/>
    </w:pPr>
    <w:rPr>
      <w:rFonts w:cs="David"/>
      <w:spacing w:val="5"/>
      <w:sz w:val="20"/>
      <w:szCs w:val="22"/>
    </w:rPr>
  </w:style>
  <w:style w:type="paragraph" w:customStyle="1" w:styleId="a">
    <w:name w:val="כותרת"/>
    <w:basedOn w:val="Normal"/>
    <w:uiPriority w:val="99"/>
    <w:pPr>
      <w:keepNext/>
      <w:spacing w:before="240" w:after="240"/>
      <w:jc w:val="center"/>
      <w:outlineLvl w:val="0"/>
    </w:pPr>
    <w:rPr>
      <w:b/>
      <w:bCs/>
      <w:sz w:val="46"/>
      <w:szCs w:val="50"/>
    </w:rPr>
  </w:style>
  <w:style w:type="paragraph" w:customStyle="1" w:styleId="a0">
    <w:name w:val="מחבר"/>
    <w:basedOn w:val="Normal"/>
    <w:uiPriority w:val="99"/>
    <w:pPr>
      <w:jc w:val="both"/>
    </w:pPr>
    <w:rPr>
      <w:b/>
      <w:bCs/>
      <w:sz w:val="24"/>
      <w:szCs w:val="26"/>
    </w:rPr>
  </w:style>
  <w:style w:type="paragraph" w:customStyle="1" w:styleId="a1">
    <w:name w:val="ציטוט"/>
    <w:basedOn w:val="Normal"/>
    <w:uiPriority w:val="99"/>
    <w:pPr>
      <w:tabs>
        <w:tab w:val="right" w:pos="4620"/>
      </w:tabs>
      <w:ind w:right="567"/>
      <w:jc w:val="both"/>
    </w:pPr>
    <w:rPr>
      <w:sz w:val="20"/>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
    <w:uiPriority w:val="99"/>
    <w:pPr>
      <w:spacing w:before="120" w:after="60" w:line="240" w:lineRule="auto"/>
      <w:jc w:val="both"/>
      <w:outlineLvl w:val="1"/>
    </w:pPr>
    <w:rPr>
      <w:sz w:val="26"/>
      <w:szCs w:val="28"/>
    </w:rPr>
  </w:style>
  <w:style w:type="character" w:styleId="FootnoteReference">
    <w:name w:val="footnote reference"/>
    <w:basedOn w:val="DefaultParagraphFont"/>
    <w:uiPriority w:val="99"/>
    <w:rPr>
      <w:rFonts w:cs="Narkisim"/>
      <w:vertAlign w:val="superscript"/>
      <w:lang w:bidi="he-IL"/>
    </w:rPr>
  </w:style>
  <w:style w:type="paragraph" w:customStyle="1" w:styleId="-0">
    <w:name w:val="מאמר - טקסט"/>
    <w:basedOn w:val="Normal"/>
    <w:uiPriority w:val="99"/>
    <w:pPr>
      <w:spacing w:after="0" w:line="360" w:lineRule="atLeast"/>
      <w:ind w:firstLine="357"/>
      <w:jc w:val="both"/>
    </w:pPr>
    <w:rPr>
      <w:rFonts w:cs="David"/>
      <w:spacing w:val="5"/>
      <w:sz w:val="20"/>
      <w:szCs w:val="22"/>
    </w:rPr>
  </w:style>
  <w:style w:type="paragraph" w:customStyle="1" w:styleId="-1">
    <w:name w:val="מאמר - כותרת"/>
    <w:basedOn w:val="Normal"/>
    <w:next w:val="-0"/>
    <w:uiPriority w:val="99"/>
    <w:pPr>
      <w:spacing w:after="120" w:line="240" w:lineRule="auto"/>
      <w:jc w:val="center"/>
    </w:pPr>
    <w:rPr>
      <w:rFonts w:cs="Monotype Hadassah"/>
      <w:bCs/>
      <w:spacing w:val="5"/>
      <w:sz w:val="20"/>
      <w:szCs w:val="30"/>
      <w:u w:val="double"/>
    </w:rPr>
  </w:style>
  <w:style w:type="paragraph" w:styleId="BodyText2">
    <w:name w:val="Body Text 2"/>
    <w:basedOn w:val="Normal"/>
    <w:link w:val="BodyText2Char"/>
    <w:uiPriority w:val="99"/>
    <w:pPr>
      <w:ind w:firstLine="367"/>
      <w:jc w:val="both"/>
    </w:pPr>
  </w:style>
  <w:style w:type="character" w:customStyle="1" w:styleId="BodyText2Char">
    <w:name w:val="Body Text 2 Char"/>
    <w:basedOn w:val="DefaultParagraphFont"/>
    <w:link w:val="BodyText2"/>
    <w:uiPriority w:val="99"/>
    <w:semiHidden/>
    <w:rPr>
      <w:rFonts w:ascii="Times New Roman" w:hAnsi="Times New Roman" w:cs="Narkisim"/>
      <w:sz w:val="18"/>
      <w:szCs w:val="20"/>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rFonts w:ascii="Times New Roman" w:hAnsi="Times New Roman" w:cs="Narkisim"/>
      <w:sz w:val="18"/>
      <w:szCs w:val="20"/>
    </w:rPr>
  </w:style>
  <w:style w:type="paragraph" w:customStyle="1" w:styleId="a3">
    <w:name w:val="כותרת משנה"/>
    <w:basedOn w:val="Normal"/>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basedOn w:val="DefaultParagraphFont"/>
    <w:uiPriority w:val="99"/>
    <w:rPr>
      <w:rFonts w:cs="Narkisim"/>
      <w:color w:val="0000FF"/>
      <w:u w:val="single"/>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60" w:line="280" w:lineRule="exact"/>
    </w:pPr>
    <w:rPr>
      <w:rFonts w:ascii="Times New Roman" w:hAnsi="Times New Roman" w:cs="Narkisim"/>
      <w:sz w:val="18"/>
      <w:szCs w:val="20"/>
    </w:rPr>
  </w:style>
  <w:style w:type="paragraph" w:styleId="Heading1">
    <w:name w:val="heading 1"/>
    <w:basedOn w:val="Normal"/>
    <w:next w:val="Normal"/>
    <w:link w:val="Heading1Char"/>
    <w:uiPriority w:val="99"/>
    <w:qFormat/>
    <w:pPr>
      <w:keepNext/>
      <w:spacing w:before="240"/>
      <w:outlineLvl w:val="0"/>
    </w:pPr>
    <w:rPr>
      <w:rFonts w:ascii="Arial" w:hAnsi="Arial"/>
      <w:b/>
      <w:bCs/>
      <w:kern w:val="28"/>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pPr>
      <w:bidi w:val="0"/>
      <w:jc w:val="both"/>
    </w:pPr>
  </w:style>
  <w:style w:type="character" w:customStyle="1" w:styleId="FootnoteTextChar">
    <w:name w:val="Footnote Text Char"/>
    <w:basedOn w:val="DefaultParagraphFont"/>
    <w:link w:val="FootnoteText"/>
    <w:uiPriority w:val="99"/>
    <w:semiHidden/>
    <w:rPr>
      <w:rFonts w:ascii="Times New Roman" w:hAnsi="Times New Roman" w:cs="Narkisim"/>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Narkisim"/>
      <w:sz w:val="18"/>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Narkisim"/>
      <w:sz w:val="18"/>
      <w:szCs w:val="20"/>
    </w:rPr>
  </w:style>
  <w:style w:type="paragraph" w:customStyle="1" w:styleId="-">
    <w:name w:val="מאמר - ציטוט"/>
    <w:basedOn w:val="Normal"/>
    <w:next w:val="Normal"/>
    <w:uiPriority w:val="99"/>
    <w:pPr>
      <w:tabs>
        <w:tab w:val="right" w:pos="8165"/>
      </w:tabs>
      <w:spacing w:after="0" w:line="360" w:lineRule="exact"/>
      <w:ind w:left="907" w:right="907"/>
      <w:jc w:val="both"/>
    </w:pPr>
    <w:rPr>
      <w:rFonts w:cs="David"/>
      <w:spacing w:val="5"/>
      <w:sz w:val="20"/>
      <w:szCs w:val="22"/>
    </w:rPr>
  </w:style>
  <w:style w:type="paragraph" w:customStyle="1" w:styleId="a">
    <w:name w:val="כותרת"/>
    <w:basedOn w:val="Normal"/>
    <w:uiPriority w:val="99"/>
    <w:pPr>
      <w:keepNext/>
      <w:spacing w:before="240" w:after="240"/>
      <w:jc w:val="center"/>
      <w:outlineLvl w:val="0"/>
    </w:pPr>
    <w:rPr>
      <w:b/>
      <w:bCs/>
      <w:sz w:val="46"/>
      <w:szCs w:val="50"/>
    </w:rPr>
  </w:style>
  <w:style w:type="paragraph" w:customStyle="1" w:styleId="a0">
    <w:name w:val="מחבר"/>
    <w:basedOn w:val="Normal"/>
    <w:uiPriority w:val="99"/>
    <w:pPr>
      <w:jc w:val="both"/>
    </w:pPr>
    <w:rPr>
      <w:b/>
      <w:bCs/>
      <w:sz w:val="24"/>
      <w:szCs w:val="26"/>
    </w:rPr>
  </w:style>
  <w:style w:type="paragraph" w:customStyle="1" w:styleId="a1">
    <w:name w:val="ציטוט"/>
    <w:basedOn w:val="Normal"/>
    <w:uiPriority w:val="99"/>
    <w:pPr>
      <w:tabs>
        <w:tab w:val="right" w:pos="4620"/>
      </w:tabs>
      <w:ind w:right="567"/>
      <w:jc w:val="both"/>
    </w:pPr>
    <w:rPr>
      <w:sz w:val="20"/>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
    <w:uiPriority w:val="99"/>
    <w:pPr>
      <w:spacing w:before="120" w:after="60" w:line="240" w:lineRule="auto"/>
      <w:jc w:val="both"/>
      <w:outlineLvl w:val="1"/>
    </w:pPr>
    <w:rPr>
      <w:sz w:val="26"/>
      <w:szCs w:val="28"/>
    </w:rPr>
  </w:style>
  <w:style w:type="character" w:styleId="FootnoteReference">
    <w:name w:val="footnote reference"/>
    <w:basedOn w:val="DefaultParagraphFont"/>
    <w:uiPriority w:val="99"/>
    <w:rPr>
      <w:rFonts w:cs="Narkisim"/>
      <w:vertAlign w:val="superscript"/>
      <w:lang w:bidi="he-IL"/>
    </w:rPr>
  </w:style>
  <w:style w:type="paragraph" w:customStyle="1" w:styleId="-0">
    <w:name w:val="מאמר - טקסט"/>
    <w:basedOn w:val="Normal"/>
    <w:uiPriority w:val="99"/>
    <w:pPr>
      <w:spacing w:after="0" w:line="360" w:lineRule="atLeast"/>
      <w:ind w:firstLine="357"/>
      <w:jc w:val="both"/>
    </w:pPr>
    <w:rPr>
      <w:rFonts w:cs="David"/>
      <w:spacing w:val="5"/>
      <w:sz w:val="20"/>
      <w:szCs w:val="22"/>
    </w:rPr>
  </w:style>
  <w:style w:type="paragraph" w:customStyle="1" w:styleId="-1">
    <w:name w:val="מאמר - כותרת"/>
    <w:basedOn w:val="Normal"/>
    <w:next w:val="-0"/>
    <w:uiPriority w:val="99"/>
    <w:pPr>
      <w:spacing w:after="120" w:line="240" w:lineRule="auto"/>
      <w:jc w:val="center"/>
    </w:pPr>
    <w:rPr>
      <w:rFonts w:cs="Monotype Hadassah"/>
      <w:bCs/>
      <w:spacing w:val="5"/>
      <w:sz w:val="20"/>
      <w:szCs w:val="30"/>
      <w:u w:val="double"/>
    </w:rPr>
  </w:style>
  <w:style w:type="paragraph" w:styleId="BodyText2">
    <w:name w:val="Body Text 2"/>
    <w:basedOn w:val="Normal"/>
    <w:link w:val="BodyText2Char"/>
    <w:uiPriority w:val="99"/>
    <w:pPr>
      <w:ind w:firstLine="367"/>
      <w:jc w:val="both"/>
    </w:pPr>
  </w:style>
  <w:style w:type="character" w:customStyle="1" w:styleId="BodyText2Char">
    <w:name w:val="Body Text 2 Char"/>
    <w:basedOn w:val="DefaultParagraphFont"/>
    <w:link w:val="BodyText2"/>
    <w:uiPriority w:val="99"/>
    <w:semiHidden/>
    <w:rPr>
      <w:rFonts w:ascii="Times New Roman" w:hAnsi="Times New Roman" w:cs="Narkisim"/>
      <w:sz w:val="18"/>
      <w:szCs w:val="20"/>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rFonts w:ascii="Times New Roman" w:hAnsi="Times New Roman" w:cs="Narkisim"/>
      <w:sz w:val="18"/>
      <w:szCs w:val="20"/>
    </w:rPr>
  </w:style>
  <w:style w:type="paragraph" w:customStyle="1" w:styleId="a3">
    <w:name w:val="כותרת משנה"/>
    <w:basedOn w:val="Normal"/>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basedOn w:val="DefaultParagraphFont"/>
    <w:uiPriority w:val="99"/>
    <w:rPr>
      <w:rFonts w:cs="Narkisi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H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2084</Words>
  <Characters>9094</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מחבר</vt:lpstr>
    </vt:vector>
  </TitlesOfParts>
  <Company>YHE</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tmpUser</cp:lastModifiedBy>
  <cp:revision>3</cp:revision>
  <dcterms:created xsi:type="dcterms:W3CDTF">2019-02-13T08:12:00Z</dcterms:created>
  <dcterms:modified xsi:type="dcterms:W3CDTF">2019-02-13T08:13:00Z</dcterms:modified>
</cp:coreProperties>
</file>