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943" w:rsidRDefault="00322943">
      <w:pPr>
        <w:pStyle w:val="aa"/>
        <w:rPr>
          <w:rFonts w:hint="cs"/>
          <w:rtl/>
        </w:rPr>
      </w:pPr>
      <w:r>
        <w:rPr>
          <w:rtl/>
        </w:rPr>
        <w:t>הרב אהרן ליכטנשטיין</w:t>
      </w:r>
      <w:r w:rsidR="006F019B">
        <w:rPr>
          <w:rFonts w:hint="cs"/>
          <w:rtl/>
        </w:rPr>
        <w:t xml:space="preserve"> זצ"ל</w:t>
      </w:r>
      <w:bookmarkStart w:id="0" w:name="_GoBack"/>
      <w:bookmarkEnd w:id="0"/>
    </w:p>
    <w:p w:rsidR="00322943" w:rsidRDefault="00322943">
      <w:pPr>
        <w:pStyle w:val="a9"/>
        <w:rPr>
          <w:rtl/>
        </w:rPr>
      </w:pPr>
      <w:r>
        <w:rPr>
          <w:rtl/>
        </w:rPr>
        <w:t>יסודות בענין ברית מילה</w:t>
      </w:r>
      <w:r>
        <w:rPr>
          <w:rStyle w:val="ac"/>
          <w:rtl/>
        </w:rPr>
        <w:footnoteReference w:customMarkFollows="1" w:id="1"/>
        <w:t>*</w:t>
      </w:r>
    </w:p>
    <w:p w:rsidR="00322943" w:rsidRDefault="00322943" w:rsidP="007C7E9A">
      <w:pPr>
        <w:jc w:val="both"/>
        <w:rPr>
          <w:rtl/>
        </w:rPr>
      </w:pPr>
      <w:r>
        <w:rPr>
          <w:rtl/>
        </w:rPr>
        <w:t>מצוות מילה מופיעה בשני מקומות בתורה: בפרשת לך לך</w:t>
      </w:r>
      <w:r>
        <w:rPr>
          <w:rStyle w:val="ac"/>
          <w:rtl/>
        </w:rPr>
        <w:footnoteReference w:id="2"/>
      </w:r>
      <w:r>
        <w:rPr>
          <w:rtl/>
        </w:rPr>
        <w:t xml:space="preserve"> בצורה נרחבת, ובפרשת תזריע באזכור בלבד -</w:t>
      </w:r>
    </w:p>
    <w:p w:rsidR="00322943" w:rsidRDefault="007C7E9A">
      <w:pPr>
        <w:pStyle w:val="11"/>
        <w:ind w:left="567" w:right="0"/>
        <w:rPr>
          <w:rtl/>
        </w:rPr>
      </w:pPr>
      <w:r>
        <w:rPr>
          <w:rtl/>
        </w:rPr>
        <w:t>ביום השמיני ימול בשר ערלתו</w:t>
      </w:r>
      <w:r w:rsidR="00322943">
        <w:rPr>
          <w:rtl/>
        </w:rPr>
        <w:t>.</w:t>
      </w:r>
      <w:r w:rsidR="00322943">
        <w:rPr>
          <w:rtl/>
        </w:rPr>
        <w:tab/>
        <w:t>(ויקרא יב, ב)</w:t>
      </w:r>
    </w:p>
    <w:p w:rsidR="00322943" w:rsidRDefault="00F2569E">
      <w:pPr>
        <w:jc w:val="both"/>
        <w:rPr>
          <w:rtl/>
        </w:rPr>
      </w:pPr>
      <w:r>
        <w:rPr>
          <w:rtl/>
        </w:rPr>
        <w:t>בהבחנה מדוק</w:t>
      </w:r>
      <w:r w:rsidR="00322943">
        <w:rPr>
          <w:rtl/>
        </w:rPr>
        <w:t xml:space="preserve">דקת נשים לב כי יש מספר הבדלים הנוגעים ליסודות מצוות מילה בין שני המקומות. בפרשת לך לך נאמר לאברהם למול את עצמו ואת "זרעך אחריך לדורותם". כלומר: כל אדם חייב למול את עצמו. הבנה נוספת אפשרית היא שעל כל אדם למול את זרעו אחריו </w:t>
      </w:r>
      <w:r w:rsidR="007C7E9A">
        <w:rPr>
          <w:rtl/>
        </w:rPr>
        <w:t>–</w:t>
      </w:r>
      <w:r w:rsidR="00322943">
        <w:rPr>
          <w:rtl/>
        </w:rPr>
        <w:t xml:space="preserve"> את בניו. בפרשת תזריע לא מוזכרת כלל השאלה על מי מוטלת המצווה (להלכה ברור שהאדם לא מל את עצמו בגיל 8 ימים). אנו נדון בשאלה זו על השלכותיה השונות, אך קודם כל יש להבין כי השאלה: 'על מי מוטלת המצווה' היא כפולה: </w:t>
      </w:r>
    </w:p>
    <w:p w:rsidR="00322943" w:rsidRDefault="00322943">
      <w:pPr>
        <w:numPr>
          <w:ilvl w:val="0"/>
          <w:numId w:val="4"/>
        </w:numPr>
        <w:jc w:val="both"/>
        <w:rPr>
          <w:rtl/>
        </w:rPr>
      </w:pPr>
      <w:r>
        <w:rPr>
          <w:rtl/>
        </w:rPr>
        <w:t>מי נצטווה במצווה, איזה ציבור?</w:t>
      </w:r>
    </w:p>
    <w:p w:rsidR="00322943" w:rsidRDefault="00322943">
      <w:pPr>
        <w:numPr>
          <w:ilvl w:val="0"/>
          <w:numId w:val="4"/>
        </w:numPr>
        <w:jc w:val="both"/>
        <w:rPr>
          <w:rtl/>
        </w:rPr>
      </w:pPr>
      <w:r>
        <w:rPr>
          <w:rtl/>
        </w:rPr>
        <w:t>על מי ספציפית היא מוטלת?</w:t>
      </w:r>
    </w:p>
    <w:p w:rsidR="00322943" w:rsidRDefault="00322943">
      <w:pPr>
        <w:pStyle w:val="2"/>
        <w:rPr>
          <w:rtl/>
        </w:rPr>
      </w:pPr>
      <w:r>
        <w:rPr>
          <w:rtl/>
        </w:rPr>
        <w:t xml:space="preserve">על איזה ציבור </w:t>
      </w:r>
    </w:p>
    <w:p w:rsidR="00322943" w:rsidRDefault="00322943">
      <w:pPr>
        <w:jc w:val="both"/>
        <w:rPr>
          <w:rtl/>
        </w:rPr>
      </w:pPr>
      <w:r>
        <w:rPr>
          <w:rtl/>
        </w:rPr>
        <w:t xml:space="preserve">בעיקרון, פרשת תזריע היא זו שמחייבת אותנו - שהרי נאמרה אחרי מתן תורה. אך לגבי הפסוק מפרשת לך לך, יש לשאול אם לאחר שנשנתה המצווה בסיני </w:t>
      </w:r>
      <w:r w:rsidR="007C7E9A">
        <w:rPr>
          <w:rtl/>
        </w:rPr>
        <w:t>–</w:t>
      </w:r>
      <w:r>
        <w:rPr>
          <w:rtl/>
        </w:rPr>
        <w:t xml:space="preserve"> הפרשה שנאמרה לפני כן </w:t>
      </w:r>
      <w:r>
        <w:rPr>
          <w:b/>
          <w:bCs/>
          <w:rtl/>
        </w:rPr>
        <w:t>עדיין מחייבת</w:t>
      </w:r>
      <w:r>
        <w:rPr>
          <w:rtl/>
        </w:rPr>
        <w:t xml:space="preserve">, או שהציווי שנאמר לאחר מתן תורה הוא חיוב חדש </w:t>
      </w:r>
      <w:r>
        <w:rPr>
          <w:b/>
          <w:bCs/>
          <w:rtl/>
        </w:rPr>
        <w:t>המפקיע</w:t>
      </w:r>
      <w:r>
        <w:rPr>
          <w:rtl/>
        </w:rPr>
        <w:t xml:space="preserve"> את החיוב הקודם. </w:t>
      </w:r>
    </w:p>
    <w:p w:rsidR="00322943" w:rsidRDefault="00322943" w:rsidP="007C7E9A">
      <w:pPr>
        <w:pStyle w:val="22"/>
        <w:ind w:firstLine="0"/>
        <w:jc w:val="both"/>
        <w:rPr>
          <w:rtl/>
        </w:rPr>
      </w:pPr>
      <w:r>
        <w:rPr>
          <w:rtl/>
        </w:rPr>
        <w:t>הגמרא דנה במצוות שנאמרו לבני נח ונשנו בסיני:</w:t>
      </w:r>
    </w:p>
    <w:p w:rsidR="00322943" w:rsidRDefault="00322943" w:rsidP="007C7E9A">
      <w:pPr>
        <w:pStyle w:val="11"/>
        <w:ind w:left="567" w:right="0"/>
        <w:rPr>
          <w:rtl/>
        </w:rPr>
      </w:pPr>
      <w:r>
        <w:rPr>
          <w:rtl/>
        </w:rPr>
        <w:t xml:space="preserve">כל מצווה שנאמרה לבני נח ונשנתה בסיני </w:t>
      </w:r>
      <w:r w:rsidR="007C7E9A">
        <w:rPr>
          <w:rtl/>
        </w:rPr>
        <w:t>–</w:t>
      </w:r>
      <w:r>
        <w:rPr>
          <w:rtl/>
        </w:rPr>
        <w:t xml:space="preserve"> לזה ולזה נאמרה. לבני נח ולא נשנית בסיני </w:t>
      </w:r>
      <w:r w:rsidR="007C7E9A">
        <w:rPr>
          <w:rtl/>
        </w:rPr>
        <w:t>–</w:t>
      </w:r>
      <w:r>
        <w:rPr>
          <w:rtl/>
        </w:rPr>
        <w:t xml:space="preserve"> ליש</w:t>
      </w:r>
      <w:r w:rsidR="007C7E9A">
        <w:rPr>
          <w:rtl/>
        </w:rPr>
        <w:t>ראל נאמרה ולא לבני נח.</w:t>
      </w:r>
      <w:r w:rsidR="007C7E9A">
        <w:rPr>
          <w:rFonts w:hint="cs"/>
          <w:rtl/>
        </w:rPr>
        <w:t xml:space="preserve">.. </w:t>
      </w:r>
      <w:r>
        <w:rPr>
          <w:rtl/>
        </w:rPr>
        <w:t>והרי מילה שנאמרה לבני נח… ונשנית בסיני… לישראל נאמרה ולא לבנ</w:t>
      </w:r>
      <w:r w:rsidR="007C7E9A">
        <w:rPr>
          <w:rtl/>
        </w:rPr>
        <w:t>י נח! ההוא למשרי שבת הוא דאתא.</w:t>
      </w:r>
      <w:r w:rsidR="007C7E9A">
        <w:rPr>
          <w:rFonts w:hint="cs"/>
          <w:rtl/>
        </w:rPr>
        <w:tab/>
      </w:r>
      <w:r w:rsidR="007C7E9A" w:rsidRPr="007C7E9A">
        <w:rPr>
          <w:rFonts w:hint="cs"/>
          <w:sz w:val="16"/>
          <w:szCs w:val="16"/>
          <w:rtl/>
        </w:rPr>
        <w:t xml:space="preserve">(סנהדרין </w:t>
      </w:r>
      <w:r w:rsidR="007C7E9A" w:rsidRPr="007C7E9A">
        <w:rPr>
          <w:sz w:val="16"/>
          <w:szCs w:val="16"/>
          <w:rtl/>
        </w:rPr>
        <w:t>נט ע"א</w:t>
      </w:r>
      <w:r w:rsidR="007C7E9A" w:rsidRPr="007C7E9A">
        <w:rPr>
          <w:rFonts w:hint="cs"/>
          <w:sz w:val="16"/>
          <w:szCs w:val="16"/>
          <w:rtl/>
        </w:rPr>
        <w:t>)</w:t>
      </w:r>
      <w:r w:rsidR="007C7E9A">
        <w:rPr>
          <w:rFonts w:hint="cs"/>
          <w:rtl/>
        </w:rPr>
        <w:t>.</w:t>
      </w:r>
    </w:p>
    <w:p w:rsidR="00322943" w:rsidRDefault="00322943">
      <w:pPr>
        <w:jc w:val="both"/>
        <w:rPr>
          <w:rtl/>
        </w:rPr>
      </w:pPr>
      <w:r>
        <w:rPr>
          <w:rtl/>
        </w:rPr>
        <w:t>כלומר, למרות שבדרך כלל מצוות שנשנו הן לפני מתן תורה הן אחריה, מחייבות גם את בני נח וגם את עם ישר</w:t>
      </w:r>
      <w:r w:rsidR="007C7E9A">
        <w:rPr>
          <w:rtl/>
        </w:rPr>
        <w:t>אל, במצוות מילה אין בני נח מחוי</w:t>
      </w:r>
      <w:r>
        <w:rPr>
          <w:rtl/>
        </w:rPr>
        <w:t xml:space="preserve">בים, והחזרה על הציווי באה לחייב מילה אף בשבת. יש להסביר כי כוונת הגמרא היא, שהמצווה נאמרה לפני מתן תורה </w:t>
      </w:r>
      <w:r w:rsidR="007C7E9A">
        <w:rPr>
          <w:b/>
          <w:bCs/>
          <w:rtl/>
        </w:rPr>
        <w:t>לציבור מסוי</w:t>
      </w:r>
      <w:r>
        <w:rPr>
          <w:b/>
          <w:bCs/>
          <w:rtl/>
        </w:rPr>
        <w:t xml:space="preserve">ם מתוך בני נח </w:t>
      </w:r>
      <w:r w:rsidR="007C7E9A">
        <w:rPr>
          <w:rtl/>
        </w:rPr>
        <w:t>–</w:t>
      </w:r>
      <w:r>
        <w:rPr>
          <w:rtl/>
        </w:rPr>
        <w:t xml:space="preserve"> שאחר</w:t>
      </w:r>
      <w:r w:rsidR="007C7E9A">
        <w:rPr>
          <w:rtl/>
        </w:rPr>
        <w:t xml:space="preserve"> כך נקרא</w:t>
      </w:r>
      <w:r>
        <w:rPr>
          <w:rtl/>
        </w:rPr>
        <w:t xml:space="preserve"> בשם "עם ישראל". הגמרא מביאה גם תירוץ שני:</w:t>
      </w:r>
    </w:p>
    <w:p w:rsidR="00322943" w:rsidRDefault="00322943">
      <w:pPr>
        <w:pStyle w:val="11"/>
        <w:ind w:left="567" w:right="0"/>
        <w:rPr>
          <w:rtl/>
        </w:rPr>
      </w:pPr>
      <w:r>
        <w:rPr>
          <w:rtl/>
        </w:rPr>
        <w:t>אי בעית אימא: מילה מעיקרא לאברהם הוא דקא מזהר ליה רחמנא, ואתא 'את בריתי תשמור אתה וזרעך אחריך לדורותם'. אתה</w:t>
      </w:r>
      <w:r w:rsidR="007C7E9A">
        <w:rPr>
          <w:rtl/>
        </w:rPr>
        <w:t xml:space="preserve"> וזרעך – אין</w:t>
      </w:r>
      <w:r w:rsidR="007C7E9A">
        <w:rPr>
          <w:rFonts w:hint="cs"/>
          <w:rtl/>
        </w:rPr>
        <w:t>;</w:t>
      </w:r>
      <w:r w:rsidR="007C7E9A">
        <w:rPr>
          <w:rtl/>
        </w:rPr>
        <w:t xml:space="preserve"> איניש אחרינא – לא</w:t>
      </w:r>
      <w:r>
        <w:rPr>
          <w:rtl/>
        </w:rPr>
        <w:t>.</w:t>
      </w:r>
    </w:p>
    <w:p w:rsidR="00322943" w:rsidRDefault="007C7E9A" w:rsidP="007C7E9A">
      <w:pPr>
        <w:jc w:val="both"/>
        <w:rPr>
          <w:rtl/>
        </w:rPr>
      </w:pPr>
      <w:r>
        <w:rPr>
          <w:rtl/>
        </w:rPr>
        <w:t>כלומר</w:t>
      </w:r>
      <w:r>
        <w:rPr>
          <w:rFonts w:hint="cs"/>
          <w:rtl/>
        </w:rPr>
        <w:t>,</w:t>
      </w:r>
      <w:r w:rsidR="00322943">
        <w:rPr>
          <w:rtl/>
        </w:rPr>
        <w:t xml:space="preserve"> מצוות מילה לא נאמרה לכלל בני נח, אלא רק לאברהם ובני ביתו, ולכן אינה כלולה במצוות שנאמרו לבני נח ונשנו בסיני. הגמרא ממשיכה ודנה, לפיכך, במידת חיובם של בני ישמעאל, עשיו ובני קטורה במצוות מילה, ומסיקה כי לאברהם נאמר: "כי </w:t>
      </w:r>
      <w:r w:rsidR="00322943">
        <w:rPr>
          <w:b/>
          <w:bCs/>
          <w:rtl/>
        </w:rPr>
        <w:t xml:space="preserve">ביצחק </w:t>
      </w:r>
      <w:r>
        <w:rPr>
          <w:rtl/>
        </w:rPr>
        <w:t>יקרא לך זרע</w:t>
      </w:r>
      <w:r>
        <w:rPr>
          <w:rFonts w:hint="cs"/>
          <w:rtl/>
        </w:rPr>
        <w:t>"</w:t>
      </w:r>
      <w:r w:rsidR="00322943">
        <w:rPr>
          <w:rtl/>
        </w:rPr>
        <w:t xml:space="preserve"> </w:t>
      </w:r>
      <w:r>
        <w:rPr>
          <w:rtl/>
        </w:rPr>
        <w:t>–</w:t>
      </w:r>
      <w:r w:rsidR="00322943">
        <w:rPr>
          <w:rtl/>
        </w:rPr>
        <w:t xml:space="preserve"> להוציא את ישמעאל, </w:t>
      </w:r>
      <w:r w:rsidR="00322943">
        <w:rPr>
          <w:rtl/>
        </w:rPr>
        <w:lastRenderedPageBreak/>
        <w:t xml:space="preserve">ו"ביצחק" </w:t>
      </w:r>
      <w:r>
        <w:rPr>
          <w:rtl/>
        </w:rPr>
        <w:t>–</w:t>
      </w:r>
      <w:r w:rsidR="00322943">
        <w:rPr>
          <w:rtl/>
        </w:rPr>
        <w:t xml:space="preserve"> ולא כל יצחק, להוציא את עשיו</w:t>
      </w:r>
      <w:r>
        <w:rPr>
          <w:rtl/>
        </w:rPr>
        <w:t>. בני קטורה, לפי הגמרא</w:t>
      </w:r>
      <w:r w:rsidR="00F9159D">
        <w:rPr>
          <w:rFonts w:hint="cs"/>
          <w:rtl/>
        </w:rPr>
        <w:t>,</w:t>
      </w:r>
      <w:r>
        <w:rPr>
          <w:rtl/>
        </w:rPr>
        <w:t xml:space="preserve"> אכן מחוי</w:t>
      </w:r>
      <w:r w:rsidR="00F9159D">
        <w:rPr>
          <w:rFonts w:hint="cs"/>
          <w:rtl/>
        </w:rPr>
        <w:t>ב</w:t>
      </w:r>
      <w:r w:rsidR="00322943">
        <w:rPr>
          <w:rtl/>
        </w:rPr>
        <w:t xml:space="preserve">ים במילה, שכן נאמר: "ואת בריתי הפר" </w:t>
      </w:r>
      <w:r>
        <w:rPr>
          <w:rtl/>
        </w:rPr>
        <w:t>–</w:t>
      </w:r>
      <w:r w:rsidR="00322943">
        <w:rPr>
          <w:rtl/>
        </w:rPr>
        <w:t xml:space="preserve"> לרבות בני קטורה. רש"י על הגמרא שם</w:t>
      </w:r>
      <w:r>
        <w:rPr>
          <w:rFonts w:hint="cs"/>
          <w:rtl/>
        </w:rPr>
        <w:t xml:space="preserve"> מסביר</w:t>
      </w:r>
      <w:r w:rsidR="00322943">
        <w:rPr>
          <w:rtl/>
        </w:rPr>
        <w:t>:</w:t>
      </w:r>
    </w:p>
    <w:p w:rsidR="00322943" w:rsidRDefault="00322943">
      <w:pPr>
        <w:pStyle w:val="11"/>
        <w:ind w:left="567" w:right="0"/>
        <w:rPr>
          <w:rtl/>
        </w:rPr>
      </w:pPr>
      <w:r>
        <w:rPr>
          <w:rtl/>
        </w:rPr>
        <w:t>אותם שישה לבדם ולא זרעם א</w:t>
      </w:r>
      <w:r w:rsidR="007C7E9A">
        <w:rPr>
          <w:rtl/>
        </w:rPr>
        <w:t>בל אברהם נצטווה לכל הנולדים לו</w:t>
      </w:r>
      <w:r w:rsidR="007C7E9A">
        <w:rPr>
          <w:rFonts w:hint="cs"/>
          <w:rtl/>
        </w:rPr>
        <w:t>.</w:t>
      </w:r>
      <w:r>
        <w:rPr>
          <w:rtl/>
        </w:rPr>
        <w:t xml:space="preserve"> </w:t>
      </w:r>
    </w:p>
    <w:p w:rsidR="00322943" w:rsidRDefault="00322943" w:rsidP="007C7E9A">
      <w:pPr>
        <w:jc w:val="both"/>
        <w:rPr>
          <w:rtl/>
        </w:rPr>
      </w:pPr>
      <w:r>
        <w:rPr>
          <w:rtl/>
        </w:rPr>
        <w:t>ניתן</w:t>
      </w:r>
      <w:r w:rsidR="007C7E9A">
        <w:rPr>
          <w:rtl/>
        </w:rPr>
        <w:t xml:space="preserve"> להבין מדוע בני קטורה אינם מחוי</w:t>
      </w:r>
      <w:r>
        <w:rPr>
          <w:rtl/>
        </w:rPr>
        <w:t>בים לדורות, אם נבין שהציווי לאברהם כלל שני חלקים: הציווי לאברהם עצמו והציווי לבניו לדורו</w:t>
      </w:r>
      <w:r w:rsidR="007C7E9A">
        <w:rPr>
          <w:rtl/>
        </w:rPr>
        <w:t>ת. לאברהם אישית היה ציווי נפרד</w:t>
      </w:r>
      <w:r w:rsidR="007C7E9A">
        <w:rPr>
          <w:rFonts w:hint="cs"/>
          <w:rtl/>
        </w:rPr>
        <w:t>:</w:t>
      </w:r>
    </w:p>
    <w:p w:rsidR="00322943" w:rsidRDefault="00322943">
      <w:pPr>
        <w:pStyle w:val="11"/>
        <w:ind w:left="567" w:right="0"/>
        <w:rPr>
          <w:rtl/>
        </w:rPr>
      </w:pPr>
      <w:r>
        <w:rPr>
          <w:rtl/>
        </w:rPr>
        <w:t>"</w:t>
      </w:r>
      <w:r>
        <w:rPr>
          <w:b/>
          <w:bCs/>
          <w:rtl/>
        </w:rPr>
        <w:t>אתה,</w:t>
      </w:r>
      <w:r>
        <w:rPr>
          <w:rtl/>
        </w:rPr>
        <w:t xml:space="preserve"> וזרעך אחריך לדורותם".</w:t>
      </w:r>
    </w:p>
    <w:p w:rsidR="00322943" w:rsidRDefault="00322943">
      <w:pPr>
        <w:jc w:val="both"/>
        <w:rPr>
          <w:rtl/>
        </w:rPr>
      </w:pPr>
      <w:r>
        <w:rPr>
          <w:rtl/>
        </w:rPr>
        <w:t xml:space="preserve">הציווי לאברהם, אם כן, כלל את </w:t>
      </w:r>
      <w:r>
        <w:rPr>
          <w:b/>
          <w:bCs/>
          <w:rtl/>
        </w:rPr>
        <w:t xml:space="preserve">כל בניו </w:t>
      </w:r>
      <w:r w:rsidR="007C7E9A">
        <w:rPr>
          <w:b/>
          <w:bCs/>
          <w:rtl/>
        </w:rPr>
        <w:t>–</w:t>
      </w:r>
      <w:r>
        <w:rPr>
          <w:b/>
          <w:bCs/>
          <w:rtl/>
        </w:rPr>
        <w:t xml:space="preserve"> </w:t>
      </w:r>
      <w:r>
        <w:rPr>
          <w:rtl/>
        </w:rPr>
        <w:t>גם את ישמעאל, עשיו ובני קטורה, אך החיוב לדורות אינו כולל אותם.</w:t>
      </w:r>
    </w:p>
    <w:p w:rsidR="00322943" w:rsidRDefault="00322943" w:rsidP="00F9159D">
      <w:pPr>
        <w:jc w:val="both"/>
        <w:rPr>
          <w:rtl/>
        </w:rPr>
      </w:pPr>
      <w:r>
        <w:rPr>
          <w:rtl/>
        </w:rPr>
        <w:t>הרמב"ם</w:t>
      </w:r>
      <w:r>
        <w:rPr>
          <w:rStyle w:val="ac"/>
          <w:rtl/>
        </w:rPr>
        <w:footnoteReference w:id="3"/>
      </w:r>
      <w:r>
        <w:rPr>
          <w:rtl/>
        </w:rPr>
        <w:t xml:space="preserve"> חולק על הבנה זו, וכותב שאברהם וזרעו נצטוו במילה, וגם בני קטורה, אליבא ד</w:t>
      </w:r>
      <w:r w:rsidR="007C7E9A">
        <w:rPr>
          <w:rFonts w:hint="cs"/>
          <w:rtl/>
        </w:rPr>
        <w:t>ה</w:t>
      </w:r>
      <w:r w:rsidR="00F9159D">
        <w:rPr>
          <w:rtl/>
        </w:rPr>
        <w:t>רמב"ם, חייבים במילה</w:t>
      </w:r>
      <w:r w:rsidR="00F9159D">
        <w:rPr>
          <w:rFonts w:hint="cs"/>
          <w:rtl/>
        </w:rPr>
        <w:t>;</w:t>
      </w:r>
      <w:r>
        <w:rPr>
          <w:rtl/>
        </w:rPr>
        <w:t xml:space="preserve"> והואיל ונתערבו בני קטורה בבני ישמעאל </w:t>
      </w:r>
      <w:r w:rsidR="00F9159D">
        <w:rPr>
          <w:rtl/>
        </w:rPr>
        <w:t>–</w:t>
      </w:r>
      <w:r>
        <w:rPr>
          <w:rtl/>
        </w:rPr>
        <w:t xml:space="preserve"> חייבים כולם במילה ביום השמיני. נראה כי הרמב"ם מסתדר </w:t>
      </w:r>
      <w:r w:rsidR="00F9159D">
        <w:rPr>
          <w:rtl/>
        </w:rPr>
        <w:t xml:space="preserve">יותר </w:t>
      </w:r>
      <w:r>
        <w:rPr>
          <w:rtl/>
        </w:rPr>
        <w:t>עם משמעות הגמרא מאשר רש"י, כיוון שלפי הסברו של הרמב"ם, כשם ששאלת הגמרא על בני קטורה מתייחסת לדורות כך גם השאלה לגבי בני ישמעאל מתייחסת לדורות.</w:t>
      </w:r>
    </w:p>
    <w:p w:rsidR="00322943" w:rsidRDefault="00322943" w:rsidP="00F9159D">
      <w:pPr>
        <w:jc w:val="both"/>
        <w:rPr>
          <w:rtl/>
        </w:rPr>
      </w:pPr>
      <w:r>
        <w:rPr>
          <w:rtl/>
        </w:rPr>
        <w:t>מסברה</w:t>
      </w:r>
      <w:r w:rsidR="00F9159D">
        <w:rPr>
          <w:rFonts w:hint="cs"/>
          <w:rtl/>
        </w:rPr>
        <w:t xml:space="preserve"> נראה כי</w:t>
      </w:r>
      <w:r>
        <w:rPr>
          <w:rtl/>
        </w:rPr>
        <w:t xml:space="preserve"> דברי הרמב"ם הינם מחודשים. אם בני קטורה</w:t>
      </w:r>
      <w:r w:rsidR="00F9159D" w:rsidRPr="00F9159D">
        <w:rPr>
          <w:rtl/>
        </w:rPr>
        <w:t xml:space="preserve"> </w:t>
      </w:r>
      <w:r w:rsidR="00F9159D">
        <w:rPr>
          <w:rtl/>
        </w:rPr>
        <w:t>נתחייבו</w:t>
      </w:r>
      <w:r w:rsidR="00F9159D" w:rsidRPr="00F9159D">
        <w:rPr>
          <w:rtl/>
        </w:rPr>
        <w:t xml:space="preserve"> </w:t>
      </w:r>
      <w:r w:rsidR="00F9159D">
        <w:rPr>
          <w:rtl/>
        </w:rPr>
        <w:t>במילה</w:t>
      </w:r>
      <w:r>
        <w:rPr>
          <w:rtl/>
        </w:rPr>
        <w:t>, מדוע לא נמנתה מצווה זו בין שבע מצוות בני נח? ניתן לענות על כך בפשטות ולומר ששבע מצוות בני נח כוללות רק לאווים ולא עשין. לפי הסבר זה, גם בני קטורה כלולים בברית שבין הקב"ה לעם ישראל.</w:t>
      </w:r>
    </w:p>
    <w:p w:rsidR="00322943" w:rsidRDefault="00322943">
      <w:pPr>
        <w:jc w:val="both"/>
        <w:rPr>
          <w:rtl/>
        </w:rPr>
      </w:pPr>
      <w:r>
        <w:rPr>
          <w:rtl/>
        </w:rPr>
        <w:t xml:space="preserve">לשיטת הרמב"ם יש כמה נפקא מינות חשובות: </w:t>
      </w:r>
    </w:p>
    <w:p w:rsidR="00322943" w:rsidRDefault="00322943" w:rsidP="00F9159D">
      <w:pPr>
        <w:numPr>
          <w:ilvl w:val="0"/>
          <w:numId w:val="5"/>
        </w:numPr>
        <w:jc w:val="both"/>
        <w:rPr>
          <w:rtl/>
        </w:rPr>
      </w:pPr>
      <w:r>
        <w:rPr>
          <w:rtl/>
        </w:rPr>
        <w:t>לעניין מילה כשינוי בגברא. הגמרא בנדרים לא ע"ב דנה ב"נודר מן הנימולים או נודר מן הערלים" וכותבת שהאוסר הנאה מהמולים - אסור בישראל ומותר בעכו"ם. משמע מהגמרא שישראל ערל אינו נחשב "ערל", וכן עכו"ם נימול נשאר תמיד "ערל". מהגמרא ביבמות סו ע"א משמע כי הקביעה שגוי נימול נשאר ערל אינה רק קביעה לשונית [כמו לגבי ערל מישראל] אלא גם הלכתית, שגוי מהול דינו כערל לכל דבריו</w:t>
      </w:r>
      <w:r w:rsidR="00F9159D">
        <w:rPr>
          <w:rFonts w:hint="cs"/>
          <w:rtl/>
        </w:rPr>
        <w:t>.</w:t>
      </w:r>
      <w:r>
        <w:rPr>
          <w:rStyle w:val="ac"/>
          <w:rtl/>
        </w:rPr>
        <w:footnoteReference w:id="4"/>
      </w:r>
      <w:r>
        <w:rPr>
          <w:rtl/>
        </w:rPr>
        <w:t xml:space="preserve"> משמע משם ש"ערל" הוא קריטריון הלכתי ואינו קריטריון מציאותי </w:t>
      </w:r>
      <w:r w:rsidR="00F9159D">
        <w:rPr>
          <w:rtl/>
        </w:rPr>
        <w:t>–</w:t>
      </w:r>
      <w:r>
        <w:rPr>
          <w:rtl/>
        </w:rPr>
        <w:t xml:space="preserve"> ואם כן, נשאלת אותה שאלה לגבי בני קטורה שמלו: האם הם "ערלים" או "נימולים"?</w:t>
      </w:r>
    </w:p>
    <w:p w:rsidR="00322943" w:rsidRDefault="00322943">
      <w:pPr>
        <w:numPr>
          <w:ilvl w:val="0"/>
          <w:numId w:val="5"/>
        </w:numPr>
        <w:jc w:val="both"/>
        <w:rPr>
          <w:rtl/>
        </w:rPr>
      </w:pPr>
      <w:r>
        <w:rPr>
          <w:rtl/>
        </w:rPr>
        <w:t>לעניין הטכניקה של המילה, האם בני קטורה חייבים כישראל במילה, פריעה ודם ברית?</w:t>
      </w:r>
    </w:p>
    <w:p w:rsidR="00322943" w:rsidRDefault="00322943">
      <w:pPr>
        <w:pStyle w:val="2"/>
        <w:rPr>
          <w:rtl/>
        </w:rPr>
      </w:pPr>
      <w:r>
        <w:rPr>
          <w:rtl/>
        </w:rPr>
        <w:t>על מי מוטלת המילה</w:t>
      </w:r>
    </w:p>
    <w:p w:rsidR="00322943" w:rsidRDefault="00322943">
      <w:pPr>
        <w:jc w:val="both"/>
        <w:rPr>
          <w:rtl/>
        </w:rPr>
      </w:pPr>
      <w:r>
        <w:rPr>
          <w:rtl/>
        </w:rPr>
        <w:t>בפרשת שמיני קובעת התורה:</w:t>
      </w:r>
    </w:p>
    <w:p w:rsidR="00322943" w:rsidRDefault="00F9159D" w:rsidP="00F9159D">
      <w:pPr>
        <w:pStyle w:val="11"/>
        <w:ind w:left="567" w:right="0"/>
        <w:rPr>
          <w:rtl/>
        </w:rPr>
      </w:pPr>
      <w:r>
        <w:rPr>
          <w:rtl/>
        </w:rPr>
        <w:t>ימול לכם כל זכר</w:t>
      </w:r>
      <w:r>
        <w:rPr>
          <w:rFonts w:hint="cs"/>
          <w:rtl/>
        </w:rPr>
        <w:t>.</w:t>
      </w:r>
    </w:p>
    <w:p w:rsidR="00322943" w:rsidRDefault="00322943">
      <w:pPr>
        <w:jc w:val="both"/>
        <w:rPr>
          <w:rtl/>
        </w:rPr>
      </w:pPr>
      <w:r>
        <w:rPr>
          <w:rtl/>
        </w:rPr>
        <w:t>ובפרשת לך לך:</w:t>
      </w:r>
    </w:p>
    <w:p w:rsidR="00322943" w:rsidRDefault="00F9159D">
      <w:pPr>
        <w:pStyle w:val="11"/>
        <w:ind w:left="567" w:right="0"/>
        <w:rPr>
          <w:rtl/>
        </w:rPr>
      </w:pPr>
      <w:r>
        <w:rPr>
          <w:rtl/>
        </w:rPr>
        <w:t>ימול לכם כל זכר לדורותיכם</w:t>
      </w:r>
      <w:r w:rsidR="00322943">
        <w:rPr>
          <w:rtl/>
        </w:rPr>
        <w:t>.</w:t>
      </w:r>
    </w:p>
    <w:p w:rsidR="00322943" w:rsidRDefault="00322943" w:rsidP="0080461F">
      <w:pPr>
        <w:jc w:val="both"/>
        <w:rPr>
          <w:rtl/>
        </w:rPr>
      </w:pPr>
      <w:r>
        <w:rPr>
          <w:rtl/>
        </w:rPr>
        <w:t xml:space="preserve">בפסוקים </w:t>
      </w:r>
      <w:r w:rsidR="0080461F">
        <w:rPr>
          <w:rFonts w:hint="cs"/>
          <w:rtl/>
        </w:rPr>
        <w:t>לא נאמר מי מצווה למול את התינוק</w:t>
      </w:r>
      <w:r>
        <w:rPr>
          <w:rtl/>
        </w:rPr>
        <w:t>, וניתן להבין כי המצווה מוטלת על האדם האחראי על הנימול: האב לגבי בנו, והאדון לגבי</w:t>
      </w:r>
      <w:r w:rsidR="0080461F">
        <w:rPr>
          <w:rtl/>
        </w:rPr>
        <w:t xml:space="preserve"> עבדו. כך גם קובעת הגמרא</w:t>
      </w:r>
      <w:r>
        <w:rPr>
          <w:rtl/>
        </w:rPr>
        <w:t>:</w:t>
      </w:r>
    </w:p>
    <w:p w:rsidR="00322943" w:rsidRDefault="00322943">
      <w:pPr>
        <w:pStyle w:val="11"/>
        <w:ind w:left="567" w:right="0"/>
        <w:rPr>
          <w:rtl/>
        </w:rPr>
      </w:pPr>
      <w:r>
        <w:rPr>
          <w:rtl/>
        </w:rPr>
        <w:lastRenderedPageBreak/>
        <w:t xml:space="preserve">כל מצוות הבן על </w:t>
      </w:r>
      <w:r w:rsidR="0080461F">
        <w:rPr>
          <w:rtl/>
        </w:rPr>
        <w:t>האב - אנשים חייבים ונשים פטורות</w:t>
      </w:r>
      <w:r>
        <w:rPr>
          <w:rtl/>
        </w:rPr>
        <w:t>.</w:t>
      </w:r>
      <w:r w:rsidR="0080461F">
        <w:rPr>
          <w:rtl/>
        </w:rPr>
        <w:br/>
      </w:r>
      <w:r w:rsidR="0080461F">
        <w:rPr>
          <w:rFonts w:hint="cs"/>
          <w:rtl/>
        </w:rPr>
        <w:tab/>
      </w:r>
      <w:r w:rsidR="0080461F" w:rsidRPr="0080461F">
        <w:rPr>
          <w:rFonts w:hint="cs"/>
          <w:sz w:val="16"/>
          <w:szCs w:val="16"/>
          <w:rtl/>
        </w:rPr>
        <w:t>(</w:t>
      </w:r>
      <w:r w:rsidR="0080461F" w:rsidRPr="0080461F">
        <w:rPr>
          <w:sz w:val="16"/>
          <w:szCs w:val="16"/>
          <w:rtl/>
        </w:rPr>
        <w:t>קידושין כט ע"א</w:t>
      </w:r>
      <w:r w:rsidR="0080461F" w:rsidRPr="0080461F">
        <w:rPr>
          <w:rFonts w:hint="cs"/>
          <w:sz w:val="16"/>
          <w:szCs w:val="16"/>
          <w:rtl/>
        </w:rPr>
        <w:t>)</w:t>
      </w:r>
      <w:r w:rsidR="0080461F">
        <w:rPr>
          <w:rFonts w:hint="cs"/>
          <w:rtl/>
        </w:rPr>
        <w:t>.</w:t>
      </w:r>
    </w:p>
    <w:p w:rsidR="00322943" w:rsidRDefault="00322943">
      <w:pPr>
        <w:jc w:val="both"/>
        <w:rPr>
          <w:rtl/>
        </w:rPr>
      </w:pPr>
      <w:r>
        <w:rPr>
          <w:rtl/>
        </w:rPr>
        <w:t>כך מביאה שם הגמרא כדוגמה את מצוות המילה ואת מצוות פדיון הבן. המקור למצוות הבן על האב, לפי הגמרא, הוא מן הפסוק:</w:t>
      </w:r>
    </w:p>
    <w:p w:rsidR="00322943" w:rsidRDefault="00322943">
      <w:pPr>
        <w:pStyle w:val="11"/>
        <w:ind w:left="567" w:right="0"/>
        <w:rPr>
          <w:rtl/>
        </w:rPr>
      </w:pPr>
      <w:r>
        <w:rPr>
          <w:rtl/>
        </w:rPr>
        <w:t>וימל אברהם את יצחק בנו בן שמונת ימים, כאשר ציווה או</w:t>
      </w:r>
      <w:r w:rsidR="0080461F">
        <w:rPr>
          <w:rtl/>
        </w:rPr>
        <w:t>תו א-להים</w:t>
      </w:r>
      <w:r>
        <w:rPr>
          <w:rtl/>
        </w:rPr>
        <w:t>.</w:t>
      </w:r>
      <w:r>
        <w:rPr>
          <w:rtl/>
        </w:rPr>
        <w:tab/>
      </w:r>
      <w:r w:rsidRPr="0080461F">
        <w:rPr>
          <w:sz w:val="16"/>
          <w:szCs w:val="16"/>
          <w:rtl/>
        </w:rPr>
        <w:t>(בראשית כא, ד)</w:t>
      </w:r>
      <w:r w:rsidR="0080461F">
        <w:rPr>
          <w:rFonts w:hint="cs"/>
          <w:rtl/>
        </w:rPr>
        <w:t>.</w:t>
      </w:r>
    </w:p>
    <w:p w:rsidR="00322943" w:rsidRDefault="00322943" w:rsidP="0080461F">
      <w:pPr>
        <w:jc w:val="both"/>
        <w:rPr>
          <w:rtl/>
        </w:rPr>
      </w:pPr>
      <w:r>
        <w:rPr>
          <w:rtl/>
        </w:rPr>
        <w:t xml:space="preserve">וממשיכה הגמרא וכותבת, שאם האב לא יכול למול </w:t>
      </w:r>
      <w:r w:rsidR="0080461F">
        <w:rPr>
          <w:rtl/>
        </w:rPr>
        <w:t>–</w:t>
      </w:r>
      <w:r>
        <w:rPr>
          <w:rtl/>
        </w:rPr>
        <w:t xml:space="preserve"> בי</w:t>
      </w:r>
      <w:r w:rsidR="0080461F">
        <w:rPr>
          <w:rtl/>
        </w:rPr>
        <w:t>ת דין חייבים למולו</w:t>
      </w:r>
      <w:r w:rsidR="0080461F">
        <w:rPr>
          <w:rFonts w:hint="cs"/>
          <w:rtl/>
        </w:rPr>
        <w:t>, והדבר נלמד מהפסוק</w:t>
      </w:r>
      <w:r>
        <w:rPr>
          <w:rtl/>
        </w:rPr>
        <w:t xml:space="preserve"> "ימול </w:t>
      </w:r>
      <w:r>
        <w:rPr>
          <w:b/>
          <w:bCs/>
          <w:rtl/>
        </w:rPr>
        <w:t>לכם</w:t>
      </w:r>
      <w:r w:rsidR="0080461F">
        <w:rPr>
          <w:rtl/>
        </w:rPr>
        <w:t xml:space="preserve"> כל זכר"</w:t>
      </w:r>
      <w:r w:rsidR="0080461F">
        <w:rPr>
          <w:rFonts w:hint="cs"/>
          <w:rtl/>
        </w:rPr>
        <w:t>.</w:t>
      </w:r>
      <w:r>
        <w:rPr>
          <w:rtl/>
        </w:rPr>
        <w:t xml:space="preserve"> א</w:t>
      </w:r>
      <w:r w:rsidR="0080461F">
        <w:rPr>
          <w:rtl/>
        </w:rPr>
        <w:t>ם בית הדין לא מל את האדם - מחוי</w:t>
      </w:r>
      <w:r>
        <w:rPr>
          <w:rtl/>
        </w:rPr>
        <w:t>ב הוא למול את עצמו.</w:t>
      </w:r>
    </w:p>
    <w:p w:rsidR="00322943" w:rsidRDefault="00322943" w:rsidP="0080461F">
      <w:pPr>
        <w:jc w:val="both"/>
        <w:rPr>
          <w:rtl/>
        </w:rPr>
      </w:pPr>
      <w:r>
        <w:rPr>
          <w:rtl/>
        </w:rPr>
        <w:t xml:space="preserve">לגבי חיוב בית הדין במילה </w:t>
      </w:r>
      <w:r w:rsidR="0080461F">
        <w:rPr>
          <w:rtl/>
        </w:rPr>
        <w:t>–</w:t>
      </w:r>
      <w:r>
        <w:rPr>
          <w:rtl/>
        </w:rPr>
        <w:t xml:space="preserve"> דנים האחרונים אם זוהי חובת </w:t>
      </w:r>
      <w:r>
        <w:rPr>
          <w:b/>
          <w:bCs/>
          <w:rtl/>
        </w:rPr>
        <w:t xml:space="preserve">בית הדין </w:t>
      </w:r>
      <w:r>
        <w:rPr>
          <w:rtl/>
        </w:rPr>
        <w:t xml:space="preserve">או חובת </w:t>
      </w:r>
      <w:r>
        <w:rPr>
          <w:b/>
          <w:bCs/>
          <w:rtl/>
        </w:rPr>
        <w:t>הציבור</w:t>
      </w:r>
      <w:r>
        <w:rPr>
          <w:rtl/>
        </w:rPr>
        <w:t xml:space="preserve">, שבית הדין פועל מטעמם. לפי </w:t>
      </w:r>
      <w:r w:rsidR="0080461F">
        <w:rPr>
          <w:rFonts w:hint="cs"/>
          <w:rtl/>
        </w:rPr>
        <w:t>ה</w:t>
      </w:r>
      <w:r>
        <w:rPr>
          <w:rtl/>
        </w:rPr>
        <w:t>אפשרות השני</w:t>
      </w:r>
      <w:r w:rsidR="0080461F">
        <w:rPr>
          <w:rFonts w:hint="cs"/>
          <w:rtl/>
        </w:rPr>
        <w:t>י</w:t>
      </w:r>
      <w:r>
        <w:rPr>
          <w:rtl/>
        </w:rPr>
        <w:t xml:space="preserve">ה </w:t>
      </w:r>
      <w:r w:rsidR="0080461F">
        <w:rPr>
          <w:rtl/>
        </w:rPr>
        <w:t>–</w:t>
      </w:r>
      <w:r>
        <w:rPr>
          <w:rtl/>
        </w:rPr>
        <w:t xml:space="preserve"> כאשר אין בית דין שיכול למול את התינוק </w:t>
      </w:r>
      <w:r w:rsidR="0080461F">
        <w:rPr>
          <w:rtl/>
        </w:rPr>
        <w:t>–</w:t>
      </w:r>
      <w:r>
        <w:rPr>
          <w:rtl/>
        </w:rPr>
        <w:t xml:space="preserve"> על כל אחד מישראל לדאוג למול את אותו ילד שלא נימול.</w:t>
      </w:r>
    </w:p>
    <w:p w:rsidR="00322943" w:rsidRDefault="00322943" w:rsidP="0080461F">
      <w:pPr>
        <w:jc w:val="both"/>
        <w:rPr>
          <w:rtl/>
        </w:rPr>
      </w:pPr>
      <w:r>
        <w:rPr>
          <w:rtl/>
        </w:rPr>
        <w:t>ראינו, אם כן, כי ברובד הבסיסי המצווה מוטלת על האב, וכך פוסק גם הרמב"ם בכותרת להלכות מילה:</w:t>
      </w:r>
    </w:p>
    <w:p w:rsidR="00322943" w:rsidRDefault="0080461F">
      <w:pPr>
        <w:pStyle w:val="11"/>
        <w:ind w:left="567" w:right="0"/>
        <w:rPr>
          <w:rtl/>
        </w:rPr>
      </w:pPr>
      <w:r>
        <w:rPr>
          <w:rtl/>
        </w:rPr>
        <w:t>למול הזכרים ביום השמיני</w:t>
      </w:r>
      <w:r w:rsidR="00322943">
        <w:rPr>
          <w:rtl/>
        </w:rPr>
        <w:t>.</w:t>
      </w:r>
    </w:p>
    <w:p w:rsidR="00322943" w:rsidRDefault="00322943">
      <w:pPr>
        <w:jc w:val="both"/>
        <w:rPr>
          <w:rtl/>
        </w:rPr>
      </w:pPr>
      <w:r>
        <w:rPr>
          <w:rtl/>
        </w:rPr>
        <w:t>ובהלכה א הוא כותב:</w:t>
      </w:r>
    </w:p>
    <w:p w:rsidR="00322943" w:rsidRDefault="00322943">
      <w:pPr>
        <w:pStyle w:val="11"/>
        <w:ind w:left="567" w:right="0"/>
        <w:rPr>
          <w:rtl/>
        </w:rPr>
      </w:pPr>
      <w:r>
        <w:rPr>
          <w:rtl/>
        </w:rPr>
        <w:t>ומצווה על האב למול את בנו ועל הרב למול את עבדיו… עבר האב או האד</w:t>
      </w:r>
      <w:r w:rsidR="0080461F">
        <w:rPr>
          <w:rtl/>
        </w:rPr>
        <w:t>ון ולא מל אותן – ביטל מצוות עשה</w:t>
      </w:r>
      <w:r>
        <w:rPr>
          <w:rtl/>
        </w:rPr>
        <w:t>.</w:t>
      </w:r>
    </w:p>
    <w:p w:rsidR="00322943" w:rsidRDefault="00322943">
      <w:pPr>
        <w:jc w:val="both"/>
        <w:rPr>
          <w:rtl/>
        </w:rPr>
      </w:pPr>
      <w:r>
        <w:rPr>
          <w:rtl/>
        </w:rPr>
        <w:t>וכך גם הוא כותב במצווה רטו בספר המצוות:</w:t>
      </w:r>
    </w:p>
    <w:p w:rsidR="00322943" w:rsidRDefault="00322943">
      <w:pPr>
        <w:pStyle w:val="11"/>
        <w:ind w:left="567" w:right="0"/>
        <w:rPr>
          <w:rtl/>
        </w:rPr>
      </w:pPr>
      <w:r>
        <w:rPr>
          <w:rtl/>
        </w:rPr>
        <w:t>מצווה למול את הבן שנאמר</w:t>
      </w:r>
      <w:r w:rsidR="0080461F">
        <w:rPr>
          <w:rtl/>
        </w:rPr>
        <w:t xml:space="preserve"> 'וביום השמיני ימול בשר ערלתו'</w:t>
      </w:r>
      <w:r>
        <w:rPr>
          <w:rtl/>
        </w:rPr>
        <w:t>.</w:t>
      </w:r>
    </w:p>
    <w:p w:rsidR="00322943" w:rsidRDefault="00322943">
      <w:pPr>
        <w:jc w:val="both"/>
        <w:rPr>
          <w:rtl/>
        </w:rPr>
      </w:pPr>
      <w:r>
        <w:rPr>
          <w:rtl/>
        </w:rPr>
        <w:t xml:space="preserve">לדיון שהבאנו יש גם משמעות מעשית: האם על האב לדאוג שהבן יהיה מהול, אך </w:t>
      </w:r>
      <w:r>
        <w:rPr>
          <w:b/>
          <w:bCs/>
          <w:rtl/>
        </w:rPr>
        <w:t>פעולת המילה אינה מחובתו</w:t>
      </w:r>
      <w:r>
        <w:rPr>
          <w:rtl/>
        </w:rPr>
        <w:t xml:space="preserve">, או אולי יש עניין בכך </w:t>
      </w:r>
      <w:r>
        <w:rPr>
          <w:b/>
          <w:bCs/>
          <w:rtl/>
        </w:rPr>
        <w:t xml:space="preserve">שהאב עצמו ימול את בנו </w:t>
      </w:r>
      <w:r>
        <w:rPr>
          <w:rtl/>
        </w:rPr>
        <w:t xml:space="preserve">[אם הוא יודע]. אם האב אינו יודע למול, יש לשאול: האם עליו למנות שליח או שמא אין טעם בכך? </w:t>
      </w:r>
    </w:p>
    <w:p w:rsidR="00322943" w:rsidRDefault="00322943">
      <w:pPr>
        <w:jc w:val="both"/>
        <w:rPr>
          <w:rtl/>
        </w:rPr>
      </w:pPr>
      <w:r>
        <w:rPr>
          <w:rtl/>
        </w:rPr>
        <w:t>בשאלה זו ייתכנו כמה אפשרויות:</w:t>
      </w:r>
    </w:p>
    <w:p w:rsidR="00322943" w:rsidRDefault="00322943" w:rsidP="0080461F">
      <w:pPr>
        <w:pStyle w:val="ad"/>
        <w:numPr>
          <w:ilvl w:val="0"/>
          <w:numId w:val="13"/>
        </w:numPr>
        <w:rPr>
          <w:rtl/>
        </w:rPr>
      </w:pPr>
      <w:r>
        <w:rPr>
          <w:rtl/>
        </w:rPr>
        <w:t xml:space="preserve">אין מצווה על האב עצמו למול, אלא רק לדאוג לכך </w:t>
      </w:r>
      <w:r w:rsidR="0080461F">
        <w:rPr>
          <w:rFonts w:hint="cs"/>
          <w:rtl/>
        </w:rPr>
        <w:t>שמישהו ימול את בנו</w:t>
      </w:r>
      <w:r>
        <w:rPr>
          <w:rtl/>
        </w:rPr>
        <w:t>.</w:t>
      </w:r>
    </w:p>
    <w:p w:rsidR="00322943" w:rsidRDefault="00322943">
      <w:pPr>
        <w:numPr>
          <w:ilvl w:val="0"/>
          <w:numId w:val="13"/>
        </w:numPr>
        <w:jc w:val="both"/>
        <w:rPr>
          <w:rtl/>
        </w:rPr>
      </w:pPr>
      <w:r>
        <w:rPr>
          <w:rtl/>
        </w:rPr>
        <w:t>המצווה מוטלת על האב ולכן עליו למנות שליח למילה.</w:t>
      </w:r>
    </w:p>
    <w:p w:rsidR="00322943" w:rsidRDefault="00322943">
      <w:pPr>
        <w:numPr>
          <w:ilvl w:val="0"/>
          <w:numId w:val="13"/>
        </w:numPr>
        <w:jc w:val="both"/>
        <w:rPr>
          <w:rtl/>
        </w:rPr>
      </w:pPr>
      <w:r>
        <w:rPr>
          <w:rtl/>
        </w:rPr>
        <w:t>המצווה מוטלת על האב, אך שליחות אינה מועילה בכך.</w:t>
      </w:r>
    </w:p>
    <w:p w:rsidR="00322943" w:rsidRDefault="00322943" w:rsidP="0080461F">
      <w:pPr>
        <w:jc w:val="both"/>
        <w:rPr>
          <w:rtl/>
        </w:rPr>
      </w:pPr>
      <w:r>
        <w:rPr>
          <w:rtl/>
        </w:rPr>
        <w:t>הגמרא בחולין מספרת:</w:t>
      </w:r>
    </w:p>
    <w:p w:rsidR="00322943" w:rsidRDefault="00322943">
      <w:pPr>
        <w:pStyle w:val="11"/>
        <w:ind w:left="567" w:right="0"/>
      </w:pPr>
      <w:r>
        <w:rPr>
          <w:rtl/>
        </w:rPr>
        <w:t>מעשה באחד ששחט, וקדם חבירו וכסה, וחייבו</w:t>
      </w:r>
      <w:r w:rsidR="0080461F">
        <w:rPr>
          <w:rtl/>
        </w:rPr>
        <w:t xml:space="preserve"> רבן גמליאל ליתן לו עשרה זהובים.</w:t>
      </w:r>
      <w:r w:rsidR="0080461F">
        <w:rPr>
          <w:rFonts w:hint="cs"/>
          <w:rtl/>
        </w:rPr>
        <w:tab/>
      </w:r>
      <w:r w:rsidR="0080461F" w:rsidRPr="0080461F">
        <w:rPr>
          <w:rFonts w:hint="cs"/>
          <w:sz w:val="16"/>
          <w:szCs w:val="16"/>
          <w:rtl/>
        </w:rPr>
        <w:t xml:space="preserve">(חולין </w:t>
      </w:r>
      <w:r w:rsidR="0080461F" w:rsidRPr="0080461F">
        <w:rPr>
          <w:sz w:val="16"/>
          <w:szCs w:val="16"/>
          <w:rtl/>
        </w:rPr>
        <w:t>פז ע"א</w:t>
      </w:r>
      <w:r w:rsidR="0080461F" w:rsidRPr="0080461F">
        <w:rPr>
          <w:rFonts w:hint="cs"/>
          <w:sz w:val="16"/>
          <w:szCs w:val="16"/>
          <w:rtl/>
        </w:rPr>
        <w:t>)</w:t>
      </w:r>
      <w:r w:rsidR="0080461F">
        <w:rPr>
          <w:rFonts w:hint="cs"/>
          <w:rtl/>
        </w:rPr>
        <w:t>.</w:t>
      </w:r>
    </w:p>
    <w:p w:rsidR="00322943" w:rsidRDefault="00322943" w:rsidP="0080461F">
      <w:pPr>
        <w:jc w:val="both"/>
        <w:rPr>
          <w:rtl/>
        </w:rPr>
      </w:pPr>
      <w:r>
        <w:rPr>
          <w:rtl/>
        </w:rPr>
        <w:t>הרא"ש</w:t>
      </w:r>
      <w:r>
        <w:rPr>
          <w:rStyle w:val="ac"/>
          <w:rtl/>
        </w:rPr>
        <w:footnoteReference w:id="5"/>
      </w:r>
      <w:r w:rsidR="0080461F">
        <w:rPr>
          <w:rFonts w:hint="cs"/>
          <w:rtl/>
        </w:rPr>
        <w:t xml:space="preserve"> כותב</w:t>
      </w:r>
      <w:r>
        <w:rPr>
          <w:rtl/>
        </w:rPr>
        <w:t xml:space="preserve"> שאם האב רצה למול את בנו ולבסוף אדם אחר ביצע את המצווה, אותו אדם חייב לשלם לאב </w:t>
      </w:r>
      <w:r w:rsidR="0080461F">
        <w:rPr>
          <w:rFonts w:hint="cs"/>
          <w:rtl/>
        </w:rPr>
        <w:t>עשרה</w:t>
      </w:r>
      <w:r>
        <w:rPr>
          <w:rtl/>
        </w:rPr>
        <w:t xml:space="preserve"> זהובים, אך </w:t>
      </w:r>
      <w:r>
        <w:rPr>
          <w:b/>
          <w:bCs/>
          <w:rtl/>
        </w:rPr>
        <w:t xml:space="preserve">אם האב לא רצה לקיים את המצווה בעצמו </w:t>
      </w:r>
      <w:r>
        <w:rPr>
          <w:rtl/>
        </w:rPr>
        <w:t>(אלא העדיף לבקש מאחר למול)</w:t>
      </w:r>
      <w:r>
        <w:rPr>
          <w:b/>
          <w:bCs/>
          <w:rtl/>
        </w:rPr>
        <w:t xml:space="preserve"> המצווה מוטלת על כלל ישראל, ואז אינו חייב לשלם לאב כלל</w:t>
      </w:r>
      <w:r>
        <w:rPr>
          <w:rtl/>
        </w:rPr>
        <w:t>, וכך היה גם מעשה ופטרו ר</w:t>
      </w:r>
      <w:r w:rsidR="0080461F">
        <w:rPr>
          <w:rtl/>
        </w:rPr>
        <w:t>בנו תם. משמע מהרא"ש שלאב יש מחו</w:t>
      </w:r>
      <w:r>
        <w:rPr>
          <w:rtl/>
        </w:rPr>
        <w:t>יבות אישית במילה, א</w:t>
      </w:r>
      <w:r w:rsidR="0080461F">
        <w:rPr>
          <w:rtl/>
        </w:rPr>
        <w:t>ך מחו</w:t>
      </w:r>
      <w:r>
        <w:rPr>
          <w:rtl/>
        </w:rPr>
        <w:t>י</w:t>
      </w:r>
      <w:r w:rsidR="0080461F">
        <w:rPr>
          <w:rtl/>
        </w:rPr>
        <w:t>בות זו אינה יכולה לעבור בשליחות</w:t>
      </w:r>
      <w:r w:rsidR="0080461F">
        <w:rPr>
          <w:rFonts w:hint="cs"/>
          <w:rtl/>
        </w:rPr>
        <w:t>.</w:t>
      </w:r>
      <w:r>
        <w:rPr>
          <w:rtl/>
        </w:rPr>
        <w:t xml:space="preserve"> </w:t>
      </w:r>
      <w:r w:rsidR="0080461F">
        <w:rPr>
          <w:rFonts w:hint="cs"/>
          <w:rtl/>
        </w:rPr>
        <w:t xml:space="preserve">כך </w:t>
      </w:r>
      <w:r>
        <w:rPr>
          <w:rtl/>
        </w:rPr>
        <w:t xml:space="preserve">כתב גם רבינו ירוחם, תלמידו, המובא בשולחן ערוך </w:t>
      </w:r>
      <w:r w:rsidR="0080461F">
        <w:rPr>
          <w:rFonts w:hint="cs"/>
          <w:rtl/>
        </w:rPr>
        <w:t xml:space="preserve">יו"דף </w:t>
      </w:r>
      <w:r w:rsidR="0080461F">
        <w:rPr>
          <w:rtl/>
        </w:rPr>
        <w:t>סימן שפב. הש"ך שם כותב</w:t>
      </w:r>
      <w:r>
        <w:rPr>
          <w:rtl/>
        </w:rPr>
        <w:t xml:space="preserve"> שכל מי שיכול למול ובכל זאת נותן לאחר למול את בנו </w:t>
      </w:r>
      <w:r w:rsidR="0080461F">
        <w:rPr>
          <w:rtl/>
        </w:rPr>
        <w:t>–</w:t>
      </w:r>
      <w:r>
        <w:rPr>
          <w:rtl/>
        </w:rPr>
        <w:t xml:space="preserve"> מבטל מצוות עשה.</w:t>
      </w:r>
    </w:p>
    <w:p w:rsidR="00322943" w:rsidRDefault="00322943" w:rsidP="0080461F">
      <w:pPr>
        <w:jc w:val="both"/>
        <w:rPr>
          <w:rtl/>
        </w:rPr>
      </w:pPr>
      <w:r>
        <w:rPr>
          <w:rtl/>
        </w:rPr>
        <w:lastRenderedPageBreak/>
        <w:t xml:space="preserve">'קצות החושן' שם מביא את ה"תבואות שור" [וכן כתב גם בית הלוי חלק א סימן ז] שמבין, בניגוד לרא"ש, וכותב כי </w:t>
      </w:r>
      <w:r>
        <w:rPr>
          <w:b/>
          <w:bCs/>
          <w:rtl/>
        </w:rPr>
        <w:t>ניתן למנות שליח לקיום מצוות ברית מילה</w:t>
      </w:r>
      <w:r>
        <w:rPr>
          <w:rtl/>
        </w:rPr>
        <w:t xml:space="preserve">. </w:t>
      </w:r>
    </w:p>
    <w:p w:rsidR="00322943" w:rsidRDefault="00322943" w:rsidP="0080461F">
      <w:pPr>
        <w:jc w:val="both"/>
        <w:rPr>
          <w:rtl/>
        </w:rPr>
      </w:pPr>
      <w:r>
        <w:rPr>
          <w:rtl/>
        </w:rPr>
        <w:t>הגאון רבנו חיים מבריסק היה סבור, לעומתו, כי ישנן רק שתי אפשרויות:</w:t>
      </w:r>
    </w:p>
    <w:p w:rsidR="00322943" w:rsidRDefault="00322943">
      <w:pPr>
        <w:numPr>
          <w:ilvl w:val="0"/>
          <w:numId w:val="7"/>
        </w:numPr>
        <w:jc w:val="both"/>
        <w:rPr>
          <w:rtl/>
        </w:rPr>
      </w:pPr>
      <w:r>
        <w:rPr>
          <w:rtl/>
        </w:rPr>
        <w:t>אין חיוב ספציפי על האב.</w:t>
      </w:r>
    </w:p>
    <w:p w:rsidR="00322943" w:rsidRDefault="00322943">
      <w:pPr>
        <w:numPr>
          <w:ilvl w:val="0"/>
          <w:numId w:val="7"/>
        </w:numPr>
        <w:jc w:val="both"/>
        <w:rPr>
          <w:rtl/>
        </w:rPr>
      </w:pPr>
      <w:r>
        <w:rPr>
          <w:rtl/>
        </w:rPr>
        <w:t>האב צריך למול, ושליחות אינה מועילה.</w:t>
      </w:r>
    </w:p>
    <w:p w:rsidR="00322943" w:rsidRDefault="00322943">
      <w:pPr>
        <w:jc w:val="both"/>
        <w:rPr>
          <w:rtl/>
        </w:rPr>
      </w:pPr>
      <w:r>
        <w:rPr>
          <w:rtl/>
        </w:rPr>
        <w:t>הגר"ח וה'קצות החושן' עצמם צידדו בדעה הראשונה, בניגוד לת</w:t>
      </w:r>
      <w:r w:rsidR="0080461F">
        <w:rPr>
          <w:rtl/>
        </w:rPr>
        <w:t>בואות שור, שסבר</w:t>
      </w:r>
      <w:r>
        <w:rPr>
          <w:rtl/>
        </w:rPr>
        <w:t xml:space="preserve"> כי אין חיוב ספציפי על האב. </w:t>
      </w:r>
    </w:p>
    <w:p w:rsidR="00322943" w:rsidRDefault="00322943" w:rsidP="005E0D0A">
      <w:pPr>
        <w:jc w:val="both"/>
        <w:rPr>
          <w:rtl/>
        </w:rPr>
      </w:pPr>
      <w:r>
        <w:rPr>
          <w:rtl/>
        </w:rPr>
        <w:t>ההבנה ששליחות אינה מועילה מתבססת על התוספות רי"ד הכותב ששליחות אינה מועילה בדבר שבגופו; כשם שבהנחת תפילין אי</w:t>
      </w:r>
      <w:r w:rsidR="005E0D0A">
        <w:rPr>
          <w:rtl/>
        </w:rPr>
        <w:t xml:space="preserve"> אפשר לצאת ידי חובה על ידי שליח</w:t>
      </w:r>
      <w:r w:rsidR="005E0D0A">
        <w:rPr>
          <w:rFonts w:hint="cs"/>
          <w:rtl/>
        </w:rPr>
        <w:t>,</w:t>
      </w:r>
      <w:r>
        <w:rPr>
          <w:rtl/>
        </w:rPr>
        <w:t xml:space="preserve"> כך גם במילת הבן. </w:t>
      </w:r>
    </w:p>
    <w:p w:rsidR="00322943" w:rsidRDefault="00322943" w:rsidP="005E0D0A">
      <w:pPr>
        <w:pStyle w:val="20"/>
        <w:ind w:firstLine="0"/>
        <w:rPr>
          <w:rtl/>
        </w:rPr>
      </w:pPr>
      <w:r>
        <w:rPr>
          <w:rtl/>
        </w:rPr>
        <w:t>הגרי"ד סולובייצ'יק זצ"ל טען שהשאלה האם שליחות מועילה בדבר שבגופו טעונה בהבנת המושג "מצווה שבגופו":</w:t>
      </w:r>
    </w:p>
    <w:p w:rsidR="00322943" w:rsidRDefault="00322943" w:rsidP="005E0D0A">
      <w:pPr>
        <w:numPr>
          <w:ilvl w:val="0"/>
          <w:numId w:val="8"/>
        </w:numPr>
        <w:jc w:val="both"/>
        <w:rPr>
          <w:rtl/>
        </w:rPr>
      </w:pPr>
      <w:r>
        <w:rPr>
          <w:rtl/>
        </w:rPr>
        <w:t>שליחות אינה מועילה בדבר שבגופו כיוון שהחיוב אינו על החפץ (לדוגמ</w:t>
      </w:r>
      <w:r w:rsidR="005E0D0A">
        <w:rPr>
          <w:rFonts w:hint="cs"/>
          <w:rtl/>
        </w:rPr>
        <w:t>ה</w:t>
      </w:r>
      <w:r>
        <w:rPr>
          <w:rtl/>
        </w:rPr>
        <w:t>, אין חיוב על המצה שת</w:t>
      </w:r>
      <w:r w:rsidR="005E0D0A">
        <w:rPr>
          <w:rFonts w:hint="cs"/>
          <w:rtl/>
        </w:rPr>
        <w:t>י</w:t>
      </w:r>
      <w:r>
        <w:rPr>
          <w:rtl/>
        </w:rPr>
        <w:t>אכל), אלא על האדם (</w:t>
      </w:r>
      <w:r w:rsidR="005E0D0A">
        <w:rPr>
          <w:rFonts w:hint="cs"/>
          <w:rtl/>
        </w:rPr>
        <w:t>שי</w:t>
      </w:r>
      <w:r>
        <w:rPr>
          <w:rtl/>
        </w:rPr>
        <w:t>אכל את המצה). לפי הסבר זה, שליחות אינה מועילה בדבר שבגופו מסיבה טכנית, שאי אפשר להעביר את קיום המצווה לאדם אחר.</w:t>
      </w:r>
    </w:p>
    <w:p w:rsidR="00322943" w:rsidRDefault="00322943" w:rsidP="005E0D0A">
      <w:pPr>
        <w:numPr>
          <w:ilvl w:val="0"/>
          <w:numId w:val="8"/>
        </w:numPr>
        <w:jc w:val="both"/>
        <w:rPr>
          <w:rtl/>
        </w:rPr>
      </w:pPr>
      <w:r>
        <w:rPr>
          <w:rtl/>
        </w:rPr>
        <w:t xml:space="preserve">מצוות שבגופו אינן ניתנות עקרונית לשליחות. שליחות היא עניין של בעלות </w:t>
      </w:r>
      <w:r w:rsidR="005E0D0A">
        <w:rPr>
          <w:rtl/>
        </w:rPr>
        <w:t>–</w:t>
      </w:r>
      <w:r>
        <w:rPr>
          <w:rtl/>
        </w:rPr>
        <w:t xml:space="preserve"> מסי</w:t>
      </w:r>
      <w:r w:rsidR="005E0D0A">
        <w:rPr>
          <w:rtl/>
        </w:rPr>
        <w:t>רת מפתחות</w:t>
      </w:r>
      <w:r w:rsidR="005E0D0A">
        <w:rPr>
          <w:rFonts w:hint="cs"/>
          <w:rtl/>
        </w:rPr>
        <w:t>.</w:t>
      </w:r>
      <w:r>
        <w:rPr>
          <w:rtl/>
        </w:rPr>
        <w:t xml:space="preserve"> אדם לא יכול למסור לחברו מצווה, שכן אין לו עליה שום בעלות.</w:t>
      </w:r>
    </w:p>
    <w:p w:rsidR="00322943" w:rsidRDefault="005E0D0A" w:rsidP="005E0D0A">
      <w:pPr>
        <w:jc w:val="both"/>
        <w:rPr>
          <w:rtl/>
        </w:rPr>
      </w:pPr>
      <w:r>
        <w:rPr>
          <w:rtl/>
        </w:rPr>
        <w:t>הגרי"ד טען שלפי ההבנה הראשונה</w:t>
      </w:r>
      <w:r>
        <w:rPr>
          <w:rFonts w:hint="cs"/>
          <w:rtl/>
        </w:rPr>
        <w:t>,</w:t>
      </w:r>
      <w:r w:rsidR="00322943">
        <w:rPr>
          <w:rtl/>
        </w:rPr>
        <w:t xml:space="preserve"> שליחות תועיל במילה, שכן מצוות הבן נתבצעה בשלמותה (בניגוד לאכילת מצה, בה המצה לא נאכלה על ידי אותו אדם). אך לפי ההבנה השני</w:t>
      </w:r>
      <w:r>
        <w:rPr>
          <w:rFonts w:hint="cs"/>
          <w:rtl/>
        </w:rPr>
        <w:t>י</w:t>
      </w:r>
      <w:r w:rsidR="00322943">
        <w:rPr>
          <w:rtl/>
        </w:rPr>
        <w:t xml:space="preserve">ה, מילה אינה מצווה שבבעלותו, ולכן שליחות לא יכולה להועיל בה, וכך גם הדין בכל מצוות שבגופו. לדעת הסוברים ששליחות כן מועילה במילה, יש לומר שהם סוברים כדעה הראשונה לעיל, או שהם סוברים </w:t>
      </w:r>
      <w:r w:rsidR="00322943">
        <w:rPr>
          <w:b/>
          <w:bCs/>
          <w:rtl/>
        </w:rPr>
        <w:t xml:space="preserve">שבמילה יש את אלמנט הבעלות </w:t>
      </w:r>
      <w:r w:rsidR="00322943">
        <w:rPr>
          <w:rtl/>
        </w:rPr>
        <w:t>שמאפשר את השליחות</w:t>
      </w:r>
      <w:r>
        <w:rPr>
          <w:rFonts w:hint="cs"/>
          <w:rtl/>
        </w:rPr>
        <w:t>,</w:t>
      </w:r>
      <w:r w:rsidR="00322943">
        <w:rPr>
          <w:rtl/>
        </w:rPr>
        <w:t xml:space="preserve"> שכן </w:t>
      </w:r>
      <w:r>
        <w:rPr>
          <w:rtl/>
        </w:rPr>
        <w:t xml:space="preserve">האב הוא הבעלים על בנו ולכן </w:t>
      </w:r>
      <w:r>
        <w:rPr>
          <w:rFonts w:hint="cs"/>
          <w:rtl/>
        </w:rPr>
        <w:t xml:space="preserve">הוא </w:t>
      </w:r>
      <w:r>
        <w:rPr>
          <w:rtl/>
        </w:rPr>
        <w:t>מחוי</w:t>
      </w:r>
      <w:r w:rsidR="00322943">
        <w:rPr>
          <w:rtl/>
        </w:rPr>
        <w:t>ב אישית במילתו של בנו.</w:t>
      </w:r>
    </w:p>
    <w:p w:rsidR="00322943" w:rsidRDefault="00322943" w:rsidP="006D22CD">
      <w:pPr>
        <w:jc w:val="both"/>
        <w:rPr>
          <w:rtl/>
        </w:rPr>
      </w:pPr>
      <w:r>
        <w:rPr>
          <w:rtl/>
        </w:rPr>
        <w:t>לשאלה זו ייתכן ונוכל למצוא ראייה מלשון הרמב"ם</w:t>
      </w:r>
      <w:r>
        <w:rPr>
          <w:rStyle w:val="ac"/>
          <w:rtl/>
        </w:rPr>
        <w:footnoteReference w:id="6"/>
      </w:r>
      <w:r>
        <w:rPr>
          <w:rtl/>
        </w:rPr>
        <w:t xml:space="preserve">, הקובע כי </w:t>
      </w:r>
      <w:r w:rsidR="005E0D0A">
        <w:rPr>
          <w:rFonts w:hint="cs"/>
          <w:rtl/>
        </w:rPr>
        <w:t>י</w:t>
      </w:r>
      <w:r>
        <w:rPr>
          <w:rtl/>
        </w:rPr>
        <w:t>ש ניסוח שונה לברכה על המילה</w:t>
      </w:r>
      <w:r w:rsidR="006D22CD">
        <w:rPr>
          <w:rFonts w:hint="cs"/>
          <w:rtl/>
        </w:rPr>
        <w:t xml:space="preserve"> בהתאם למל.</w:t>
      </w:r>
      <w:r>
        <w:rPr>
          <w:rtl/>
        </w:rPr>
        <w:t xml:space="preserve"> </w:t>
      </w:r>
      <w:r w:rsidR="006D22CD">
        <w:rPr>
          <w:rFonts w:hint="cs"/>
          <w:rtl/>
        </w:rPr>
        <w:t>ה</w:t>
      </w:r>
      <w:r w:rsidR="006D22CD">
        <w:rPr>
          <w:rtl/>
        </w:rPr>
        <w:t>אב המל את בנו</w:t>
      </w:r>
      <w:r w:rsidR="006D22CD">
        <w:rPr>
          <w:rFonts w:hint="cs"/>
          <w:rtl/>
        </w:rPr>
        <w:t xml:space="preserve"> מברך "</w:t>
      </w:r>
      <w:r>
        <w:rPr>
          <w:rtl/>
        </w:rPr>
        <w:t>אשר קידשנ</w:t>
      </w:r>
      <w:r w:rsidR="005E0D0A">
        <w:rPr>
          <w:rtl/>
        </w:rPr>
        <w:t>ו במצוותיו וציוונו למול את הבן</w:t>
      </w:r>
      <w:r w:rsidR="006D22CD">
        <w:rPr>
          <w:rFonts w:hint="cs"/>
          <w:rtl/>
        </w:rPr>
        <w:t xml:space="preserve">", </w:t>
      </w:r>
      <w:r>
        <w:rPr>
          <w:rtl/>
        </w:rPr>
        <w:t xml:space="preserve">בעוד שאדם המל </w:t>
      </w:r>
      <w:r w:rsidR="006D22CD">
        <w:rPr>
          <w:rtl/>
        </w:rPr>
        <w:t>ילד אחר מברך</w:t>
      </w:r>
      <w:r w:rsidR="006D22CD">
        <w:rPr>
          <w:rFonts w:hint="cs"/>
          <w:rtl/>
        </w:rPr>
        <w:t xml:space="preserve"> </w:t>
      </w:r>
      <w:r>
        <w:rPr>
          <w:rtl/>
        </w:rPr>
        <w:t>"אשר קידשנו במצוותיו וציוונו על המילה". חילוק זה משקף, כנראה, את העובדה שמילת הבן היא מצווה המוטלת אישית על האב, ולכן שונה ניסוחו של האב מזה של אדם אחר.</w:t>
      </w:r>
    </w:p>
    <w:p w:rsidR="00322943" w:rsidRDefault="00322943" w:rsidP="006D22CD">
      <w:pPr>
        <w:pStyle w:val="20"/>
        <w:ind w:firstLine="0"/>
        <w:rPr>
          <w:rtl/>
        </w:rPr>
      </w:pPr>
      <w:r>
        <w:rPr>
          <w:rtl/>
        </w:rPr>
        <w:t>בהקשר זה קיימת עוד שאלה בה לא נעסוק, והיא עד מתי חובת האב למול את בנו, ומאימתי מתחילה חובת הבן על עצמו. נציין ונאמר כי הרמב"ם וספר החינוך אינם מגבילים את חיובו של האב במילת בנו בזמן, בניגוד לפדיון הבן בה כותב החינוך "עד שיגדיל".</w:t>
      </w:r>
    </w:p>
    <w:sectPr w:rsidR="00322943">
      <w:headerReference w:type="default" r:id="rId7"/>
      <w:headerReference w:type="first" r:id="rId8"/>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241" w:rsidRDefault="00734241">
      <w:pPr>
        <w:spacing w:after="0" w:line="240" w:lineRule="auto"/>
      </w:pPr>
      <w:r>
        <w:separator/>
      </w:r>
    </w:p>
  </w:endnote>
  <w:endnote w:type="continuationSeparator" w:id="0">
    <w:p w:rsidR="00734241" w:rsidRDefault="0073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Monotype Hadassah">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241" w:rsidRDefault="00734241">
      <w:pPr>
        <w:spacing w:after="0" w:line="240" w:lineRule="auto"/>
      </w:pPr>
      <w:r>
        <w:separator/>
      </w:r>
    </w:p>
  </w:footnote>
  <w:footnote w:type="continuationSeparator" w:id="0">
    <w:p w:rsidR="00734241" w:rsidRDefault="00734241">
      <w:pPr>
        <w:spacing w:after="0" w:line="240" w:lineRule="auto"/>
      </w:pPr>
      <w:r>
        <w:continuationSeparator/>
      </w:r>
    </w:p>
  </w:footnote>
  <w:footnote w:id="1">
    <w:p w:rsidR="00322943" w:rsidRDefault="00322943">
      <w:pPr>
        <w:pStyle w:val="a3"/>
        <w:bidi/>
      </w:pPr>
      <w:r>
        <w:rPr>
          <w:rStyle w:val="ac"/>
          <w:szCs w:val="18"/>
        </w:rPr>
        <w:t>*</w:t>
      </w:r>
      <w:r>
        <w:rPr>
          <w:szCs w:val="18"/>
        </w:rPr>
        <w:t xml:space="preserve"> </w:t>
      </w:r>
      <w:r>
        <w:rPr>
          <w:szCs w:val="18"/>
          <w:rtl/>
        </w:rPr>
        <w:t xml:space="preserve">השיעור הועבר לבני הישיבה בשנת תשנ"ט, וסוכם על ידי יצחק ברט. הסיכום לא עבר את ביקורת הרב. </w:t>
      </w:r>
    </w:p>
  </w:footnote>
  <w:footnote w:id="2">
    <w:p w:rsidR="00322943" w:rsidRDefault="00322943">
      <w:pPr>
        <w:pStyle w:val="a3"/>
        <w:bidi/>
      </w:pPr>
      <w:r>
        <w:rPr>
          <w:rStyle w:val="ac"/>
          <w:rtl/>
        </w:rPr>
        <w:footnoteRef/>
      </w:r>
      <w:r>
        <w:t xml:space="preserve"> </w:t>
      </w:r>
      <w:r>
        <w:rPr>
          <w:rtl/>
        </w:rPr>
        <w:t>בראשית יז, י-יד.</w:t>
      </w:r>
    </w:p>
  </w:footnote>
  <w:footnote w:id="3">
    <w:p w:rsidR="00322943" w:rsidRDefault="00322943">
      <w:pPr>
        <w:pStyle w:val="a3"/>
        <w:bidi/>
      </w:pPr>
      <w:r>
        <w:rPr>
          <w:rStyle w:val="ac"/>
          <w:rtl/>
        </w:rPr>
        <w:footnoteRef/>
      </w:r>
      <w:r>
        <w:t xml:space="preserve"> </w:t>
      </w:r>
      <w:r>
        <w:rPr>
          <w:rtl/>
        </w:rPr>
        <w:t>הלכות מלכים פרק י ה"ז.</w:t>
      </w:r>
    </w:p>
  </w:footnote>
  <w:footnote w:id="4">
    <w:p w:rsidR="00322943" w:rsidRDefault="00322943">
      <w:pPr>
        <w:pStyle w:val="a3"/>
        <w:bidi/>
      </w:pPr>
      <w:r>
        <w:rPr>
          <w:rStyle w:val="ac"/>
          <w:rtl/>
        </w:rPr>
        <w:footnoteRef/>
      </w:r>
      <w:r>
        <w:t xml:space="preserve"> </w:t>
      </w:r>
      <w:r>
        <w:rPr>
          <w:rtl/>
        </w:rPr>
        <w:t>ראה רש"י על הפסוק בשמות יב, מה.</w:t>
      </w:r>
    </w:p>
  </w:footnote>
  <w:footnote w:id="5">
    <w:p w:rsidR="00322943" w:rsidRDefault="00322943">
      <w:pPr>
        <w:pStyle w:val="a3"/>
        <w:bidi/>
      </w:pPr>
      <w:r>
        <w:rPr>
          <w:rStyle w:val="ac"/>
          <w:rtl/>
        </w:rPr>
        <w:footnoteRef/>
      </w:r>
      <w:r>
        <w:t xml:space="preserve"> </w:t>
      </w:r>
      <w:r>
        <w:rPr>
          <w:rtl/>
        </w:rPr>
        <w:t>פסקי הרא"ש על מסכת חולין פרק ו סימן ח.</w:t>
      </w:r>
    </w:p>
  </w:footnote>
  <w:footnote w:id="6">
    <w:p w:rsidR="00322943" w:rsidRDefault="00322943" w:rsidP="005E0D0A">
      <w:pPr>
        <w:pStyle w:val="a3"/>
        <w:bidi/>
      </w:pPr>
      <w:r>
        <w:rPr>
          <w:rStyle w:val="ac"/>
          <w:rtl/>
        </w:rPr>
        <w:footnoteRef/>
      </w:r>
      <w:r>
        <w:t xml:space="preserve"> </w:t>
      </w:r>
      <w:r>
        <w:rPr>
          <w:rtl/>
        </w:rPr>
        <w:t>רמב"ם</w:t>
      </w:r>
      <w:r w:rsidR="006D22CD">
        <w:rPr>
          <w:rFonts w:hint="cs"/>
          <w:rtl/>
        </w:rPr>
        <w:t xml:space="preserve"> </w:t>
      </w:r>
      <w:r w:rsidR="006D22CD">
        <w:rPr>
          <w:rtl/>
        </w:rPr>
        <w:t>הלכות מילה פרק ג ה"א</w:t>
      </w:r>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943" w:rsidRDefault="00322943">
    <w:pPr>
      <w:pStyle w:val="a5"/>
      <w:tabs>
        <w:tab w:val="clear" w:pos="4153"/>
        <w:tab w:val="clear" w:pos="8306"/>
        <w:tab w:val="center" w:pos="4818"/>
        <w:tab w:val="right" w:pos="8220"/>
      </w:tabs>
      <w:spacing w:after="0" w:line="240" w:lineRule="auto"/>
      <w:jc w:val="center"/>
      <w:rPr>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6F019B">
      <w:rPr>
        <w:b/>
        <w:bCs/>
        <w:noProof/>
        <w:rtl/>
      </w:rPr>
      <w:t>2</w:t>
    </w:r>
    <w:r>
      <w:rPr>
        <w:b/>
        <w:bCs/>
        <w:rtl/>
      </w:rPr>
      <w:fldChar w:fldCharType="end"/>
    </w:r>
    <w:r>
      <w:rPr>
        <w:b/>
        <w:bCs/>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322943" w:rsidRPr="00322943">
      <w:tc>
        <w:tcPr>
          <w:tcW w:w="4927" w:type="dxa"/>
          <w:tcBorders>
            <w:top w:val="nil"/>
            <w:left w:val="nil"/>
            <w:bottom w:val="double" w:sz="4" w:space="0" w:color="auto"/>
            <w:right w:val="nil"/>
          </w:tcBorders>
        </w:tcPr>
        <w:p w:rsidR="00322943" w:rsidRPr="00322943" w:rsidRDefault="00322943">
          <w:pPr>
            <w:pStyle w:val="a5"/>
            <w:tabs>
              <w:tab w:val="clear" w:pos="4153"/>
              <w:tab w:val="clear" w:pos="8306"/>
              <w:tab w:val="center" w:pos="4818"/>
              <w:tab w:val="right" w:pos="8220"/>
            </w:tabs>
            <w:spacing w:after="0"/>
            <w:jc w:val="both"/>
            <w:rPr>
              <w:snapToGrid w:val="0"/>
              <w:rtl/>
            </w:rPr>
          </w:pPr>
          <w:r w:rsidRPr="00322943">
            <w:rPr>
              <w:snapToGrid w:val="0"/>
              <w:rtl/>
            </w:rPr>
            <w:t>בית המדרש הוירטואלי (</w:t>
          </w:r>
          <w:r w:rsidRPr="00322943">
            <w:rPr>
              <w:snapToGrid w:val="0"/>
            </w:rPr>
            <w:t>V.B.M</w:t>
          </w:r>
          <w:r w:rsidRPr="00322943">
            <w:rPr>
              <w:snapToGrid w:val="0"/>
              <w:rtl/>
            </w:rPr>
            <w:t>) שליד ישיבת הר עציון</w:t>
          </w:r>
        </w:p>
        <w:p w:rsidR="00322943" w:rsidRPr="00322943" w:rsidRDefault="006F019B">
          <w:pPr>
            <w:pStyle w:val="a5"/>
            <w:tabs>
              <w:tab w:val="clear" w:pos="4153"/>
              <w:tab w:val="clear" w:pos="8306"/>
              <w:tab w:val="center" w:pos="4818"/>
              <w:tab w:val="right" w:pos="8220"/>
            </w:tabs>
            <w:spacing w:after="0"/>
            <w:jc w:val="both"/>
            <w:rPr>
              <w:snapToGrid w:val="0"/>
              <w:rtl/>
            </w:rPr>
          </w:pPr>
          <w:r>
            <w:rPr>
              <w:rtl/>
            </w:rPr>
            <w:t>מאמרים הלכתיים מאת הרב אהרן ליכטנשטיין זצ"ל</w:t>
          </w:r>
        </w:p>
      </w:tc>
      <w:tc>
        <w:tcPr>
          <w:tcW w:w="4927" w:type="dxa"/>
          <w:tcBorders>
            <w:top w:val="nil"/>
            <w:left w:val="nil"/>
            <w:bottom w:val="double" w:sz="4" w:space="0" w:color="auto"/>
            <w:right w:val="nil"/>
          </w:tcBorders>
          <w:vAlign w:val="center"/>
        </w:tcPr>
        <w:p w:rsidR="00322943" w:rsidRPr="00322943" w:rsidRDefault="00322943" w:rsidP="003126F2">
          <w:pPr>
            <w:pStyle w:val="a5"/>
            <w:tabs>
              <w:tab w:val="clear" w:pos="4153"/>
              <w:tab w:val="clear" w:pos="8306"/>
              <w:tab w:val="right" w:pos="8220"/>
            </w:tabs>
            <w:bidi w:val="0"/>
            <w:spacing w:after="0" w:line="240" w:lineRule="auto"/>
            <w:rPr>
              <w:b/>
              <w:bCs/>
              <w:snapToGrid w:val="0"/>
              <w:sz w:val="30"/>
              <w:szCs w:val="24"/>
              <w:rtl/>
            </w:rPr>
          </w:pPr>
          <w:r w:rsidRPr="00322943">
            <w:rPr>
              <w:b/>
              <w:bCs/>
              <w:snapToGrid w:val="0"/>
              <w:sz w:val="30"/>
              <w:szCs w:val="24"/>
            </w:rPr>
            <w:t>www.</w:t>
          </w:r>
          <w:r w:rsidR="003126F2" w:rsidRPr="00322943">
            <w:rPr>
              <w:b/>
              <w:bCs/>
              <w:snapToGrid w:val="0"/>
              <w:sz w:val="30"/>
              <w:szCs w:val="24"/>
            </w:rPr>
            <w:t>etzion.org.il</w:t>
          </w:r>
        </w:p>
      </w:tc>
    </w:tr>
  </w:tbl>
  <w:p w:rsidR="00322943" w:rsidRDefault="00322943">
    <w:pPr>
      <w:pStyle w:val="a5"/>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6715"/>
    <w:multiLevelType w:val="singleLevel"/>
    <w:tmpl w:val="C1881436"/>
    <w:lvl w:ilvl="0">
      <w:start w:val="1"/>
      <w:numFmt w:val="hebrew1"/>
      <w:lvlText w:val="%1."/>
      <w:lvlJc w:val="right"/>
      <w:pPr>
        <w:tabs>
          <w:tab w:val="num" w:pos="360"/>
        </w:tabs>
        <w:ind w:left="360" w:hanging="360"/>
      </w:pPr>
      <w:rPr>
        <w:rFonts w:cs="Narkisim" w:hint="cs"/>
        <w:sz w:val="20"/>
      </w:rPr>
    </w:lvl>
  </w:abstractNum>
  <w:abstractNum w:abstractNumId="1">
    <w:nsid w:val="03BE2F89"/>
    <w:multiLevelType w:val="singleLevel"/>
    <w:tmpl w:val="8A66FDEA"/>
    <w:lvl w:ilvl="0">
      <w:start w:val="1"/>
      <w:numFmt w:val="hebrew1"/>
      <w:lvlText w:val="%1ו"/>
      <w:lvlJc w:val="right"/>
      <w:pPr>
        <w:tabs>
          <w:tab w:val="num" w:pos="360"/>
        </w:tabs>
        <w:ind w:left="360" w:hanging="360"/>
      </w:pPr>
      <w:rPr>
        <w:rFonts w:cs="Narkisim" w:hint="cs"/>
        <w:sz w:val="20"/>
      </w:rPr>
    </w:lvl>
  </w:abstractNum>
  <w:abstractNum w:abstractNumId="2">
    <w:nsid w:val="05745A32"/>
    <w:multiLevelType w:val="singleLevel"/>
    <w:tmpl w:val="03AC50B6"/>
    <w:lvl w:ilvl="0">
      <w:start w:val="1"/>
      <w:numFmt w:val="hebrew1"/>
      <w:lvlText w:val="%1."/>
      <w:lvlJc w:val="right"/>
      <w:pPr>
        <w:tabs>
          <w:tab w:val="num" w:pos="360"/>
        </w:tabs>
        <w:ind w:left="360" w:hanging="360"/>
      </w:pPr>
      <w:rPr>
        <w:rFonts w:cs="Narkisim" w:hint="cs"/>
        <w:sz w:val="20"/>
      </w:rPr>
    </w:lvl>
  </w:abstractNum>
  <w:abstractNum w:abstractNumId="3">
    <w:nsid w:val="10485467"/>
    <w:multiLevelType w:val="singleLevel"/>
    <w:tmpl w:val="5456F8DC"/>
    <w:lvl w:ilvl="0">
      <w:start w:val="1"/>
      <w:numFmt w:val="decimal"/>
      <w:lvlText w:val="%1."/>
      <w:lvlJc w:val="right"/>
      <w:pPr>
        <w:tabs>
          <w:tab w:val="num" w:pos="360"/>
        </w:tabs>
        <w:ind w:left="360" w:hanging="360"/>
      </w:pPr>
      <w:rPr>
        <w:rFonts w:cs="Narkisim" w:hint="cs"/>
        <w:sz w:val="20"/>
      </w:rPr>
    </w:lvl>
  </w:abstractNum>
  <w:abstractNum w:abstractNumId="4">
    <w:nsid w:val="1F61113B"/>
    <w:multiLevelType w:val="singleLevel"/>
    <w:tmpl w:val="76061FB0"/>
    <w:lvl w:ilvl="0">
      <w:start w:val="1"/>
      <w:numFmt w:val="decimal"/>
      <w:lvlText w:val="%1."/>
      <w:lvlJc w:val="right"/>
      <w:pPr>
        <w:tabs>
          <w:tab w:val="num" w:pos="360"/>
        </w:tabs>
        <w:ind w:left="360" w:hanging="360"/>
      </w:pPr>
      <w:rPr>
        <w:rFonts w:cs="Narkisim" w:hint="cs"/>
        <w:sz w:val="20"/>
      </w:rPr>
    </w:lvl>
  </w:abstractNum>
  <w:abstractNum w:abstractNumId="5">
    <w:nsid w:val="31677406"/>
    <w:multiLevelType w:val="singleLevel"/>
    <w:tmpl w:val="AEE040F0"/>
    <w:lvl w:ilvl="0">
      <w:start w:val="1"/>
      <w:numFmt w:val="hebrew1"/>
      <w:lvlText w:val="%1."/>
      <w:lvlJc w:val="right"/>
      <w:pPr>
        <w:tabs>
          <w:tab w:val="num" w:pos="1064"/>
        </w:tabs>
        <w:ind w:left="1064" w:hanging="360"/>
      </w:pPr>
      <w:rPr>
        <w:rFonts w:cs="Narkisim" w:hint="cs"/>
      </w:rPr>
    </w:lvl>
  </w:abstractNum>
  <w:abstractNum w:abstractNumId="6">
    <w:nsid w:val="3F514CFD"/>
    <w:multiLevelType w:val="singleLevel"/>
    <w:tmpl w:val="783AB15E"/>
    <w:lvl w:ilvl="0">
      <w:start w:val="1"/>
      <w:numFmt w:val="decimal"/>
      <w:lvlText w:val="%1."/>
      <w:lvlJc w:val="right"/>
      <w:pPr>
        <w:tabs>
          <w:tab w:val="num" w:pos="360"/>
        </w:tabs>
        <w:ind w:left="360" w:hanging="360"/>
      </w:pPr>
      <w:rPr>
        <w:rFonts w:cs="Narkisim" w:hint="cs"/>
        <w:sz w:val="20"/>
      </w:rPr>
    </w:lvl>
  </w:abstractNum>
  <w:abstractNum w:abstractNumId="7">
    <w:nsid w:val="440D5FFB"/>
    <w:multiLevelType w:val="singleLevel"/>
    <w:tmpl w:val="C29EA2C6"/>
    <w:lvl w:ilvl="0">
      <w:start w:val="1"/>
      <w:numFmt w:val="decimal"/>
      <w:lvlText w:val="%1."/>
      <w:lvlJc w:val="right"/>
      <w:pPr>
        <w:tabs>
          <w:tab w:val="num" w:pos="360"/>
        </w:tabs>
        <w:ind w:left="360" w:hanging="360"/>
      </w:pPr>
      <w:rPr>
        <w:rFonts w:cs="Narkisim" w:hint="cs"/>
        <w:sz w:val="20"/>
      </w:rPr>
    </w:lvl>
  </w:abstractNum>
  <w:abstractNum w:abstractNumId="8">
    <w:nsid w:val="53C626EF"/>
    <w:multiLevelType w:val="singleLevel"/>
    <w:tmpl w:val="BCB85E90"/>
    <w:lvl w:ilvl="0">
      <w:start w:val="1"/>
      <w:numFmt w:val="decimal"/>
      <w:lvlText w:val="%1."/>
      <w:lvlJc w:val="right"/>
      <w:pPr>
        <w:tabs>
          <w:tab w:val="num" w:pos="360"/>
        </w:tabs>
        <w:ind w:left="360" w:hanging="360"/>
      </w:pPr>
      <w:rPr>
        <w:rFonts w:cs="Narkisim" w:hint="cs"/>
        <w:sz w:val="20"/>
      </w:rPr>
    </w:lvl>
  </w:abstractNum>
  <w:abstractNum w:abstractNumId="9">
    <w:nsid w:val="5C6E2645"/>
    <w:multiLevelType w:val="singleLevel"/>
    <w:tmpl w:val="A32071D0"/>
    <w:lvl w:ilvl="0">
      <w:start w:val="1"/>
      <w:numFmt w:val="hebrew1"/>
      <w:lvlText w:val="%1ו"/>
      <w:lvlJc w:val="right"/>
      <w:pPr>
        <w:tabs>
          <w:tab w:val="num" w:pos="360"/>
        </w:tabs>
        <w:ind w:left="360" w:hanging="360"/>
      </w:pPr>
      <w:rPr>
        <w:rFonts w:cs="Narkisim" w:hint="cs"/>
        <w:sz w:val="20"/>
      </w:rPr>
    </w:lvl>
  </w:abstractNum>
  <w:abstractNum w:abstractNumId="10">
    <w:nsid w:val="6D5B1D79"/>
    <w:multiLevelType w:val="singleLevel"/>
    <w:tmpl w:val="DD164C6A"/>
    <w:lvl w:ilvl="0">
      <w:start w:val="1"/>
      <w:numFmt w:val="hebrew1"/>
      <w:lvlText w:val="%1ו"/>
      <w:lvlJc w:val="right"/>
      <w:pPr>
        <w:tabs>
          <w:tab w:val="num" w:pos="360"/>
        </w:tabs>
        <w:ind w:left="360" w:hanging="360"/>
      </w:pPr>
      <w:rPr>
        <w:rFonts w:cs="Narkisim" w:hint="cs"/>
        <w:sz w:val="20"/>
      </w:rPr>
    </w:lvl>
  </w:abstractNum>
  <w:abstractNum w:abstractNumId="11">
    <w:nsid w:val="70832657"/>
    <w:multiLevelType w:val="singleLevel"/>
    <w:tmpl w:val="158606C4"/>
    <w:lvl w:ilvl="0">
      <w:start w:val="1"/>
      <w:numFmt w:val="hebrew1"/>
      <w:lvlText w:val="%1ו"/>
      <w:lvlJc w:val="right"/>
      <w:pPr>
        <w:tabs>
          <w:tab w:val="num" w:pos="360"/>
        </w:tabs>
        <w:ind w:left="360" w:hanging="360"/>
      </w:pPr>
      <w:rPr>
        <w:rFonts w:cs="Narkisim" w:hint="cs"/>
        <w:sz w:val="20"/>
      </w:rPr>
    </w:lvl>
  </w:abstractNum>
  <w:abstractNum w:abstractNumId="12">
    <w:nsid w:val="79003E52"/>
    <w:multiLevelType w:val="singleLevel"/>
    <w:tmpl w:val="2EAA7E92"/>
    <w:lvl w:ilvl="0">
      <w:start w:val="1"/>
      <w:numFmt w:val="hebrew1"/>
      <w:lvlText w:val="%1."/>
      <w:lvlJc w:val="right"/>
      <w:pPr>
        <w:tabs>
          <w:tab w:val="num" w:pos="360"/>
        </w:tabs>
        <w:ind w:left="360" w:hanging="360"/>
      </w:pPr>
      <w:rPr>
        <w:rFonts w:cs="Narkisim" w:hint="cs"/>
        <w:sz w:val="20"/>
      </w:rPr>
    </w:lvl>
  </w:abstractNum>
  <w:num w:numId="1">
    <w:abstractNumId w:val="5"/>
  </w:num>
  <w:num w:numId="2">
    <w:abstractNumId w:val="7"/>
  </w:num>
  <w:num w:numId="3">
    <w:abstractNumId w:val="2"/>
  </w:num>
  <w:num w:numId="4">
    <w:abstractNumId w:val="4"/>
  </w:num>
  <w:num w:numId="5">
    <w:abstractNumId w:val="3"/>
  </w:num>
  <w:num w:numId="6">
    <w:abstractNumId w:val="8"/>
  </w:num>
  <w:num w:numId="7">
    <w:abstractNumId w:val="6"/>
  </w:num>
  <w:num w:numId="8">
    <w:abstractNumId w:val="0"/>
  </w:num>
  <w:num w:numId="9">
    <w:abstractNumId w:val="11"/>
  </w:num>
  <w:num w:numId="10">
    <w:abstractNumId w:val="1"/>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6F2"/>
    <w:rsid w:val="003126F2"/>
    <w:rsid w:val="00322943"/>
    <w:rsid w:val="005E0D0A"/>
    <w:rsid w:val="006D22CD"/>
    <w:rsid w:val="006F019B"/>
    <w:rsid w:val="00734241"/>
    <w:rsid w:val="007C7E9A"/>
    <w:rsid w:val="0080461F"/>
    <w:rsid w:val="00D701DA"/>
    <w:rsid w:val="00F2569E"/>
    <w:rsid w:val="00F915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5423CF-4684-4E9A-90A7-3AA9BD49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60" w:line="280" w:lineRule="exact"/>
    </w:pPr>
    <w:rPr>
      <w:rFonts w:ascii="Times New Roman" w:hAnsi="Times New Roman" w:cs="Narkisim"/>
      <w:sz w:val="18"/>
    </w:rPr>
  </w:style>
  <w:style w:type="paragraph" w:styleId="1">
    <w:name w:val="heading 1"/>
    <w:basedOn w:val="a"/>
    <w:next w:val="a"/>
    <w:link w:val="10"/>
    <w:uiPriority w:val="99"/>
    <w:qFormat/>
    <w:pPr>
      <w:keepNext/>
      <w:spacing w:before="240"/>
      <w:outlineLvl w:val="0"/>
    </w:pPr>
    <w:rPr>
      <w:rFonts w:ascii="Arial" w:hAnsi="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paragraph" w:styleId="a3">
    <w:name w:val="footnote text"/>
    <w:basedOn w:val="a"/>
    <w:link w:val="a4"/>
    <w:uiPriority w:val="99"/>
    <w:pPr>
      <w:bidi w:val="0"/>
      <w:jc w:val="both"/>
    </w:pPr>
  </w:style>
  <w:style w:type="character" w:customStyle="1" w:styleId="a4">
    <w:name w:val="טקסט הערת שוליים תו"/>
    <w:link w:val="a3"/>
    <w:uiPriority w:val="99"/>
    <w:semiHidden/>
    <w:rPr>
      <w:rFonts w:ascii="Times New Roman" w:hAnsi="Times New Roman" w:cs="Narkisim"/>
      <w:sz w:val="20"/>
      <w:szCs w:val="20"/>
    </w:rPr>
  </w:style>
  <w:style w:type="paragraph" w:styleId="a5">
    <w:name w:val="header"/>
    <w:basedOn w:val="a"/>
    <w:link w:val="a6"/>
    <w:uiPriority w:val="99"/>
    <w:pPr>
      <w:tabs>
        <w:tab w:val="center" w:pos="4153"/>
        <w:tab w:val="right" w:pos="8306"/>
      </w:tabs>
    </w:pPr>
  </w:style>
  <w:style w:type="character" w:customStyle="1" w:styleId="a6">
    <w:name w:val="כותרת עליונה תו"/>
    <w:link w:val="a5"/>
    <w:uiPriority w:val="99"/>
    <w:semiHidden/>
    <w:rPr>
      <w:rFonts w:ascii="Times New Roman" w:hAnsi="Times New Roman" w:cs="Narkisim"/>
      <w:sz w:val="18"/>
      <w:szCs w:val="20"/>
    </w:rPr>
  </w:style>
  <w:style w:type="paragraph" w:styleId="a7">
    <w:name w:val="footer"/>
    <w:basedOn w:val="a"/>
    <w:link w:val="a8"/>
    <w:uiPriority w:val="99"/>
    <w:pPr>
      <w:tabs>
        <w:tab w:val="center" w:pos="4153"/>
        <w:tab w:val="right" w:pos="8306"/>
      </w:tabs>
    </w:pPr>
  </w:style>
  <w:style w:type="character" w:customStyle="1" w:styleId="a8">
    <w:name w:val="כותרת תחתונה תו"/>
    <w:link w:val="a7"/>
    <w:uiPriority w:val="99"/>
    <w:semiHidden/>
    <w:rPr>
      <w:rFonts w:ascii="Times New Roman" w:hAnsi="Times New Roman" w:cs="Narkisim"/>
      <w:sz w:val="18"/>
      <w:szCs w:val="20"/>
    </w:rPr>
  </w:style>
  <w:style w:type="paragraph" w:customStyle="1" w:styleId="-">
    <w:name w:val="מאמר - ציטוט"/>
    <w:basedOn w:val="a"/>
    <w:next w:val="a"/>
    <w:uiPriority w:val="99"/>
    <w:pPr>
      <w:tabs>
        <w:tab w:val="right" w:pos="8165"/>
      </w:tabs>
      <w:spacing w:after="0" w:line="360" w:lineRule="exact"/>
      <w:ind w:left="907" w:right="907"/>
      <w:jc w:val="both"/>
    </w:pPr>
    <w:rPr>
      <w:rFonts w:cs="David"/>
      <w:spacing w:val="5"/>
      <w:sz w:val="20"/>
      <w:szCs w:val="22"/>
    </w:rPr>
  </w:style>
  <w:style w:type="paragraph" w:customStyle="1" w:styleId="a9">
    <w:name w:val="כותרת"/>
    <w:basedOn w:val="a"/>
    <w:uiPriority w:val="99"/>
    <w:pPr>
      <w:keepNext/>
      <w:spacing w:before="240" w:after="240"/>
      <w:jc w:val="center"/>
      <w:outlineLvl w:val="0"/>
    </w:pPr>
    <w:rPr>
      <w:b/>
      <w:bCs/>
      <w:sz w:val="46"/>
      <w:szCs w:val="50"/>
    </w:rPr>
  </w:style>
  <w:style w:type="paragraph" w:customStyle="1" w:styleId="aa">
    <w:name w:val="מחבר"/>
    <w:basedOn w:val="a"/>
    <w:uiPriority w:val="99"/>
    <w:pPr>
      <w:jc w:val="both"/>
    </w:pPr>
    <w:rPr>
      <w:b/>
      <w:bCs/>
      <w:sz w:val="24"/>
      <w:szCs w:val="26"/>
    </w:rPr>
  </w:style>
  <w:style w:type="paragraph" w:customStyle="1" w:styleId="11">
    <w:name w:val="ציטוט1"/>
    <w:basedOn w:val="a"/>
    <w:uiPriority w:val="99"/>
    <w:pPr>
      <w:tabs>
        <w:tab w:val="right" w:pos="4620"/>
      </w:tabs>
      <w:ind w:right="567"/>
      <w:jc w:val="both"/>
    </w:pPr>
    <w:rPr>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sz w:val="16"/>
      <w:szCs w:val="16"/>
    </w:rPr>
  </w:style>
  <w:style w:type="paragraph" w:customStyle="1" w:styleId="2">
    <w:name w:val="כותרת2"/>
    <w:basedOn w:val="a9"/>
    <w:uiPriority w:val="99"/>
    <w:pPr>
      <w:spacing w:before="120" w:after="60" w:line="240" w:lineRule="auto"/>
      <w:jc w:val="both"/>
      <w:outlineLvl w:val="1"/>
    </w:pPr>
    <w:rPr>
      <w:sz w:val="26"/>
      <w:szCs w:val="28"/>
    </w:rPr>
  </w:style>
  <w:style w:type="character" w:styleId="ac">
    <w:name w:val="footnote reference"/>
    <w:uiPriority w:val="99"/>
    <w:rPr>
      <w:rFonts w:cs="Narkisim"/>
      <w:vertAlign w:val="superscript"/>
      <w:lang w:bidi="he-IL"/>
    </w:rPr>
  </w:style>
  <w:style w:type="paragraph" w:customStyle="1" w:styleId="-0">
    <w:name w:val="מאמר - טקסט"/>
    <w:basedOn w:val="a"/>
    <w:uiPriority w:val="99"/>
    <w:pPr>
      <w:spacing w:after="0" w:line="360" w:lineRule="atLeast"/>
      <w:ind w:firstLine="357"/>
      <w:jc w:val="both"/>
    </w:pPr>
    <w:rPr>
      <w:rFonts w:cs="David"/>
      <w:spacing w:val="5"/>
      <w:sz w:val="20"/>
      <w:szCs w:val="22"/>
    </w:rPr>
  </w:style>
  <w:style w:type="paragraph" w:customStyle="1" w:styleId="-1">
    <w:name w:val="מאמר - כותרת"/>
    <w:basedOn w:val="a"/>
    <w:next w:val="-0"/>
    <w:uiPriority w:val="99"/>
    <w:pPr>
      <w:spacing w:after="120" w:line="240" w:lineRule="auto"/>
      <w:jc w:val="center"/>
    </w:pPr>
    <w:rPr>
      <w:rFonts w:cs="Monotype Hadassah"/>
      <w:bCs/>
      <w:spacing w:val="5"/>
      <w:sz w:val="20"/>
      <w:szCs w:val="30"/>
      <w:u w:val="double"/>
    </w:rPr>
  </w:style>
  <w:style w:type="paragraph" w:styleId="20">
    <w:name w:val="Body Text 2"/>
    <w:basedOn w:val="a"/>
    <w:link w:val="21"/>
    <w:uiPriority w:val="99"/>
    <w:pPr>
      <w:ind w:firstLine="367"/>
      <w:jc w:val="both"/>
    </w:pPr>
  </w:style>
  <w:style w:type="character" w:customStyle="1" w:styleId="21">
    <w:name w:val="גוף טקסט 2 תו"/>
    <w:link w:val="20"/>
    <w:uiPriority w:val="99"/>
    <w:semiHidden/>
    <w:rPr>
      <w:rFonts w:ascii="Times New Roman" w:hAnsi="Times New Roman" w:cs="Narkisim"/>
      <w:sz w:val="18"/>
      <w:szCs w:val="20"/>
    </w:rPr>
  </w:style>
  <w:style w:type="paragraph" w:styleId="ad">
    <w:name w:val="Body Text"/>
    <w:basedOn w:val="a"/>
    <w:link w:val="ae"/>
    <w:uiPriority w:val="99"/>
    <w:pPr>
      <w:jc w:val="both"/>
    </w:pPr>
  </w:style>
  <w:style w:type="character" w:customStyle="1" w:styleId="ae">
    <w:name w:val="גוף טקסט תו"/>
    <w:link w:val="ad"/>
    <w:uiPriority w:val="99"/>
    <w:semiHidden/>
    <w:rPr>
      <w:rFonts w:ascii="Times New Roman" w:hAnsi="Times New Roman" w:cs="Narkisim"/>
      <w:sz w:val="18"/>
      <w:szCs w:val="20"/>
    </w:rPr>
  </w:style>
  <w:style w:type="paragraph" w:styleId="af">
    <w:name w:val="Subtitle"/>
    <w:basedOn w:val="a"/>
    <w:next w:val="-0"/>
    <w:link w:val="af0"/>
    <w:uiPriority w:val="99"/>
    <w:qFormat/>
    <w:pPr>
      <w:keepNext/>
      <w:keepLines/>
      <w:spacing w:before="180" w:after="0" w:line="360" w:lineRule="atLeast"/>
      <w:ind w:right="340" w:hanging="340"/>
      <w:jc w:val="both"/>
    </w:pPr>
    <w:rPr>
      <w:rFonts w:cs="David"/>
      <w:bCs/>
      <w:iCs/>
      <w:spacing w:val="5"/>
      <w:sz w:val="20"/>
      <w:szCs w:val="24"/>
    </w:rPr>
  </w:style>
  <w:style w:type="character" w:customStyle="1" w:styleId="af0">
    <w:name w:val="כותרת משנה תו"/>
    <w:link w:val="af"/>
    <w:uiPriority w:val="11"/>
    <w:rPr>
      <w:rFonts w:ascii="Cambria" w:eastAsia="Times New Roman" w:hAnsi="Cambria" w:cs="Times New Roman"/>
      <w:sz w:val="24"/>
      <w:szCs w:val="24"/>
    </w:rPr>
  </w:style>
  <w:style w:type="character" w:styleId="Hyperlink">
    <w:name w:val="Hyperlink"/>
    <w:uiPriority w:val="99"/>
    <w:rPr>
      <w:rFonts w:cs="Narkisim"/>
      <w:color w:val="0000FF"/>
      <w:u w:val="single"/>
      <w:lang w:bidi="he-IL"/>
    </w:rPr>
  </w:style>
  <w:style w:type="paragraph" w:styleId="22">
    <w:name w:val="Body Text Indent 2"/>
    <w:basedOn w:val="a"/>
    <w:link w:val="23"/>
    <w:uiPriority w:val="99"/>
    <w:pPr>
      <w:ind w:firstLine="367"/>
    </w:pPr>
  </w:style>
  <w:style w:type="character" w:customStyle="1" w:styleId="23">
    <w:name w:val="כניסה בגוף טקסט 2 תו"/>
    <w:link w:val="22"/>
    <w:uiPriority w:val="99"/>
    <w:semiHidden/>
    <w:rPr>
      <w:rFonts w:ascii="Times New Roman" w:hAnsi="Times New Roman" w:cs="Narkisim"/>
      <w:sz w:val="18"/>
      <w:szCs w:val="20"/>
    </w:rPr>
  </w:style>
  <w:style w:type="character" w:styleId="af1">
    <w:name w:val="annotation reference"/>
    <w:uiPriority w:val="99"/>
    <w:rPr>
      <w:rFonts w:cs="Narkisim"/>
      <w:sz w:val="16"/>
      <w:szCs w:val="16"/>
      <w:lang w:bidi="he-IL"/>
    </w:rPr>
  </w:style>
  <w:style w:type="paragraph" w:styleId="af2">
    <w:name w:val="annotation text"/>
    <w:basedOn w:val="a"/>
    <w:link w:val="af3"/>
    <w:uiPriority w:val="99"/>
    <w:rPr>
      <w:sz w:val="20"/>
    </w:rPr>
  </w:style>
  <w:style w:type="character" w:customStyle="1" w:styleId="af3">
    <w:name w:val="טקסט הערה תו"/>
    <w:link w:val="af2"/>
    <w:uiPriority w:val="99"/>
    <w:semiHidden/>
    <w:rPr>
      <w:rFonts w:ascii="Times New Roman" w:hAnsi="Times New Roman" w:cs="Narkisim"/>
      <w:sz w:val="20"/>
      <w:szCs w:val="20"/>
    </w:rPr>
  </w:style>
  <w:style w:type="paragraph" w:styleId="af4">
    <w:name w:val="annotation subject"/>
    <w:basedOn w:val="af2"/>
    <w:next w:val="af2"/>
    <w:link w:val="af5"/>
    <w:uiPriority w:val="99"/>
    <w:rPr>
      <w:b/>
      <w:bCs/>
    </w:rPr>
  </w:style>
  <w:style w:type="character" w:customStyle="1" w:styleId="af5">
    <w:name w:val="נושא הערה תו"/>
    <w:link w:val="af4"/>
    <w:uiPriority w:val="99"/>
    <w:semiHidden/>
    <w:rPr>
      <w:rFonts w:ascii="Times New Roman" w:hAnsi="Times New Roman" w:cs="Narkisim"/>
      <w:b/>
      <w:bCs/>
      <w:sz w:val="20"/>
      <w:szCs w:val="20"/>
    </w:rPr>
  </w:style>
  <w:style w:type="paragraph" w:styleId="af6">
    <w:name w:val="Balloon Text"/>
    <w:basedOn w:val="a"/>
    <w:link w:val="af7"/>
    <w:uiPriority w:val="99"/>
    <w:rPr>
      <w:rFonts w:ascii="Tahoma" w:hAnsi="Tahoma" w:cs="Tahoma"/>
      <w:sz w:val="16"/>
      <w:szCs w:val="16"/>
    </w:rPr>
  </w:style>
  <w:style w:type="character" w:customStyle="1" w:styleId="af7">
    <w:name w:val="טקסט בלונים תו"/>
    <w:link w:val="af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1165</Words>
  <Characters>6641</Characters>
  <Application>Microsoft Office Word</Application>
  <DocSecurity>0</DocSecurity>
  <Lines>55</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מחבר</vt:lpstr>
      <vt:lpstr>מחבר</vt:lpstr>
    </vt:vector>
  </TitlesOfParts>
  <Company>YHE</Company>
  <LinksUpToDate>false</LinksUpToDate>
  <CharactersWithSpaces>7791</CharactersWithSpaces>
  <SharedDoc>false</SharedDoc>
  <HLinks>
    <vt:vector size="6" baseType="variant">
      <vt:variant>
        <vt:i4>5636173</vt:i4>
      </vt:variant>
      <vt:variant>
        <vt:i4>0</vt:i4>
      </vt:variant>
      <vt:variant>
        <vt:i4>0</vt:i4>
      </vt:variant>
      <vt:variant>
        <vt:i4>5</vt:i4>
      </vt:variant>
      <vt:variant>
        <vt:lpwstr>http://www.vbm-torah.org/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מחבר</dc:title>
  <dc:creator>Yeshivat Har Etzion</dc:creator>
  <cp:lastModifiedBy>ברקוביץ דבורה</cp:lastModifiedBy>
  <cp:revision>3</cp:revision>
  <dcterms:created xsi:type="dcterms:W3CDTF">2015-10-29T07:54:00Z</dcterms:created>
  <dcterms:modified xsi:type="dcterms:W3CDTF">2015-11-09T09:59:00Z</dcterms:modified>
</cp:coreProperties>
</file>