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25" w:rsidRPr="00F976B4" w:rsidRDefault="00AB7E25" w:rsidP="004C2C25">
      <w:pPr>
        <w:bidi w:val="0"/>
        <w:ind w:firstLine="0"/>
        <w:jc w:val="center"/>
        <w:rPr>
          <w:rFonts w:ascii="Arial" w:hAnsi="Arial"/>
          <w:sz w:val="24"/>
          <w:szCs w:val="24"/>
        </w:rPr>
      </w:pPr>
      <w:r w:rsidRPr="00F976B4">
        <w:rPr>
          <w:rFonts w:ascii="Arial" w:hAnsi="Arial"/>
          <w:sz w:val="24"/>
          <w:szCs w:val="24"/>
        </w:rPr>
        <w:t>YESHIVAT HAR ETZION</w:t>
      </w:r>
    </w:p>
    <w:p w:rsidR="00AB7E25" w:rsidRPr="00F976B4" w:rsidRDefault="00AB7E25" w:rsidP="004C2C25">
      <w:pPr>
        <w:bidi w:val="0"/>
        <w:ind w:firstLine="0"/>
        <w:jc w:val="center"/>
        <w:rPr>
          <w:rFonts w:ascii="Arial" w:hAnsi="Arial"/>
          <w:sz w:val="24"/>
          <w:szCs w:val="24"/>
        </w:rPr>
      </w:pPr>
      <w:r w:rsidRPr="00F976B4">
        <w:rPr>
          <w:rFonts w:ascii="Arial" w:hAnsi="Arial"/>
          <w:sz w:val="24"/>
          <w:szCs w:val="24"/>
        </w:rPr>
        <w:t>ISRAEL KOSCHITZKY VIRTUAL BEIT MIDRASH (VBM)</w:t>
      </w:r>
    </w:p>
    <w:p w:rsidR="00AB7E25" w:rsidRPr="00F976B4" w:rsidRDefault="00AB7E25" w:rsidP="004C2C25">
      <w:pPr>
        <w:bidi w:val="0"/>
        <w:ind w:firstLine="0"/>
        <w:jc w:val="center"/>
        <w:rPr>
          <w:rFonts w:ascii="Arial" w:hAnsi="Arial"/>
          <w:sz w:val="24"/>
          <w:szCs w:val="24"/>
        </w:rPr>
      </w:pPr>
      <w:r w:rsidRPr="00F976B4">
        <w:rPr>
          <w:rFonts w:ascii="Arial" w:hAnsi="Arial"/>
          <w:sz w:val="24"/>
          <w:szCs w:val="24"/>
        </w:rPr>
        <w:t>******************************************************</w:t>
      </w:r>
    </w:p>
    <w:p w:rsidR="00AB7E25" w:rsidRPr="00F976B4" w:rsidRDefault="00AB7E25" w:rsidP="004C2C25">
      <w:pPr>
        <w:bidi w:val="0"/>
        <w:ind w:firstLine="0"/>
        <w:jc w:val="center"/>
        <w:rPr>
          <w:rFonts w:ascii="Arial" w:hAnsi="Arial"/>
          <w:sz w:val="24"/>
          <w:szCs w:val="24"/>
        </w:rPr>
      </w:pPr>
    </w:p>
    <w:p w:rsidR="00AB7E25" w:rsidRPr="00F976B4" w:rsidRDefault="00AB7E25" w:rsidP="004C2C25">
      <w:pPr>
        <w:pStyle w:val="a6"/>
        <w:keepNext w:val="0"/>
        <w:widowControl w:val="0"/>
        <w:bidi w:val="0"/>
        <w:spacing w:before="0" w:after="0"/>
        <w:rPr>
          <w:rFonts w:ascii="Arial" w:hAnsi="Arial"/>
          <w:sz w:val="24"/>
          <w:szCs w:val="24"/>
        </w:rPr>
      </w:pPr>
      <w:r w:rsidRPr="00F976B4">
        <w:rPr>
          <w:rFonts w:ascii="Arial" w:hAnsi="Arial"/>
          <w:sz w:val="24"/>
          <w:szCs w:val="24"/>
        </w:rPr>
        <w:t>LITERARY STUDY OF BIBLICAL NARRATIVE</w:t>
      </w:r>
    </w:p>
    <w:p w:rsidR="00AB7E25" w:rsidRPr="00F976B4" w:rsidRDefault="00AB7E25" w:rsidP="004C2C25">
      <w:pPr>
        <w:pStyle w:val="a6"/>
        <w:keepNext w:val="0"/>
        <w:widowControl w:val="0"/>
        <w:bidi w:val="0"/>
        <w:spacing w:before="0" w:after="0"/>
        <w:rPr>
          <w:rFonts w:ascii="Arial" w:hAnsi="Arial"/>
          <w:sz w:val="24"/>
          <w:szCs w:val="24"/>
        </w:rPr>
      </w:pPr>
      <w:r w:rsidRPr="00F976B4">
        <w:rPr>
          <w:rFonts w:ascii="Arial" w:hAnsi="Arial"/>
          <w:sz w:val="24"/>
          <w:szCs w:val="24"/>
        </w:rPr>
        <w:t>By Rav Dr</w:t>
      </w:r>
      <w:r w:rsidRPr="00F976B4">
        <w:rPr>
          <w:rFonts w:ascii="Arial" w:hAnsi="Arial"/>
          <w:b w:val="0"/>
          <w:sz w:val="24"/>
          <w:szCs w:val="24"/>
        </w:rPr>
        <w:t xml:space="preserve">. </w:t>
      </w:r>
      <w:r w:rsidRPr="00F976B4">
        <w:rPr>
          <w:rFonts w:ascii="Arial" w:hAnsi="Arial"/>
          <w:sz w:val="24"/>
          <w:szCs w:val="24"/>
        </w:rPr>
        <w:t>Yonatan Grossman</w:t>
      </w:r>
    </w:p>
    <w:p w:rsidR="00AB7E25" w:rsidRPr="00F976B4" w:rsidRDefault="00AB7E25" w:rsidP="00F47ADC">
      <w:pPr>
        <w:bidi w:val="0"/>
        <w:ind w:firstLine="0"/>
        <w:rPr>
          <w:rFonts w:ascii="Arial" w:hAnsi="Arial"/>
          <w:b/>
          <w:bCs/>
          <w:sz w:val="24"/>
          <w:szCs w:val="24"/>
        </w:rPr>
      </w:pPr>
      <w:bookmarkStart w:id="0" w:name="_GoBack"/>
      <w:bookmarkEnd w:id="0"/>
    </w:p>
    <w:p w:rsidR="00AB7E25" w:rsidRPr="00F976B4" w:rsidRDefault="00AB7E25" w:rsidP="004C2C25">
      <w:pPr>
        <w:bidi w:val="0"/>
        <w:ind w:firstLine="0"/>
        <w:jc w:val="center"/>
        <w:rPr>
          <w:rFonts w:ascii="Arial" w:hAnsi="Arial"/>
          <w:b/>
          <w:bCs/>
          <w:sz w:val="24"/>
          <w:szCs w:val="24"/>
        </w:rPr>
      </w:pPr>
      <w:r w:rsidRPr="00F976B4">
        <w:rPr>
          <w:rFonts w:ascii="Arial" w:hAnsi="Arial"/>
          <w:b/>
          <w:bCs/>
          <w:sz w:val="24"/>
          <w:szCs w:val="24"/>
        </w:rPr>
        <w:t>Lecture #</w:t>
      </w:r>
      <w:r w:rsidRPr="00F976B4">
        <w:rPr>
          <w:rFonts w:ascii="Arial" w:hAnsi="Arial"/>
          <w:b/>
          <w:bCs/>
          <w:sz w:val="24"/>
          <w:szCs w:val="24"/>
          <w:rtl/>
        </w:rPr>
        <w:t>2</w:t>
      </w:r>
      <w:r w:rsidRPr="00F976B4">
        <w:rPr>
          <w:rFonts w:ascii="Arial" w:hAnsi="Arial"/>
          <w:b/>
          <w:bCs/>
          <w:sz w:val="24"/>
          <w:szCs w:val="24"/>
        </w:rPr>
        <w:t>8:</w:t>
      </w:r>
    </w:p>
    <w:p w:rsidR="008F7C41" w:rsidRPr="00F976B4" w:rsidRDefault="00D75DDB" w:rsidP="004C2C25">
      <w:pPr>
        <w:bidi w:val="0"/>
        <w:jc w:val="center"/>
        <w:rPr>
          <w:rFonts w:ascii="Arial" w:hAnsi="Arial"/>
          <w:b/>
          <w:bCs/>
          <w:sz w:val="24"/>
          <w:szCs w:val="24"/>
        </w:rPr>
      </w:pPr>
      <w:r w:rsidRPr="00F976B4">
        <w:rPr>
          <w:rFonts w:ascii="Arial" w:hAnsi="Arial"/>
          <w:b/>
          <w:bCs/>
          <w:sz w:val="24"/>
          <w:szCs w:val="24"/>
        </w:rPr>
        <w:t xml:space="preserve">The </w:t>
      </w:r>
      <w:r w:rsidR="002A3F3C" w:rsidRPr="00F976B4">
        <w:rPr>
          <w:rFonts w:ascii="Arial" w:hAnsi="Arial"/>
          <w:b/>
          <w:bCs/>
          <w:sz w:val="24"/>
          <w:szCs w:val="24"/>
        </w:rPr>
        <w:t>Presentation of</w:t>
      </w:r>
      <w:r w:rsidR="00B0235D" w:rsidRPr="00F976B4">
        <w:rPr>
          <w:rFonts w:ascii="Arial" w:hAnsi="Arial"/>
          <w:b/>
          <w:bCs/>
          <w:sz w:val="24"/>
          <w:szCs w:val="24"/>
        </w:rPr>
        <w:t xml:space="preserve"> Facts in the Na</w:t>
      </w:r>
      <w:r w:rsidR="00101AF4" w:rsidRPr="00F976B4">
        <w:rPr>
          <w:rFonts w:ascii="Arial" w:hAnsi="Arial"/>
          <w:b/>
          <w:bCs/>
          <w:sz w:val="24"/>
          <w:szCs w:val="24"/>
        </w:rPr>
        <w:t>rrative</w:t>
      </w:r>
      <w:r w:rsidR="002A3F3C" w:rsidRPr="00F976B4">
        <w:rPr>
          <w:rFonts w:ascii="Arial" w:hAnsi="Arial"/>
          <w:b/>
          <w:bCs/>
          <w:sz w:val="24"/>
          <w:szCs w:val="24"/>
        </w:rPr>
        <w:t xml:space="preserve">, Part </w:t>
      </w:r>
      <w:r w:rsidR="00C64880" w:rsidRPr="00F976B4">
        <w:rPr>
          <w:rFonts w:ascii="Arial" w:hAnsi="Arial"/>
          <w:b/>
          <w:bCs/>
          <w:sz w:val="24"/>
          <w:szCs w:val="24"/>
        </w:rPr>
        <w:t>I</w:t>
      </w:r>
      <w:r w:rsidR="002A3F3C" w:rsidRPr="00F976B4">
        <w:rPr>
          <w:rFonts w:ascii="Arial" w:hAnsi="Arial"/>
          <w:b/>
          <w:bCs/>
          <w:sz w:val="24"/>
          <w:szCs w:val="24"/>
        </w:rPr>
        <w:t>I</w:t>
      </w:r>
      <w:r w:rsidR="005B4685" w:rsidRPr="00F976B4">
        <w:rPr>
          <w:rFonts w:ascii="Arial" w:hAnsi="Arial"/>
          <w:b/>
          <w:bCs/>
          <w:sz w:val="24"/>
          <w:szCs w:val="24"/>
        </w:rPr>
        <w:t>I</w:t>
      </w:r>
    </w:p>
    <w:p w:rsidR="004C2C25" w:rsidRDefault="004C2C25" w:rsidP="004C2C25">
      <w:pPr>
        <w:bidi w:val="0"/>
        <w:jc w:val="both"/>
        <w:rPr>
          <w:rFonts w:ascii="Arial" w:hAnsi="Arial"/>
          <w:sz w:val="24"/>
          <w:szCs w:val="24"/>
        </w:rPr>
      </w:pPr>
    </w:p>
    <w:p w:rsidR="004C2C25" w:rsidRDefault="004C2C25" w:rsidP="004C2C25">
      <w:pPr>
        <w:bidi w:val="0"/>
        <w:jc w:val="both"/>
        <w:rPr>
          <w:rFonts w:ascii="Arial" w:hAnsi="Arial"/>
          <w:sz w:val="24"/>
          <w:szCs w:val="24"/>
        </w:rPr>
      </w:pPr>
    </w:p>
    <w:p w:rsidR="005A1F76" w:rsidRPr="00F976B4" w:rsidRDefault="004168D9" w:rsidP="004C2C25">
      <w:pPr>
        <w:bidi w:val="0"/>
        <w:ind w:firstLine="720"/>
        <w:jc w:val="both"/>
        <w:rPr>
          <w:rFonts w:ascii="Arial" w:hAnsi="Arial"/>
          <w:sz w:val="24"/>
          <w:szCs w:val="24"/>
        </w:rPr>
      </w:pPr>
      <w:r w:rsidRPr="00F976B4">
        <w:rPr>
          <w:rFonts w:ascii="Arial" w:hAnsi="Arial"/>
          <w:sz w:val="24"/>
          <w:szCs w:val="24"/>
        </w:rPr>
        <w:t xml:space="preserve">In our previous lecture, we observed the hidden readings alluded to by chronological shifts in the narrative, </w:t>
      </w:r>
      <w:r w:rsidR="005A1F76" w:rsidRPr="00F976B4">
        <w:rPr>
          <w:rFonts w:ascii="Arial" w:hAnsi="Arial"/>
          <w:sz w:val="24"/>
          <w:szCs w:val="24"/>
        </w:rPr>
        <w:t>flashbacks</w:t>
      </w:r>
      <w:r w:rsidR="00B75508">
        <w:rPr>
          <w:rFonts w:ascii="Arial" w:hAnsi="Arial"/>
          <w:sz w:val="24"/>
          <w:szCs w:val="24"/>
        </w:rPr>
        <w:t>,</w:t>
      </w:r>
      <w:r w:rsidR="005A1F76" w:rsidRPr="00F976B4">
        <w:rPr>
          <w:rFonts w:ascii="Arial" w:hAnsi="Arial"/>
          <w:sz w:val="24"/>
          <w:szCs w:val="24"/>
        </w:rPr>
        <w:t xml:space="preserve"> </w:t>
      </w:r>
      <w:r w:rsidRPr="00F976B4">
        <w:rPr>
          <w:rFonts w:ascii="Arial" w:hAnsi="Arial"/>
          <w:sz w:val="24"/>
          <w:szCs w:val="24"/>
        </w:rPr>
        <w:t>and</w:t>
      </w:r>
      <w:r w:rsidR="005A1F76" w:rsidRPr="00F976B4">
        <w:rPr>
          <w:rFonts w:ascii="Arial" w:hAnsi="Arial"/>
          <w:sz w:val="24"/>
          <w:szCs w:val="24"/>
        </w:rPr>
        <w:t xml:space="preserve"> forward leaps</w:t>
      </w:r>
      <w:r w:rsidR="00B75508">
        <w:rPr>
          <w:rFonts w:ascii="Arial" w:hAnsi="Arial"/>
          <w:sz w:val="24"/>
          <w:szCs w:val="24"/>
        </w:rPr>
        <w:t>.</w:t>
      </w:r>
      <w:r w:rsidRPr="00F976B4">
        <w:rPr>
          <w:rFonts w:ascii="Arial" w:hAnsi="Arial"/>
          <w:sz w:val="24"/>
          <w:szCs w:val="24"/>
        </w:rPr>
        <w:t xml:space="preserve"> In this lecture, we will examine other ways in which the narrator, despite maintaining a linear narrative, transmits messages </w:t>
      </w:r>
      <w:r w:rsidR="005A1F76" w:rsidRPr="00F976B4">
        <w:rPr>
          <w:rFonts w:ascii="Arial" w:hAnsi="Arial"/>
          <w:sz w:val="24"/>
          <w:szCs w:val="24"/>
        </w:rPr>
        <w:t xml:space="preserve">through the presentation </w:t>
      </w:r>
      <w:r w:rsidRPr="00F976B4">
        <w:rPr>
          <w:rFonts w:ascii="Arial" w:hAnsi="Arial"/>
          <w:sz w:val="24"/>
          <w:szCs w:val="24"/>
        </w:rPr>
        <w:t xml:space="preserve">and ordering </w:t>
      </w:r>
      <w:r w:rsidR="005A1F76" w:rsidRPr="00F976B4">
        <w:rPr>
          <w:rFonts w:ascii="Arial" w:hAnsi="Arial"/>
          <w:sz w:val="24"/>
          <w:szCs w:val="24"/>
        </w:rPr>
        <w:t>of facts.</w:t>
      </w:r>
    </w:p>
    <w:p w:rsidR="005A1F76" w:rsidRPr="00F976B4" w:rsidRDefault="005A1F76" w:rsidP="004C2C25">
      <w:pPr>
        <w:bidi w:val="0"/>
        <w:jc w:val="both"/>
        <w:rPr>
          <w:rFonts w:ascii="Arial" w:hAnsi="Arial"/>
          <w:sz w:val="24"/>
          <w:szCs w:val="24"/>
        </w:rPr>
      </w:pPr>
    </w:p>
    <w:p w:rsidR="005A1F76" w:rsidRPr="00F976B4" w:rsidRDefault="004168D9" w:rsidP="004C2C25">
      <w:pPr>
        <w:bidi w:val="0"/>
        <w:jc w:val="center"/>
        <w:rPr>
          <w:rFonts w:ascii="Arial" w:hAnsi="Arial"/>
          <w:b/>
          <w:bCs/>
          <w:sz w:val="24"/>
          <w:szCs w:val="24"/>
        </w:rPr>
      </w:pPr>
      <w:r w:rsidRPr="00F976B4">
        <w:rPr>
          <w:rFonts w:ascii="Arial" w:hAnsi="Arial"/>
          <w:b/>
          <w:bCs/>
          <w:sz w:val="24"/>
          <w:szCs w:val="24"/>
        </w:rPr>
        <w:t>NARRATOR’S INTERJ</w:t>
      </w:r>
      <w:r w:rsidR="00B75508">
        <w:rPr>
          <w:rFonts w:ascii="Arial" w:hAnsi="Arial"/>
          <w:b/>
          <w:bCs/>
          <w:sz w:val="24"/>
          <w:szCs w:val="24"/>
        </w:rPr>
        <w:t>ECTIONS: THE “INNOCENT”</w:t>
      </w:r>
      <w:r w:rsidRPr="00F976B4">
        <w:rPr>
          <w:rFonts w:ascii="Arial" w:hAnsi="Arial"/>
          <w:b/>
          <w:bCs/>
          <w:sz w:val="24"/>
          <w:szCs w:val="24"/>
        </w:rPr>
        <w:t xml:space="preserve"> STYLE</w:t>
      </w:r>
    </w:p>
    <w:p w:rsidR="004C2C25" w:rsidRDefault="004C2C25" w:rsidP="004C2C25">
      <w:pPr>
        <w:bidi w:val="0"/>
        <w:jc w:val="both"/>
        <w:rPr>
          <w:rFonts w:ascii="Arial" w:hAnsi="Arial"/>
          <w:sz w:val="24"/>
          <w:szCs w:val="24"/>
        </w:rPr>
      </w:pPr>
    </w:p>
    <w:p w:rsidR="00DC2771" w:rsidRPr="00F976B4" w:rsidRDefault="005A1F76" w:rsidP="004C2C25">
      <w:pPr>
        <w:bidi w:val="0"/>
        <w:ind w:firstLine="720"/>
        <w:jc w:val="both"/>
        <w:rPr>
          <w:rFonts w:ascii="Arial" w:hAnsi="Arial"/>
          <w:sz w:val="24"/>
          <w:szCs w:val="24"/>
        </w:rPr>
      </w:pPr>
      <w:r w:rsidRPr="00F976B4">
        <w:rPr>
          <w:rFonts w:ascii="Arial" w:hAnsi="Arial"/>
          <w:sz w:val="24"/>
          <w:szCs w:val="24"/>
        </w:rPr>
        <w:t xml:space="preserve">Let us open our current </w:t>
      </w:r>
      <w:r w:rsidR="004168D9" w:rsidRPr="00F976B4">
        <w:rPr>
          <w:rFonts w:ascii="Arial" w:hAnsi="Arial"/>
          <w:sz w:val="24"/>
          <w:szCs w:val="24"/>
        </w:rPr>
        <w:t>discussion</w:t>
      </w:r>
      <w:r w:rsidRPr="00F976B4">
        <w:rPr>
          <w:rFonts w:ascii="Arial" w:hAnsi="Arial"/>
          <w:sz w:val="24"/>
          <w:szCs w:val="24"/>
        </w:rPr>
        <w:t xml:space="preserve"> </w:t>
      </w:r>
      <w:r w:rsidR="004168D9" w:rsidRPr="00F976B4">
        <w:rPr>
          <w:rFonts w:ascii="Arial" w:hAnsi="Arial"/>
          <w:sz w:val="24"/>
          <w:szCs w:val="24"/>
        </w:rPr>
        <w:t>at</w:t>
      </w:r>
      <w:r w:rsidR="00743685" w:rsidRPr="00F976B4">
        <w:rPr>
          <w:rFonts w:ascii="Arial" w:hAnsi="Arial"/>
          <w:sz w:val="24"/>
          <w:szCs w:val="24"/>
        </w:rPr>
        <w:t xml:space="preserve"> </w:t>
      </w:r>
      <w:r w:rsidRPr="00F976B4">
        <w:rPr>
          <w:rFonts w:ascii="Arial" w:hAnsi="Arial"/>
          <w:sz w:val="24"/>
          <w:szCs w:val="24"/>
        </w:rPr>
        <w:t xml:space="preserve">the point </w:t>
      </w:r>
      <w:r w:rsidR="004168D9" w:rsidRPr="00F976B4">
        <w:rPr>
          <w:rFonts w:ascii="Arial" w:hAnsi="Arial"/>
          <w:sz w:val="24"/>
          <w:szCs w:val="24"/>
        </w:rPr>
        <w:t>with</w:t>
      </w:r>
      <w:r w:rsidRPr="00F976B4">
        <w:rPr>
          <w:rFonts w:ascii="Arial" w:hAnsi="Arial"/>
          <w:sz w:val="24"/>
          <w:szCs w:val="24"/>
        </w:rPr>
        <w:t xml:space="preserve"> which we </w:t>
      </w:r>
      <w:r w:rsidR="004168D9" w:rsidRPr="00F976B4">
        <w:rPr>
          <w:rFonts w:ascii="Arial" w:hAnsi="Arial"/>
          <w:sz w:val="24"/>
          <w:szCs w:val="24"/>
        </w:rPr>
        <w:t>concluded the previous lecture</w:t>
      </w:r>
      <w:r w:rsidRPr="00F976B4">
        <w:rPr>
          <w:rFonts w:ascii="Arial" w:hAnsi="Arial"/>
          <w:sz w:val="24"/>
          <w:szCs w:val="24"/>
        </w:rPr>
        <w:t xml:space="preserve"> — the narrator</w:t>
      </w:r>
      <w:r w:rsidR="004168D9" w:rsidRPr="00F976B4">
        <w:rPr>
          <w:rFonts w:ascii="Arial" w:hAnsi="Arial"/>
          <w:sz w:val="24"/>
          <w:szCs w:val="24"/>
        </w:rPr>
        <w:t>’s</w:t>
      </w:r>
      <w:r w:rsidRPr="00F976B4">
        <w:rPr>
          <w:rFonts w:ascii="Arial" w:hAnsi="Arial"/>
          <w:sz w:val="24"/>
          <w:szCs w:val="24"/>
        </w:rPr>
        <w:t xml:space="preserve"> breaking into</w:t>
      </w:r>
      <w:r w:rsidR="002B071A" w:rsidRPr="00F976B4">
        <w:rPr>
          <w:rFonts w:ascii="Arial" w:hAnsi="Arial"/>
          <w:sz w:val="24"/>
          <w:szCs w:val="24"/>
        </w:rPr>
        <w:t xml:space="preserve"> </w:t>
      </w:r>
      <w:r w:rsidRPr="00F976B4">
        <w:rPr>
          <w:rFonts w:ascii="Arial" w:hAnsi="Arial"/>
          <w:sz w:val="24"/>
          <w:szCs w:val="24"/>
        </w:rPr>
        <w:t>the narrative (</w:t>
      </w:r>
      <w:r w:rsidR="00B75508">
        <w:rPr>
          <w:rFonts w:ascii="Arial" w:hAnsi="Arial"/>
          <w:sz w:val="24"/>
          <w:szCs w:val="24"/>
        </w:rPr>
        <w:t>sometimes described</w:t>
      </w:r>
      <w:r w:rsidRPr="00F976B4">
        <w:rPr>
          <w:rFonts w:ascii="Arial" w:hAnsi="Arial"/>
          <w:sz w:val="24"/>
          <w:szCs w:val="24"/>
        </w:rPr>
        <w:t xml:space="preserve"> </w:t>
      </w:r>
      <w:r w:rsidR="00B75508">
        <w:rPr>
          <w:rFonts w:ascii="Arial" w:hAnsi="Arial"/>
          <w:sz w:val="24"/>
          <w:szCs w:val="24"/>
        </w:rPr>
        <w:t>as the “imposing narrator”</w:t>
      </w:r>
      <w:r w:rsidRPr="00F976B4">
        <w:rPr>
          <w:rFonts w:ascii="Arial" w:hAnsi="Arial"/>
          <w:sz w:val="24"/>
          <w:szCs w:val="24"/>
        </w:rPr>
        <w:t>)</w:t>
      </w:r>
      <w:r w:rsidR="00B75508">
        <w:rPr>
          <w:rFonts w:ascii="Arial" w:hAnsi="Arial"/>
          <w:sz w:val="24"/>
          <w:szCs w:val="24"/>
        </w:rPr>
        <w:t>.</w:t>
      </w:r>
      <w:r w:rsidR="004168D9" w:rsidRPr="00F976B4">
        <w:rPr>
          <w:rFonts w:ascii="Arial" w:hAnsi="Arial"/>
          <w:sz w:val="24"/>
          <w:szCs w:val="24"/>
        </w:rPr>
        <w:t xml:space="preserve"> </w:t>
      </w:r>
      <w:r w:rsidR="00C90EDE" w:rsidRPr="00F976B4">
        <w:rPr>
          <w:rFonts w:ascii="Arial" w:hAnsi="Arial"/>
          <w:sz w:val="24"/>
          <w:szCs w:val="24"/>
        </w:rPr>
        <w:t xml:space="preserve">These </w:t>
      </w:r>
      <w:r w:rsidR="004168D9" w:rsidRPr="00F976B4">
        <w:rPr>
          <w:rFonts w:ascii="Arial" w:hAnsi="Arial"/>
          <w:sz w:val="24"/>
          <w:szCs w:val="24"/>
        </w:rPr>
        <w:t>interjection</w:t>
      </w:r>
      <w:r w:rsidR="00C90EDE" w:rsidRPr="00F976B4">
        <w:rPr>
          <w:rFonts w:ascii="Arial" w:hAnsi="Arial"/>
          <w:sz w:val="24"/>
          <w:szCs w:val="24"/>
        </w:rPr>
        <w:t>s are often expressed innocently</w:t>
      </w:r>
      <w:r w:rsidR="004168D9" w:rsidRPr="00F976B4">
        <w:rPr>
          <w:rFonts w:ascii="Arial" w:hAnsi="Arial"/>
          <w:sz w:val="24"/>
          <w:szCs w:val="24"/>
        </w:rPr>
        <w:t>;</w:t>
      </w:r>
      <w:r w:rsidR="00C90EDE" w:rsidRPr="00F976B4">
        <w:rPr>
          <w:rFonts w:ascii="Arial" w:hAnsi="Arial"/>
          <w:sz w:val="24"/>
          <w:szCs w:val="24"/>
        </w:rPr>
        <w:t xml:space="preserve"> the verse does not say anything explicit</w:t>
      </w:r>
      <w:r w:rsidR="004168D9" w:rsidRPr="00F976B4">
        <w:rPr>
          <w:rFonts w:ascii="Arial" w:hAnsi="Arial"/>
          <w:sz w:val="24"/>
          <w:szCs w:val="24"/>
        </w:rPr>
        <w:t>ly</w:t>
      </w:r>
      <w:r w:rsidR="00C90EDE" w:rsidRPr="00F976B4">
        <w:rPr>
          <w:rFonts w:ascii="Arial" w:hAnsi="Arial"/>
          <w:sz w:val="24"/>
          <w:szCs w:val="24"/>
        </w:rPr>
        <w:t xml:space="preserve">, but only tries to give over </w:t>
      </w:r>
      <w:r w:rsidR="004168D9" w:rsidRPr="00F976B4">
        <w:rPr>
          <w:rFonts w:ascii="Arial" w:hAnsi="Arial"/>
          <w:sz w:val="24"/>
          <w:szCs w:val="24"/>
        </w:rPr>
        <w:t xml:space="preserve">some fact or another </w:t>
      </w:r>
      <w:r w:rsidR="00C90EDE" w:rsidRPr="00F976B4">
        <w:rPr>
          <w:rFonts w:ascii="Arial" w:hAnsi="Arial"/>
          <w:sz w:val="24"/>
          <w:szCs w:val="24"/>
        </w:rPr>
        <w:t xml:space="preserve">to the reader </w:t>
      </w:r>
      <w:r w:rsidR="00B75508">
        <w:rPr>
          <w:rFonts w:ascii="Arial" w:hAnsi="Arial"/>
          <w:sz w:val="24"/>
          <w:szCs w:val="24"/>
        </w:rPr>
        <w:t>“</w:t>
      </w:r>
      <w:r w:rsidR="004168D9" w:rsidRPr="00F976B4">
        <w:rPr>
          <w:rFonts w:ascii="Arial" w:hAnsi="Arial"/>
          <w:sz w:val="24"/>
          <w:szCs w:val="24"/>
        </w:rPr>
        <w:t xml:space="preserve">by the </w:t>
      </w:r>
      <w:r w:rsidR="00C90EDE" w:rsidRPr="00F976B4">
        <w:rPr>
          <w:rFonts w:ascii="Arial" w:hAnsi="Arial"/>
          <w:sz w:val="24"/>
          <w:szCs w:val="24"/>
        </w:rPr>
        <w:t>way</w:t>
      </w:r>
      <w:r w:rsidR="004168D9" w:rsidRPr="00F976B4">
        <w:rPr>
          <w:rFonts w:ascii="Arial" w:hAnsi="Arial"/>
          <w:sz w:val="24"/>
          <w:szCs w:val="24"/>
        </w:rPr>
        <w:t>,</w:t>
      </w:r>
      <w:r w:rsidR="00B75508">
        <w:rPr>
          <w:rFonts w:ascii="Arial" w:hAnsi="Arial"/>
          <w:sz w:val="24"/>
          <w:szCs w:val="24"/>
        </w:rPr>
        <w:t>” as it were.</w:t>
      </w:r>
      <w:r w:rsidR="004168D9" w:rsidRPr="00F976B4">
        <w:rPr>
          <w:rFonts w:ascii="Arial" w:hAnsi="Arial"/>
          <w:sz w:val="24"/>
          <w:szCs w:val="24"/>
        </w:rPr>
        <w:t xml:space="preserve"> Nevertheless, the practical effect of </w:t>
      </w:r>
      <w:r w:rsidR="00C90EDE" w:rsidRPr="00F976B4">
        <w:rPr>
          <w:rFonts w:ascii="Arial" w:hAnsi="Arial"/>
          <w:sz w:val="24"/>
          <w:szCs w:val="24"/>
        </w:rPr>
        <w:t>th</w:t>
      </w:r>
      <w:r w:rsidR="004168D9" w:rsidRPr="00F976B4">
        <w:rPr>
          <w:rFonts w:ascii="Arial" w:hAnsi="Arial"/>
          <w:sz w:val="24"/>
          <w:szCs w:val="24"/>
        </w:rPr>
        <w:t xml:space="preserve">is casual disingenuousness, </w:t>
      </w:r>
      <w:r w:rsidR="00C90EDE" w:rsidRPr="00F976B4">
        <w:rPr>
          <w:rFonts w:ascii="Arial" w:hAnsi="Arial"/>
          <w:sz w:val="24"/>
          <w:szCs w:val="24"/>
        </w:rPr>
        <w:t xml:space="preserve">with the help of the location in which the </w:t>
      </w:r>
      <w:r w:rsidR="004168D9" w:rsidRPr="00F976B4">
        <w:rPr>
          <w:rFonts w:ascii="Arial" w:hAnsi="Arial"/>
          <w:sz w:val="24"/>
          <w:szCs w:val="24"/>
        </w:rPr>
        <w:t>detail</w:t>
      </w:r>
      <w:r w:rsidR="00C90EDE" w:rsidRPr="00F976B4">
        <w:rPr>
          <w:rFonts w:ascii="Arial" w:hAnsi="Arial"/>
          <w:sz w:val="24"/>
          <w:szCs w:val="24"/>
        </w:rPr>
        <w:t xml:space="preserve"> is </w:t>
      </w:r>
      <w:r w:rsidR="004168D9" w:rsidRPr="00F976B4">
        <w:rPr>
          <w:rFonts w:ascii="Arial" w:hAnsi="Arial"/>
          <w:sz w:val="24"/>
          <w:szCs w:val="24"/>
        </w:rPr>
        <w:t>inserted</w:t>
      </w:r>
      <w:r w:rsidR="00C90EDE" w:rsidRPr="00F976B4">
        <w:rPr>
          <w:rFonts w:ascii="Arial" w:hAnsi="Arial"/>
          <w:sz w:val="24"/>
          <w:szCs w:val="24"/>
        </w:rPr>
        <w:t xml:space="preserve">, </w:t>
      </w:r>
      <w:r w:rsidR="004168D9" w:rsidRPr="00F976B4">
        <w:rPr>
          <w:rFonts w:ascii="Arial" w:hAnsi="Arial"/>
          <w:sz w:val="24"/>
          <w:szCs w:val="24"/>
        </w:rPr>
        <w:t xml:space="preserve">is to present </w:t>
      </w:r>
      <w:r w:rsidR="00C90EDE" w:rsidRPr="00F976B4">
        <w:rPr>
          <w:rFonts w:ascii="Arial" w:hAnsi="Arial"/>
          <w:sz w:val="24"/>
          <w:szCs w:val="24"/>
        </w:rPr>
        <w:t>a hidden meaning of the events</w:t>
      </w:r>
      <w:r w:rsidR="00B75508">
        <w:rPr>
          <w:rFonts w:ascii="Arial" w:hAnsi="Arial"/>
          <w:sz w:val="24"/>
          <w:szCs w:val="24"/>
        </w:rPr>
        <w:t>.</w:t>
      </w:r>
      <w:r w:rsidR="004168D9" w:rsidRPr="00F976B4">
        <w:rPr>
          <w:rFonts w:ascii="Arial" w:hAnsi="Arial"/>
          <w:sz w:val="24"/>
          <w:szCs w:val="24"/>
        </w:rPr>
        <w:t xml:space="preserve"> </w:t>
      </w:r>
      <w:r w:rsidR="00C90EDE" w:rsidRPr="00F976B4">
        <w:rPr>
          <w:rFonts w:ascii="Arial" w:hAnsi="Arial"/>
          <w:sz w:val="24"/>
          <w:szCs w:val="24"/>
        </w:rPr>
        <w:t xml:space="preserve">We will demonstrate an </w:t>
      </w:r>
      <w:r w:rsidR="004168D9" w:rsidRPr="00F976B4">
        <w:rPr>
          <w:rFonts w:ascii="Arial" w:hAnsi="Arial"/>
          <w:sz w:val="24"/>
          <w:szCs w:val="24"/>
        </w:rPr>
        <w:t>interjection</w:t>
      </w:r>
      <w:r w:rsidR="00C90EDE" w:rsidRPr="00F976B4">
        <w:rPr>
          <w:rFonts w:ascii="Arial" w:hAnsi="Arial"/>
          <w:sz w:val="24"/>
          <w:szCs w:val="24"/>
        </w:rPr>
        <w:t xml:space="preserve"> such as this with the description of the complaint of the </w:t>
      </w:r>
      <w:r w:rsidR="00451B7A" w:rsidRPr="00F976B4">
        <w:rPr>
          <w:rFonts w:ascii="Arial" w:hAnsi="Arial"/>
          <w:i/>
          <w:iCs/>
          <w:sz w:val="24"/>
          <w:szCs w:val="24"/>
        </w:rPr>
        <w:t>Mitavim</w:t>
      </w:r>
      <w:r w:rsidR="004168D9" w:rsidRPr="00F976B4">
        <w:rPr>
          <w:rFonts w:ascii="Arial" w:hAnsi="Arial"/>
          <w:i/>
          <w:iCs/>
          <w:sz w:val="24"/>
          <w:szCs w:val="24"/>
        </w:rPr>
        <w:t xml:space="preserve">, </w:t>
      </w:r>
      <w:r w:rsidR="004168D9" w:rsidRPr="00F976B4">
        <w:rPr>
          <w:rFonts w:ascii="Arial" w:hAnsi="Arial"/>
          <w:sz w:val="24"/>
          <w:szCs w:val="24"/>
        </w:rPr>
        <w:t>those who desire</w:t>
      </w:r>
      <w:r w:rsidR="00B75508">
        <w:rPr>
          <w:rFonts w:ascii="Arial" w:hAnsi="Arial"/>
          <w:sz w:val="24"/>
          <w:szCs w:val="24"/>
        </w:rPr>
        <w:t>d</w:t>
      </w:r>
      <w:r w:rsidR="004168D9" w:rsidRPr="00F976B4">
        <w:rPr>
          <w:rFonts w:ascii="Arial" w:hAnsi="Arial"/>
          <w:sz w:val="24"/>
          <w:szCs w:val="24"/>
        </w:rPr>
        <w:t xml:space="preserve"> meat</w:t>
      </w:r>
      <w:r w:rsidR="00B75508">
        <w:rPr>
          <w:rFonts w:ascii="Arial" w:hAnsi="Arial"/>
          <w:sz w:val="24"/>
          <w:szCs w:val="24"/>
        </w:rPr>
        <w:t xml:space="preserve"> in the desert</w:t>
      </w:r>
      <w:r w:rsidR="00C90EDE" w:rsidRPr="00F976B4">
        <w:rPr>
          <w:rFonts w:ascii="Arial" w:hAnsi="Arial"/>
          <w:sz w:val="24"/>
          <w:szCs w:val="24"/>
        </w:rPr>
        <w:t xml:space="preserve"> (</w:t>
      </w:r>
      <w:r w:rsidR="00C90EDE" w:rsidRPr="00B75508">
        <w:rPr>
          <w:rFonts w:ascii="Arial" w:hAnsi="Arial"/>
          <w:i/>
          <w:iCs/>
          <w:sz w:val="24"/>
          <w:szCs w:val="24"/>
        </w:rPr>
        <w:t>Bamidbar</w:t>
      </w:r>
      <w:r w:rsidR="00B75508">
        <w:rPr>
          <w:rFonts w:ascii="Arial" w:hAnsi="Arial"/>
          <w:sz w:val="24"/>
          <w:szCs w:val="24"/>
        </w:rPr>
        <w:t>, c</w:t>
      </w:r>
      <w:r w:rsidR="00C90EDE" w:rsidRPr="00F976B4">
        <w:rPr>
          <w:rFonts w:ascii="Arial" w:hAnsi="Arial"/>
          <w:sz w:val="24"/>
          <w:szCs w:val="24"/>
        </w:rPr>
        <w:t>hapter 11)</w:t>
      </w:r>
      <w:r w:rsidR="00B75508">
        <w:rPr>
          <w:rFonts w:ascii="Arial" w:hAnsi="Arial"/>
          <w:sz w:val="24"/>
          <w:szCs w:val="24"/>
        </w:rPr>
        <w:t>.</w:t>
      </w:r>
      <w:r w:rsidR="004168D9" w:rsidRPr="00F976B4">
        <w:rPr>
          <w:rFonts w:ascii="Arial" w:hAnsi="Arial"/>
          <w:sz w:val="24"/>
          <w:szCs w:val="24"/>
        </w:rPr>
        <w:t xml:space="preserve"> </w:t>
      </w:r>
      <w:r w:rsidR="00C90EDE" w:rsidRPr="00F976B4">
        <w:rPr>
          <w:rFonts w:ascii="Arial" w:hAnsi="Arial"/>
          <w:sz w:val="24"/>
          <w:szCs w:val="24"/>
        </w:rPr>
        <w:t>The Israelites’ complain</w:t>
      </w:r>
      <w:r w:rsidR="004168D9" w:rsidRPr="00F976B4">
        <w:rPr>
          <w:rFonts w:ascii="Arial" w:hAnsi="Arial"/>
          <w:sz w:val="24"/>
          <w:szCs w:val="24"/>
        </w:rPr>
        <w:t>t</w:t>
      </w:r>
      <w:r w:rsidR="00C90EDE" w:rsidRPr="00F976B4">
        <w:rPr>
          <w:rFonts w:ascii="Arial" w:hAnsi="Arial"/>
          <w:sz w:val="24"/>
          <w:szCs w:val="24"/>
        </w:rPr>
        <w:t xml:space="preserve"> is describe</w:t>
      </w:r>
      <w:r w:rsidR="004168D9" w:rsidRPr="00F976B4">
        <w:rPr>
          <w:rFonts w:ascii="Arial" w:hAnsi="Arial"/>
          <w:sz w:val="24"/>
          <w:szCs w:val="24"/>
        </w:rPr>
        <w:t>d</w:t>
      </w:r>
      <w:r w:rsidR="00C90EDE" w:rsidRPr="00F976B4">
        <w:rPr>
          <w:rFonts w:ascii="Arial" w:hAnsi="Arial"/>
          <w:sz w:val="24"/>
          <w:szCs w:val="24"/>
        </w:rPr>
        <w:t xml:space="preserve"> in the following way (vv</w:t>
      </w:r>
      <w:r w:rsidR="004168D9" w:rsidRPr="00F976B4">
        <w:rPr>
          <w:rFonts w:ascii="Arial" w:hAnsi="Arial"/>
          <w:sz w:val="24"/>
          <w:szCs w:val="24"/>
        </w:rPr>
        <w:t xml:space="preserve">. </w:t>
      </w:r>
      <w:r w:rsidR="00C90EDE" w:rsidRPr="00F976B4">
        <w:rPr>
          <w:rFonts w:ascii="Arial" w:hAnsi="Arial"/>
          <w:sz w:val="24"/>
          <w:szCs w:val="24"/>
        </w:rPr>
        <w:t xml:space="preserve">4-6): </w:t>
      </w:r>
    </w:p>
    <w:p w:rsidR="00D75DDB" w:rsidRPr="00F976B4" w:rsidRDefault="00CE372B" w:rsidP="004C2C25">
      <w:pPr>
        <w:bidi w:val="0"/>
        <w:ind w:left="720" w:firstLine="0"/>
        <w:jc w:val="both"/>
        <w:rPr>
          <w:rFonts w:ascii="Arial" w:hAnsi="Arial"/>
          <w:sz w:val="24"/>
          <w:szCs w:val="24"/>
        </w:rPr>
      </w:pPr>
      <w:r w:rsidRPr="00F976B4">
        <w:rPr>
          <w:rFonts w:ascii="Arial" w:hAnsi="Arial"/>
          <w:sz w:val="24"/>
          <w:szCs w:val="24"/>
        </w:rPr>
        <w:t xml:space="preserve"> </w:t>
      </w:r>
    </w:p>
    <w:p w:rsidR="00260D34" w:rsidRPr="00F976B4" w:rsidRDefault="00835481" w:rsidP="004C2C25">
      <w:pPr>
        <w:pStyle w:val="npst"/>
        <w:spacing w:before="0" w:beforeAutospacing="0" w:after="0" w:afterAutospacing="0"/>
        <w:ind w:left="720"/>
        <w:jc w:val="both"/>
        <w:rPr>
          <w:rFonts w:ascii="Arial" w:hAnsi="Arial" w:cs="Arial"/>
        </w:rPr>
      </w:pPr>
      <w:r w:rsidRPr="00F976B4">
        <w:rPr>
          <w:rFonts w:ascii="Arial" w:hAnsi="Arial" w:cs="Arial"/>
        </w:rPr>
        <w:t xml:space="preserve">And the rabble in their midst had a great desire, and </w:t>
      </w:r>
      <w:r w:rsidR="00260D34" w:rsidRPr="00F976B4">
        <w:rPr>
          <w:rFonts w:ascii="Arial" w:hAnsi="Arial" w:cs="Arial"/>
        </w:rPr>
        <w:t xml:space="preserve">the Israelites </w:t>
      </w:r>
      <w:r w:rsidR="004168D9" w:rsidRPr="00F976B4">
        <w:rPr>
          <w:rFonts w:ascii="Arial" w:hAnsi="Arial" w:cs="Arial"/>
        </w:rPr>
        <w:t>came back and cried; th</w:t>
      </w:r>
      <w:r w:rsidRPr="00F976B4">
        <w:rPr>
          <w:rFonts w:ascii="Arial" w:hAnsi="Arial" w:cs="Arial"/>
        </w:rPr>
        <w:t xml:space="preserve">ey </w:t>
      </w:r>
      <w:r w:rsidR="00260D34" w:rsidRPr="00F976B4">
        <w:rPr>
          <w:rFonts w:ascii="Arial" w:hAnsi="Arial" w:cs="Arial"/>
        </w:rPr>
        <w:t xml:space="preserve">said, “If only we had meat to eat! </w:t>
      </w:r>
      <w:r w:rsidR="00451B7A" w:rsidRPr="00F976B4">
        <w:rPr>
          <w:rFonts w:ascii="Arial" w:hAnsi="Arial" w:cs="Arial"/>
        </w:rPr>
        <w:t xml:space="preserve"> </w:t>
      </w:r>
      <w:r w:rsidR="00260D34" w:rsidRPr="00F976B4">
        <w:rPr>
          <w:rFonts w:ascii="Arial" w:hAnsi="Arial" w:cs="Arial"/>
        </w:rPr>
        <w:t>We remember the fish we ate in Egyp</w:t>
      </w:r>
      <w:r w:rsidR="00363F85" w:rsidRPr="00F976B4">
        <w:rPr>
          <w:rFonts w:ascii="Arial" w:hAnsi="Arial" w:cs="Arial"/>
        </w:rPr>
        <w:t>t at no cost</w:t>
      </w:r>
      <w:r w:rsidR="00B75508">
        <w:rPr>
          <w:rFonts w:ascii="Arial" w:hAnsi="Arial" w:cs="Arial"/>
        </w:rPr>
        <w:t>,</w:t>
      </w:r>
      <w:r w:rsidR="00451B7A" w:rsidRPr="00F976B4">
        <w:rPr>
          <w:rFonts w:ascii="Arial" w:hAnsi="Arial" w:cs="Arial"/>
        </w:rPr>
        <w:t xml:space="preserve"> </w:t>
      </w:r>
      <w:r w:rsidR="00363F85" w:rsidRPr="00F976B4">
        <w:rPr>
          <w:rFonts w:ascii="Arial" w:hAnsi="Arial" w:cs="Arial"/>
        </w:rPr>
        <w:t>a</w:t>
      </w:r>
      <w:r w:rsidR="00451B7A" w:rsidRPr="00F976B4">
        <w:rPr>
          <w:rFonts w:ascii="Arial" w:hAnsi="Arial" w:cs="Arial"/>
        </w:rPr>
        <w:t>s well as</w:t>
      </w:r>
      <w:r w:rsidR="00363F85" w:rsidRPr="00F976B4">
        <w:rPr>
          <w:rFonts w:ascii="Arial" w:hAnsi="Arial" w:cs="Arial"/>
        </w:rPr>
        <w:t xml:space="preserve"> the cucumbers and the melons and the</w:t>
      </w:r>
      <w:r w:rsidR="00260D34" w:rsidRPr="00F976B4">
        <w:rPr>
          <w:rFonts w:ascii="Arial" w:hAnsi="Arial" w:cs="Arial"/>
        </w:rPr>
        <w:t xml:space="preserve"> leeks</w:t>
      </w:r>
      <w:r w:rsidR="00363F85" w:rsidRPr="00F976B4">
        <w:rPr>
          <w:rFonts w:ascii="Arial" w:hAnsi="Arial" w:cs="Arial"/>
        </w:rPr>
        <w:t xml:space="preserve"> and the</w:t>
      </w:r>
      <w:r w:rsidR="00260D34" w:rsidRPr="00F976B4">
        <w:rPr>
          <w:rFonts w:ascii="Arial" w:hAnsi="Arial" w:cs="Arial"/>
        </w:rPr>
        <w:t xml:space="preserve"> onions and </w:t>
      </w:r>
      <w:r w:rsidR="00363F85" w:rsidRPr="00F976B4">
        <w:rPr>
          <w:rFonts w:ascii="Arial" w:hAnsi="Arial" w:cs="Arial"/>
        </w:rPr>
        <w:t xml:space="preserve">the </w:t>
      </w:r>
      <w:r w:rsidR="00260D34" w:rsidRPr="00F976B4">
        <w:rPr>
          <w:rFonts w:ascii="Arial" w:hAnsi="Arial" w:cs="Arial"/>
        </w:rPr>
        <w:t>garlic</w:t>
      </w:r>
      <w:r w:rsidR="004168D9" w:rsidRPr="00F976B4">
        <w:rPr>
          <w:rFonts w:ascii="Arial" w:hAnsi="Arial" w:cs="Arial"/>
        </w:rPr>
        <w:t xml:space="preserve">.  </w:t>
      </w:r>
      <w:r w:rsidR="00260D34" w:rsidRPr="00F976B4">
        <w:rPr>
          <w:rFonts w:ascii="Arial" w:hAnsi="Arial" w:cs="Arial"/>
        </w:rPr>
        <w:t xml:space="preserve">But now </w:t>
      </w:r>
      <w:r w:rsidR="00BB372E" w:rsidRPr="00F976B4">
        <w:rPr>
          <w:rFonts w:ascii="Arial" w:hAnsi="Arial" w:cs="Arial"/>
        </w:rPr>
        <w:t xml:space="preserve">our soul is </w:t>
      </w:r>
      <w:r w:rsidR="00451B7A" w:rsidRPr="00F976B4">
        <w:rPr>
          <w:rFonts w:ascii="Arial" w:hAnsi="Arial" w:cs="Arial"/>
        </w:rPr>
        <w:t>dry</w:t>
      </w:r>
      <w:r w:rsidR="00260D34" w:rsidRPr="00F976B4">
        <w:rPr>
          <w:rFonts w:ascii="Arial" w:hAnsi="Arial" w:cs="Arial"/>
        </w:rPr>
        <w:t xml:space="preserve">; </w:t>
      </w:r>
      <w:r w:rsidR="00BB372E" w:rsidRPr="00F976B4">
        <w:rPr>
          <w:rFonts w:ascii="Arial" w:hAnsi="Arial" w:cs="Arial"/>
        </w:rPr>
        <w:t>there is nothing for our eyes but the manna</w:t>
      </w:r>
      <w:r w:rsidR="00260D34" w:rsidRPr="00F976B4">
        <w:rPr>
          <w:rFonts w:ascii="Arial" w:hAnsi="Arial" w:cs="Arial"/>
        </w:rPr>
        <w:t xml:space="preserve">!” </w:t>
      </w:r>
    </w:p>
    <w:p w:rsidR="00DC2771" w:rsidRPr="00F976B4" w:rsidRDefault="00DC2771" w:rsidP="004C2C25">
      <w:pPr>
        <w:pStyle w:val="npst"/>
        <w:spacing w:before="0" w:beforeAutospacing="0" w:after="0" w:afterAutospacing="0"/>
        <w:ind w:left="720"/>
        <w:jc w:val="both"/>
        <w:rPr>
          <w:rFonts w:ascii="Arial" w:hAnsi="Arial" w:cs="Arial"/>
        </w:rPr>
      </w:pPr>
    </w:p>
    <w:p w:rsidR="00363F85" w:rsidRPr="00F976B4" w:rsidRDefault="00B75508" w:rsidP="004C2C25">
      <w:pPr>
        <w:bidi w:val="0"/>
        <w:ind w:firstLine="720"/>
        <w:jc w:val="both"/>
        <w:rPr>
          <w:rFonts w:ascii="Arial" w:hAnsi="Arial"/>
          <w:sz w:val="24"/>
          <w:szCs w:val="24"/>
        </w:rPr>
      </w:pPr>
      <w:r>
        <w:rPr>
          <w:rFonts w:ascii="Arial" w:hAnsi="Arial"/>
          <w:sz w:val="24"/>
          <w:szCs w:val="24"/>
        </w:rPr>
        <w:t>C</w:t>
      </w:r>
      <w:r w:rsidR="00DC2771" w:rsidRPr="00F976B4">
        <w:rPr>
          <w:rFonts w:ascii="Arial" w:hAnsi="Arial"/>
          <w:sz w:val="24"/>
          <w:szCs w:val="24"/>
        </w:rPr>
        <w:t xml:space="preserve">riticism of the </w:t>
      </w:r>
      <w:r w:rsidR="00451B7A" w:rsidRPr="00F976B4">
        <w:rPr>
          <w:rFonts w:ascii="Arial" w:hAnsi="Arial"/>
          <w:i/>
          <w:sz w:val="24"/>
          <w:szCs w:val="24"/>
        </w:rPr>
        <w:t>Mitavim</w:t>
      </w:r>
      <w:r w:rsidR="00DC2771" w:rsidRPr="00F976B4">
        <w:rPr>
          <w:rFonts w:ascii="Arial" w:hAnsi="Arial"/>
          <w:sz w:val="24"/>
          <w:szCs w:val="24"/>
        </w:rPr>
        <w:t xml:space="preserve"> </w:t>
      </w:r>
      <w:r w:rsidR="00835481" w:rsidRPr="00F976B4">
        <w:rPr>
          <w:rFonts w:ascii="Arial" w:hAnsi="Arial"/>
          <w:sz w:val="24"/>
          <w:szCs w:val="24"/>
        </w:rPr>
        <w:t>is already clear at</w:t>
      </w:r>
      <w:r>
        <w:rPr>
          <w:rFonts w:ascii="Arial" w:hAnsi="Arial"/>
          <w:sz w:val="24"/>
          <w:szCs w:val="24"/>
        </w:rPr>
        <w:t xml:space="preserve"> the beginning of the complaint;</w:t>
      </w:r>
      <w:r w:rsidR="00835481" w:rsidRPr="00F976B4">
        <w:rPr>
          <w:rFonts w:ascii="Arial" w:hAnsi="Arial"/>
          <w:sz w:val="24"/>
          <w:szCs w:val="24"/>
        </w:rPr>
        <w:t xml:space="preserve"> the verse describes this complaint as stemming from the desire</w:t>
      </w:r>
      <w:r w:rsidR="00451B7A" w:rsidRPr="00F976B4">
        <w:rPr>
          <w:rFonts w:ascii="Arial" w:hAnsi="Arial"/>
          <w:sz w:val="24"/>
          <w:szCs w:val="24"/>
        </w:rPr>
        <w:t xml:space="preserve"> of “the rabble in their midst</w:t>
      </w:r>
      <w:r>
        <w:rPr>
          <w:rFonts w:ascii="Arial" w:hAnsi="Arial"/>
          <w:sz w:val="24"/>
          <w:szCs w:val="24"/>
        </w:rPr>
        <w:t>,”</w:t>
      </w:r>
      <w:r w:rsidR="00835481" w:rsidRPr="00F976B4">
        <w:rPr>
          <w:rFonts w:ascii="Arial" w:hAnsi="Arial"/>
          <w:sz w:val="24"/>
          <w:szCs w:val="24"/>
        </w:rPr>
        <w:t xml:space="preserve"> and the Israelites </w:t>
      </w:r>
      <w:r w:rsidR="00451B7A" w:rsidRPr="00F976B4">
        <w:rPr>
          <w:rFonts w:ascii="Arial" w:hAnsi="Arial"/>
          <w:sz w:val="24"/>
          <w:szCs w:val="24"/>
        </w:rPr>
        <w:t xml:space="preserve">either </w:t>
      </w:r>
      <w:r w:rsidR="00835481" w:rsidRPr="00F976B4">
        <w:rPr>
          <w:rFonts w:ascii="Arial" w:hAnsi="Arial"/>
          <w:sz w:val="24"/>
          <w:szCs w:val="24"/>
        </w:rPr>
        <w:t xml:space="preserve">join or are dragged </w:t>
      </w:r>
      <w:r w:rsidR="00451B7A" w:rsidRPr="00F976B4">
        <w:rPr>
          <w:rFonts w:ascii="Arial" w:hAnsi="Arial"/>
          <w:sz w:val="24"/>
          <w:szCs w:val="24"/>
        </w:rPr>
        <w:t xml:space="preserve">into </w:t>
      </w:r>
      <w:r w:rsidR="00835481" w:rsidRPr="00F976B4">
        <w:rPr>
          <w:rFonts w:ascii="Arial" w:hAnsi="Arial"/>
          <w:sz w:val="24"/>
          <w:szCs w:val="24"/>
        </w:rPr>
        <w:t>(“they c</w:t>
      </w:r>
      <w:r w:rsidR="00451B7A" w:rsidRPr="00F976B4">
        <w:rPr>
          <w:rFonts w:ascii="Arial" w:hAnsi="Arial"/>
          <w:sz w:val="24"/>
          <w:szCs w:val="24"/>
        </w:rPr>
        <w:t>ame back</w:t>
      </w:r>
      <w:r w:rsidR="00835481" w:rsidRPr="00F976B4">
        <w:rPr>
          <w:rFonts w:ascii="Arial" w:hAnsi="Arial"/>
          <w:sz w:val="24"/>
          <w:szCs w:val="24"/>
        </w:rPr>
        <w:t>”) this complaint.</w:t>
      </w:r>
      <w:r w:rsidR="00835481" w:rsidRPr="00B75508">
        <w:rPr>
          <w:rStyle w:val="FootnoteCharacters"/>
          <w:rFonts w:ascii="Arial" w:hAnsi="Arial" w:cs="Arial"/>
          <w:sz w:val="24"/>
          <w:szCs w:val="24"/>
          <w:vertAlign w:val="superscript"/>
        </w:rPr>
        <w:footnoteReference w:id="1"/>
      </w:r>
      <w:r w:rsidR="00451B7A" w:rsidRPr="00F976B4">
        <w:rPr>
          <w:rFonts w:ascii="Arial" w:hAnsi="Arial"/>
          <w:sz w:val="24"/>
          <w:szCs w:val="24"/>
        </w:rPr>
        <w:t xml:space="preserve"> </w:t>
      </w:r>
      <w:r w:rsidR="00835481" w:rsidRPr="00F976B4">
        <w:rPr>
          <w:rFonts w:ascii="Arial" w:hAnsi="Arial"/>
          <w:sz w:val="24"/>
          <w:szCs w:val="24"/>
        </w:rPr>
        <w:t xml:space="preserve">The irony with which </w:t>
      </w:r>
      <w:r w:rsidR="001B0460" w:rsidRPr="00F976B4">
        <w:rPr>
          <w:rFonts w:ascii="Arial" w:hAnsi="Arial"/>
          <w:sz w:val="24"/>
          <w:szCs w:val="24"/>
        </w:rPr>
        <w:t xml:space="preserve">the </w:t>
      </w:r>
      <w:r w:rsidR="00451B7A" w:rsidRPr="00F976B4">
        <w:rPr>
          <w:rFonts w:ascii="Arial" w:hAnsi="Arial"/>
          <w:i/>
          <w:sz w:val="24"/>
          <w:szCs w:val="24"/>
        </w:rPr>
        <w:t>Mitavim</w:t>
      </w:r>
      <w:r w:rsidR="001B0460" w:rsidRPr="00F976B4">
        <w:rPr>
          <w:rFonts w:ascii="Arial" w:hAnsi="Arial"/>
          <w:sz w:val="24"/>
          <w:szCs w:val="24"/>
        </w:rPr>
        <w:t xml:space="preserve"> are presented is </w:t>
      </w:r>
      <w:r w:rsidR="00451B7A" w:rsidRPr="00F976B4">
        <w:rPr>
          <w:rFonts w:ascii="Arial" w:hAnsi="Arial"/>
          <w:sz w:val="24"/>
          <w:szCs w:val="24"/>
        </w:rPr>
        <w:t>clear</w:t>
      </w:r>
      <w:r w:rsidR="001B0460" w:rsidRPr="00F976B4">
        <w:rPr>
          <w:rFonts w:ascii="Arial" w:hAnsi="Arial"/>
          <w:sz w:val="24"/>
          <w:szCs w:val="24"/>
        </w:rPr>
        <w:t xml:space="preserve"> in the gap between the content of their request and their recollection of Egypt: they ask </w:t>
      </w:r>
      <w:r w:rsidR="001B0460" w:rsidRPr="00F976B4">
        <w:rPr>
          <w:rFonts w:ascii="Arial" w:hAnsi="Arial"/>
          <w:sz w:val="24"/>
          <w:szCs w:val="24"/>
        </w:rPr>
        <w:lastRenderedPageBreak/>
        <w:t xml:space="preserve">for meat, but </w:t>
      </w:r>
      <w:r w:rsidR="00451B7A" w:rsidRPr="00F976B4">
        <w:rPr>
          <w:rFonts w:ascii="Arial" w:hAnsi="Arial"/>
          <w:sz w:val="24"/>
          <w:szCs w:val="24"/>
        </w:rPr>
        <w:t>by their own admission</w:t>
      </w:r>
      <w:r>
        <w:rPr>
          <w:rFonts w:ascii="Arial" w:hAnsi="Arial"/>
          <w:sz w:val="24"/>
          <w:szCs w:val="24"/>
        </w:rPr>
        <w:t>,</w:t>
      </w:r>
      <w:r w:rsidR="00451B7A" w:rsidRPr="00F976B4">
        <w:rPr>
          <w:rFonts w:ascii="Arial" w:hAnsi="Arial"/>
          <w:sz w:val="24"/>
          <w:szCs w:val="24"/>
        </w:rPr>
        <w:t xml:space="preserve"> there w</w:t>
      </w:r>
      <w:r w:rsidR="001B0460" w:rsidRPr="00F976B4">
        <w:rPr>
          <w:rFonts w:ascii="Arial" w:hAnsi="Arial"/>
          <w:sz w:val="24"/>
          <w:szCs w:val="24"/>
        </w:rPr>
        <w:t>as no meat in Egypt, but only fish and vegetables</w:t>
      </w:r>
      <w:r w:rsidR="004168D9" w:rsidRPr="00F976B4">
        <w:rPr>
          <w:rFonts w:ascii="Arial" w:hAnsi="Arial"/>
          <w:sz w:val="24"/>
          <w:szCs w:val="24"/>
        </w:rPr>
        <w:t xml:space="preserve">. </w:t>
      </w:r>
      <w:r>
        <w:rPr>
          <w:rFonts w:ascii="Arial" w:hAnsi="Arial"/>
          <w:sz w:val="24"/>
          <w:szCs w:val="24"/>
        </w:rPr>
        <w:t>Moreover,</w:t>
      </w:r>
      <w:r w:rsidR="00363F85" w:rsidRPr="00F976B4">
        <w:rPr>
          <w:rFonts w:ascii="Arial" w:hAnsi="Arial"/>
          <w:sz w:val="24"/>
          <w:szCs w:val="24"/>
        </w:rPr>
        <w:t xml:space="preserve"> the </w:t>
      </w:r>
      <w:r>
        <w:rPr>
          <w:rFonts w:ascii="Arial" w:hAnsi="Arial"/>
          <w:sz w:val="24"/>
          <w:szCs w:val="24"/>
        </w:rPr>
        <w:t>reference to</w:t>
      </w:r>
      <w:r w:rsidR="00363F85" w:rsidRPr="00F976B4">
        <w:rPr>
          <w:rFonts w:ascii="Arial" w:hAnsi="Arial"/>
          <w:sz w:val="24"/>
          <w:szCs w:val="24"/>
        </w:rPr>
        <w:t xml:space="preserve"> “at no cost” for a nation enslaved in Egypt is</w:t>
      </w:r>
      <w:r>
        <w:rPr>
          <w:rFonts w:ascii="Arial" w:hAnsi="Arial"/>
          <w:sz w:val="24"/>
          <w:szCs w:val="24"/>
        </w:rPr>
        <w:t xml:space="preserve"> obviously</w:t>
      </w:r>
      <w:r w:rsidR="00363F85" w:rsidRPr="00F976B4">
        <w:rPr>
          <w:rFonts w:ascii="Arial" w:hAnsi="Arial"/>
          <w:sz w:val="24"/>
          <w:szCs w:val="24"/>
        </w:rPr>
        <w:t xml:space="preserve"> a somewhat bizarre </w:t>
      </w:r>
      <w:r w:rsidR="00451B7A" w:rsidRPr="00F976B4">
        <w:rPr>
          <w:rFonts w:ascii="Arial" w:hAnsi="Arial"/>
          <w:sz w:val="24"/>
          <w:szCs w:val="24"/>
        </w:rPr>
        <w:t>turn of phrase</w:t>
      </w:r>
      <w:r>
        <w:rPr>
          <w:rFonts w:ascii="Arial" w:hAnsi="Arial"/>
          <w:sz w:val="24"/>
          <w:szCs w:val="24"/>
        </w:rPr>
        <w:t>. T</w:t>
      </w:r>
      <w:r w:rsidR="00451B7A" w:rsidRPr="00F976B4">
        <w:rPr>
          <w:rFonts w:ascii="Arial" w:hAnsi="Arial"/>
          <w:sz w:val="24"/>
          <w:szCs w:val="24"/>
        </w:rPr>
        <w:t xml:space="preserve">he irony continues </w:t>
      </w:r>
      <w:r w:rsidR="00363F85" w:rsidRPr="00F976B4">
        <w:rPr>
          <w:rFonts w:ascii="Arial" w:hAnsi="Arial"/>
          <w:sz w:val="24"/>
          <w:szCs w:val="24"/>
        </w:rPr>
        <w:t>through the detailed list of the menu that the Israelites were offered in Egypt</w:t>
      </w:r>
      <w:r w:rsidR="004168D9" w:rsidRPr="00F976B4">
        <w:rPr>
          <w:rFonts w:ascii="Arial" w:hAnsi="Arial"/>
          <w:sz w:val="24"/>
          <w:szCs w:val="24"/>
        </w:rPr>
        <w:t xml:space="preserve">.  </w:t>
      </w:r>
      <w:r w:rsidR="00363F85" w:rsidRPr="00F976B4">
        <w:rPr>
          <w:rFonts w:ascii="Arial" w:hAnsi="Arial"/>
          <w:sz w:val="24"/>
          <w:szCs w:val="24"/>
        </w:rPr>
        <w:t>The very length of the list (noticeable because of the anaphora of the word “</w:t>
      </w:r>
      <w:r w:rsidR="00363F85" w:rsidRPr="00F976B4">
        <w:rPr>
          <w:rFonts w:ascii="Arial" w:hAnsi="Arial"/>
          <w:i/>
          <w:iCs/>
          <w:sz w:val="24"/>
          <w:szCs w:val="24"/>
        </w:rPr>
        <w:t>et</w:t>
      </w:r>
      <w:r w:rsidR="00363F85" w:rsidRPr="00F976B4">
        <w:rPr>
          <w:rFonts w:ascii="Arial" w:hAnsi="Arial"/>
          <w:sz w:val="24"/>
          <w:szCs w:val="24"/>
        </w:rPr>
        <w:t xml:space="preserve">” before each of the items) gives the feeling of an exaggerated </w:t>
      </w:r>
      <w:r w:rsidR="00741978" w:rsidRPr="00F976B4">
        <w:rPr>
          <w:rFonts w:ascii="Arial" w:hAnsi="Arial"/>
          <w:sz w:val="24"/>
          <w:szCs w:val="24"/>
        </w:rPr>
        <w:t>restaurant</w:t>
      </w:r>
      <w:r w:rsidR="00363F85" w:rsidRPr="00F976B4">
        <w:rPr>
          <w:rFonts w:ascii="Arial" w:hAnsi="Arial"/>
          <w:sz w:val="24"/>
          <w:szCs w:val="24"/>
        </w:rPr>
        <w:t xml:space="preserve"> menu</w:t>
      </w:r>
      <w:r>
        <w:rPr>
          <w:rFonts w:ascii="Arial" w:hAnsi="Arial"/>
          <w:sz w:val="24"/>
          <w:szCs w:val="24"/>
        </w:rPr>
        <w:t>.</w:t>
      </w:r>
      <w:r w:rsidR="00451B7A" w:rsidRPr="00F976B4">
        <w:rPr>
          <w:rFonts w:ascii="Arial" w:hAnsi="Arial"/>
          <w:sz w:val="24"/>
          <w:szCs w:val="24"/>
        </w:rPr>
        <w:t xml:space="preserve"> </w:t>
      </w:r>
      <w:r>
        <w:rPr>
          <w:rFonts w:ascii="Arial" w:hAnsi="Arial"/>
          <w:sz w:val="24"/>
          <w:szCs w:val="24"/>
        </w:rPr>
        <w:t>I</w:t>
      </w:r>
      <w:r w:rsidR="00451B7A" w:rsidRPr="00F976B4">
        <w:rPr>
          <w:rFonts w:ascii="Arial" w:hAnsi="Arial"/>
          <w:sz w:val="24"/>
          <w:szCs w:val="24"/>
        </w:rPr>
        <w:t>ndeed,</w:t>
      </w:r>
      <w:r w:rsidR="00363F85" w:rsidRPr="00F976B4">
        <w:rPr>
          <w:rFonts w:ascii="Arial" w:hAnsi="Arial"/>
          <w:sz w:val="24"/>
          <w:szCs w:val="24"/>
        </w:rPr>
        <w:t xml:space="preserve"> </w:t>
      </w:r>
      <w:r w:rsidR="00451B7A" w:rsidRPr="00F976B4">
        <w:rPr>
          <w:rFonts w:ascii="Arial" w:hAnsi="Arial"/>
          <w:sz w:val="24"/>
          <w:szCs w:val="24"/>
        </w:rPr>
        <w:t>t</w:t>
      </w:r>
      <w:r w:rsidR="00363F85" w:rsidRPr="00F976B4">
        <w:rPr>
          <w:rFonts w:ascii="Arial" w:hAnsi="Arial"/>
          <w:sz w:val="24"/>
          <w:szCs w:val="24"/>
        </w:rPr>
        <w:t>h</w:t>
      </w:r>
      <w:r w:rsidR="00451B7A" w:rsidRPr="00F976B4">
        <w:rPr>
          <w:rFonts w:ascii="Arial" w:hAnsi="Arial"/>
          <w:sz w:val="24"/>
          <w:szCs w:val="24"/>
        </w:rPr>
        <w:t>e</w:t>
      </w:r>
      <w:r>
        <w:rPr>
          <w:rFonts w:ascii="Arial" w:hAnsi="Arial"/>
          <w:sz w:val="24"/>
          <w:szCs w:val="24"/>
        </w:rPr>
        <w:t xml:space="preserve"> content is very surprising;</w:t>
      </w:r>
      <w:r w:rsidR="00363F85" w:rsidRPr="00F976B4">
        <w:rPr>
          <w:rFonts w:ascii="Arial" w:hAnsi="Arial"/>
          <w:sz w:val="24"/>
          <w:szCs w:val="24"/>
        </w:rPr>
        <w:t xml:space="preserve"> one may</w:t>
      </w:r>
      <w:r w:rsidR="00451B7A" w:rsidRPr="00F976B4">
        <w:rPr>
          <w:rFonts w:ascii="Arial" w:hAnsi="Arial"/>
          <w:sz w:val="24"/>
          <w:szCs w:val="24"/>
        </w:rPr>
        <w:t xml:space="preserve"> very well</w:t>
      </w:r>
      <w:r w:rsidR="00363F85" w:rsidRPr="00F976B4">
        <w:rPr>
          <w:rFonts w:ascii="Arial" w:hAnsi="Arial"/>
          <w:sz w:val="24"/>
          <w:szCs w:val="24"/>
        </w:rPr>
        <w:t xml:space="preserve"> yearn to eat fish, </w:t>
      </w:r>
      <w:r w:rsidR="00741978" w:rsidRPr="00F976B4">
        <w:rPr>
          <w:rFonts w:ascii="Arial" w:hAnsi="Arial"/>
          <w:sz w:val="24"/>
          <w:szCs w:val="24"/>
        </w:rPr>
        <w:t>cucumbers</w:t>
      </w:r>
      <w:r>
        <w:rPr>
          <w:rFonts w:ascii="Arial" w:hAnsi="Arial"/>
          <w:sz w:val="24"/>
          <w:szCs w:val="24"/>
        </w:rPr>
        <w:t>,</w:t>
      </w:r>
      <w:r w:rsidR="00363F85" w:rsidRPr="00F976B4">
        <w:rPr>
          <w:rFonts w:ascii="Arial" w:hAnsi="Arial"/>
          <w:sz w:val="24"/>
          <w:szCs w:val="24"/>
        </w:rPr>
        <w:t xml:space="preserve"> and melons, but are the </w:t>
      </w:r>
      <w:r w:rsidR="00451B7A" w:rsidRPr="00F976B4">
        <w:rPr>
          <w:rFonts w:ascii="Arial" w:hAnsi="Arial"/>
          <w:i/>
          <w:sz w:val="24"/>
          <w:szCs w:val="24"/>
        </w:rPr>
        <w:t>Mitavim</w:t>
      </w:r>
      <w:r w:rsidR="00363F85" w:rsidRPr="00F976B4">
        <w:rPr>
          <w:rFonts w:ascii="Arial" w:hAnsi="Arial"/>
          <w:sz w:val="24"/>
          <w:szCs w:val="24"/>
        </w:rPr>
        <w:t xml:space="preserve"> truly longing for leeks as well?! </w:t>
      </w:r>
      <w:r w:rsidR="00451B7A" w:rsidRPr="00F976B4">
        <w:rPr>
          <w:rFonts w:ascii="Arial" w:hAnsi="Arial"/>
          <w:sz w:val="24"/>
          <w:szCs w:val="24"/>
        </w:rPr>
        <w:t xml:space="preserve"> </w:t>
      </w:r>
      <w:r w:rsidR="00363F85" w:rsidRPr="00F976B4">
        <w:rPr>
          <w:rFonts w:ascii="Arial" w:hAnsi="Arial"/>
          <w:sz w:val="24"/>
          <w:szCs w:val="24"/>
        </w:rPr>
        <w:t xml:space="preserve">In any case, </w:t>
      </w:r>
      <w:r w:rsidR="00451B7A" w:rsidRPr="00F976B4">
        <w:rPr>
          <w:rFonts w:ascii="Arial" w:hAnsi="Arial"/>
          <w:sz w:val="24"/>
          <w:szCs w:val="24"/>
        </w:rPr>
        <w:t>compared to</w:t>
      </w:r>
      <w:r w:rsidR="00363F85" w:rsidRPr="00F976B4">
        <w:rPr>
          <w:rFonts w:ascii="Arial" w:hAnsi="Arial"/>
          <w:sz w:val="24"/>
          <w:szCs w:val="24"/>
        </w:rPr>
        <w:t xml:space="preserve"> the cornucopia given to them in Egypt “at no cost</w:t>
      </w:r>
      <w:r>
        <w:rPr>
          <w:rFonts w:ascii="Arial" w:hAnsi="Arial"/>
          <w:sz w:val="24"/>
          <w:szCs w:val="24"/>
        </w:rPr>
        <w:t>,</w:t>
      </w:r>
      <w:r w:rsidR="00363F85" w:rsidRPr="00F976B4">
        <w:rPr>
          <w:rFonts w:ascii="Arial" w:hAnsi="Arial"/>
          <w:sz w:val="24"/>
          <w:szCs w:val="24"/>
        </w:rPr>
        <w:t xml:space="preserve">” the manna </w:t>
      </w:r>
      <w:r w:rsidR="00451B7A" w:rsidRPr="00F976B4">
        <w:rPr>
          <w:rFonts w:ascii="Arial" w:hAnsi="Arial"/>
          <w:sz w:val="24"/>
          <w:szCs w:val="24"/>
        </w:rPr>
        <w:t xml:space="preserve">is a poor substitute, </w:t>
      </w:r>
      <w:r w:rsidR="00363F85" w:rsidRPr="00F976B4">
        <w:rPr>
          <w:rFonts w:ascii="Arial" w:hAnsi="Arial"/>
          <w:sz w:val="24"/>
          <w:szCs w:val="24"/>
        </w:rPr>
        <w:t xml:space="preserve">which causes the </w:t>
      </w:r>
      <w:r w:rsidR="00451B7A" w:rsidRPr="00F976B4">
        <w:rPr>
          <w:rFonts w:ascii="Arial" w:hAnsi="Arial"/>
          <w:i/>
          <w:sz w:val="24"/>
          <w:szCs w:val="24"/>
        </w:rPr>
        <w:t>Mitavim</w:t>
      </w:r>
      <w:r w:rsidR="00451B7A" w:rsidRPr="00F976B4">
        <w:rPr>
          <w:rFonts w:ascii="Arial" w:hAnsi="Arial"/>
          <w:sz w:val="24"/>
          <w:szCs w:val="24"/>
        </w:rPr>
        <w:t xml:space="preserve"> to feel they have lost their appetite </w:t>
      </w:r>
      <w:r w:rsidR="00363F85" w:rsidRPr="00F976B4">
        <w:rPr>
          <w:rFonts w:ascii="Arial" w:hAnsi="Arial"/>
          <w:sz w:val="24"/>
          <w:szCs w:val="24"/>
        </w:rPr>
        <w:t>—</w:t>
      </w:r>
      <w:r w:rsidR="00451B7A" w:rsidRPr="00F976B4">
        <w:rPr>
          <w:rFonts w:ascii="Arial" w:hAnsi="Arial"/>
          <w:sz w:val="24"/>
          <w:szCs w:val="24"/>
        </w:rPr>
        <w:t xml:space="preserve"> </w:t>
      </w:r>
      <w:r w:rsidR="00363F85" w:rsidRPr="00F976B4">
        <w:rPr>
          <w:rFonts w:ascii="Arial" w:hAnsi="Arial"/>
          <w:sz w:val="24"/>
          <w:szCs w:val="24"/>
        </w:rPr>
        <w:t>literally, “our soul is dry</w:t>
      </w:r>
      <w:r>
        <w:rPr>
          <w:rFonts w:ascii="Arial" w:hAnsi="Arial"/>
          <w:sz w:val="24"/>
          <w:szCs w:val="24"/>
        </w:rPr>
        <w:t>.</w:t>
      </w:r>
      <w:r w:rsidR="00363F85" w:rsidRPr="00F976B4">
        <w:rPr>
          <w:rFonts w:ascii="Arial" w:hAnsi="Arial"/>
          <w:sz w:val="24"/>
          <w:szCs w:val="24"/>
        </w:rPr>
        <w:t>”</w:t>
      </w:r>
      <w:r w:rsidR="00451B7A" w:rsidRPr="00F976B4">
        <w:rPr>
          <w:rFonts w:ascii="Arial" w:hAnsi="Arial"/>
          <w:sz w:val="24"/>
          <w:szCs w:val="24"/>
        </w:rPr>
        <w:t xml:space="preserve"> </w:t>
      </w:r>
      <w:r>
        <w:rPr>
          <w:rFonts w:ascii="Arial" w:hAnsi="Arial"/>
          <w:sz w:val="24"/>
          <w:szCs w:val="24"/>
        </w:rPr>
        <w:t>T</w:t>
      </w:r>
      <w:r w:rsidR="00451B7A" w:rsidRPr="00F976B4">
        <w:rPr>
          <w:rFonts w:ascii="Arial" w:hAnsi="Arial"/>
          <w:sz w:val="24"/>
          <w:szCs w:val="24"/>
        </w:rPr>
        <w:t>hey are</w:t>
      </w:r>
      <w:r w:rsidR="00363F85" w:rsidRPr="00F976B4">
        <w:rPr>
          <w:rFonts w:ascii="Arial" w:hAnsi="Arial"/>
          <w:sz w:val="24"/>
          <w:szCs w:val="24"/>
        </w:rPr>
        <w:t xml:space="preserve"> bored </w:t>
      </w:r>
      <w:r w:rsidR="00451B7A" w:rsidRPr="00F976B4">
        <w:rPr>
          <w:rFonts w:ascii="Arial" w:hAnsi="Arial"/>
          <w:sz w:val="24"/>
          <w:szCs w:val="24"/>
        </w:rPr>
        <w:t>by</w:t>
      </w:r>
      <w:r w:rsidR="00363F85" w:rsidRPr="00F976B4">
        <w:rPr>
          <w:rFonts w:ascii="Arial" w:hAnsi="Arial"/>
          <w:sz w:val="24"/>
          <w:szCs w:val="24"/>
        </w:rPr>
        <w:t xml:space="preserve"> collecting the </w:t>
      </w:r>
      <w:r w:rsidR="00451B7A" w:rsidRPr="00F976B4">
        <w:rPr>
          <w:rFonts w:ascii="Arial" w:hAnsi="Arial"/>
          <w:sz w:val="24"/>
          <w:szCs w:val="24"/>
        </w:rPr>
        <w:t xml:space="preserve">monotonous </w:t>
      </w:r>
      <w:r w:rsidR="00363F85" w:rsidRPr="00F976B4">
        <w:rPr>
          <w:rFonts w:ascii="Arial" w:hAnsi="Arial"/>
          <w:sz w:val="24"/>
          <w:szCs w:val="24"/>
        </w:rPr>
        <w:t>manna each day.</w:t>
      </w:r>
    </w:p>
    <w:p w:rsidR="004C2C25" w:rsidRDefault="004C2C25" w:rsidP="004C2C25">
      <w:pPr>
        <w:bidi w:val="0"/>
        <w:ind w:firstLine="720"/>
        <w:jc w:val="both"/>
        <w:rPr>
          <w:rFonts w:ascii="Arial" w:hAnsi="Arial"/>
          <w:sz w:val="24"/>
          <w:szCs w:val="24"/>
        </w:rPr>
      </w:pPr>
    </w:p>
    <w:p w:rsidR="00363F85" w:rsidRPr="00F976B4" w:rsidRDefault="00363F85" w:rsidP="004C2C25">
      <w:pPr>
        <w:bidi w:val="0"/>
        <w:ind w:firstLine="720"/>
        <w:jc w:val="both"/>
        <w:rPr>
          <w:rFonts w:ascii="Arial" w:hAnsi="Arial"/>
          <w:sz w:val="24"/>
          <w:szCs w:val="24"/>
        </w:rPr>
      </w:pPr>
      <w:r w:rsidRPr="00F976B4">
        <w:rPr>
          <w:rFonts w:ascii="Arial" w:hAnsi="Arial"/>
          <w:sz w:val="24"/>
          <w:szCs w:val="24"/>
        </w:rPr>
        <w:t>At this stage of the st</w:t>
      </w:r>
      <w:r w:rsidR="00451B7A" w:rsidRPr="00F976B4">
        <w:rPr>
          <w:rFonts w:ascii="Arial" w:hAnsi="Arial"/>
          <w:sz w:val="24"/>
          <w:szCs w:val="24"/>
        </w:rPr>
        <w:t xml:space="preserve">ory, between the </w:t>
      </w:r>
      <w:r w:rsidRPr="00F976B4">
        <w:rPr>
          <w:rFonts w:ascii="Arial" w:hAnsi="Arial"/>
          <w:sz w:val="24"/>
          <w:szCs w:val="24"/>
        </w:rPr>
        <w:t xml:space="preserve">complaint of the </w:t>
      </w:r>
      <w:r w:rsidR="00451B7A" w:rsidRPr="00F976B4">
        <w:rPr>
          <w:rFonts w:ascii="Arial" w:hAnsi="Arial"/>
          <w:i/>
          <w:sz w:val="24"/>
          <w:szCs w:val="24"/>
        </w:rPr>
        <w:t>Mitavim</w:t>
      </w:r>
      <w:r w:rsidRPr="00F976B4">
        <w:rPr>
          <w:rFonts w:ascii="Arial" w:hAnsi="Arial"/>
          <w:sz w:val="24"/>
          <w:szCs w:val="24"/>
        </w:rPr>
        <w:t xml:space="preserve"> and the response of Moshe, the narrator bursts in and spends a few moments describing the </w:t>
      </w:r>
      <w:r w:rsidR="00741978" w:rsidRPr="00F976B4">
        <w:rPr>
          <w:rFonts w:ascii="Arial" w:hAnsi="Arial"/>
          <w:sz w:val="24"/>
          <w:szCs w:val="24"/>
        </w:rPr>
        <w:t>characteristics</w:t>
      </w:r>
      <w:r w:rsidRPr="00F976B4">
        <w:rPr>
          <w:rFonts w:ascii="Arial" w:hAnsi="Arial"/>
          <w:sz w:val="24"/>
          <w:szCs w:val="24"/>
        </w:rPr>
        <w:t xml:space="preserve"> of the manna (v</w:t>
      </w:r>
      <w:r w:rsidR="004168D9" w:rsidRPr="00F976B4">
        <w:rPr>
          <w:rFonts w:ascii="Arial" w:hAnsi="Arial"/>
          <w:sz w:val="24"/>
          <w:szCs w:val="24"/>
        </w:rPr>
        <w:t xml:space="preserve">v. </w:t>
      </w:r>
      <w:r w:rsidRPr="00F976B4">
        <w:rPr>
          <w:rFonts w:ascii="Arial" w:hAnsi="Arial"/>
          <w:sz w:val="24"/>
          <w:szCs w:val="24"/>
        </w:rPr>
        <w:t xml:space="preserve">7-9): </w:t>
      </w:r>
    </w:p>
    <w:p w:rsidR="004C2C25" w:rsidRDefault="004C2C25" w:rsidP="004C2C25">
      <w:pPr>
        <w:pStyle w:val="npst"/>
        <w:spacing w:before="0" w:beforeAutospacing="0" w:after="0" w:afterAutospacing="0"/>
        <w:ind w:left="720"/>
        <w:jc w:val="both"/>
        <w:rPr>
          <w:rFonts w:ascii="Arial" w:hAnsi="Arial" w:cs="Arial"/>
        </w:rPr>
      </w:pPr>
    </w:p>
    <w:p w:rsidR="00F91F8F" w:rsidRPr="00F976B4" w:rsidRDefault="00F91F8F" w:rsidP="004C2C25">
      <w:pPr>
        <w:pStyle w:val="npst"/>
        <w:spacing w:before="0" w:beforeAutospacing="0" w:after="0" w:afterAutospacing="0"/>
        <w:ind w:left="720"/>
        <w:jc w:val="both"/>
        <w:rPr>
          <w:rFonts w:ascii="Arial" w:hAnsi="Arial" w:cs="Arial"/>
        </w:rPr>
      </w:pPr>
      <w:r w:rsidRPr="00F976B4">
        <w:rPr>
          <w:rFonts w:ascii="Arial" w:hAnsi="Arial" w:cs="Arial"/>
        </w:rPr>
        <w:t xml:space="preserve">The manna was like coriander seed </w:t>
      </w:r>
      <w:r w:rsidR="001C361C" w:rsidRPr="00F976B4">
        <w:rPr>
          <w:rFonts w:ascii="Arial" w:hAnsi="Arial" w:cs="Arial"/>
        </w:rPr>
        <w:t>and its appearance was crystalline</w:t>
      </w:r>
      <w:r w:rsidR="004168D9" w:rsidRPr="00F976B4">
        <w:rPr>
          <w:rFonts w:ascii="Arial" w:hAnsi="Arial" w:cs="Arial"/>
        </w:rPr>
        <w:t xml:space="preserve">.  </w:t>
      </w:r>
      <w:r w:rsidRPr="00F976B4">
        <w:rPr>
          <w:rFonts w:ascii="Arial" w:hAnsi="Arial" w:cs="Arial"/>
        </w:rPr>
        <w:t>The people went</w:t>
      </w:r>
      <w:r w:rsidR="00BB372E" w:rsidRPr="00F976B4">
        <w:rPr>
          <w:rFonts w:ascii="Arial" w:hAnsi="Arial" w:cs="Arial"/>
        </w:rPr>
        <w:t xml:space="preserve"> ab</w:t>
      </w:r>
      <w:r w:rsidR="001F23C1" w:rsidRPr="00F976B4">
        <w:rPr>
          <w:rFonts w:ascii="Arial" w:hAnsi="Arial" w:cs="Arial"/>
        </w:rPr>
        <w:t>out and gathered</w:t>
      </w:r>
      <w:r w:rsidRPr="00F976B4">
        <w:rPr>
          <w:rFonts w:ascii="Arial" w:hAnsi="Arial" w:cs="Arial"/>
        </w:rPr>
        <w:t>, and then</w:t>
      </w:r>
      <w:r w:rsidR="004147F4" w:rsidRPr="00F976B4">
        <w:rPr>
          <w:rFonts w:ascii="Arial" w:hAnsi="Arial" w:cs="Arial"/>
        </w:rPr>
        <w:t xml:space="preserve"> they</w:t>
      </w:r>
      <w:r w:rsidRPr="00F976B4">
        <w:rPr>
          <w:rFonts w:ascii="Arial" w:hAnsi="Arial" w:cs="Arial"/>
        </w:rPr>
        <w:t xml:space="preserve"> ground it in a </w:t>
      </w:r>
      <w:r w:rsidR="00741978" w:rsidRPr="00F976B4">
        <w:rPr>
          <w:rFonts w:ascii="Arial" w:hAnsi="Arial" w:cs="Arial"/>
        </w:rPr>
        <w:t>mill</w:t>
      </w:r>
      <w:r w:rsidRPr="00F976B4">
        <w:rPr>
          <w:rFonts w:ascii="Arial" w:hAnsi="Arial" w:cs="Arial"/>
        </w:rPr>
        <w:t xml:space="preserve"> or crushed it in a mortar</w:t>
      </w:r>
      <w:r w:rsidR="004147F4" w:rsidRPr="00F976B4">
        <w:rPr>
          <w:rFonts w:ascii="Arial" w:hAnsi="Arial" w:cs="Arial"/>
        </w:rPr>
        <w:t xml:space="preserve">, </w:t>
      </w:r>
      <w:r w:rsidRPr="00F976B4">
        <w:rPr>
          <w:rFonts w:ascii="Arial" w:hAnsi="Arial" w:cs="Arial"/>
        </w:rPr>
        <w:t>cooked it in a pot or made it into cakes</w:t>
      </w:r>
      <w:r w:rsidR="004147F4" w:rsidRPr="00F976B4">
        <w:rPr>
          <w:rFonts w:ascii="Arial" w:hAnsi="Arial" w:cs="Arial"/>
        </w:rPr>
        <w:t xml:space="preserve">; </w:t>
      </w:r>
      <w:r w:rsidRPr="00F976B4">
        <w:rPr>
          <w:rFonts w:ascii="Arial" w:hAnsi="Arial" w:cs="Arial"/>
        </w:rPr>
        <w:t>it tasted like something made with olive oil</w:t>
      </w:r>
      <w:r w:rsidR="004168D9" w:rsidRPr="00F976B4">
        <w:rPr>
          <w:rFonts w:ascii="Arial" w:hAnsi="Arial" w:cs="Arial"/>
        </w:rPr>
        <w:t xml:space="preserve">.  </w:t>
      </w:r>
      <w:r w:rsidRPr="00F976B4">
        <w:rPr>
          <w:rFonts w:ascii="Arial" w:hAnsi="Arial" w:cs="Arial"/>
        </w:rPr>
        <w:t xml:space="preserve">When the dew </w:t>
      </w:r>
      <w:r w:rsidR="004147F4" w:rsidRPr="00F976B4">
        <w:rPr>
          <w:rFonts w:ascii="Arial" w:hAnsi="Arial" w:cs="Arial"/>
        </w:rPr>
        <w:t>came down on the</w:t>
      </w:r>
      <w:r w:rsidRPr="00F976B4">
        <w:rPr>
          <w:rFonts w:ascii="Arial" w:hAnsi="Arial" w:cs="Arial"/>
        </w:rPr>
        <w:t xml:space="preserve"> camp at night, the manna came down</w:t>
      </w:r>
      <w:r w:rsidR="004147F4" w:rsidRPr="00F976B4">
        <w:rPr>
          <w:rFonts w:ascii="Arial" w:hAnsi="Arial" w:cs="Arial"/>
        </w:rPr>
        <w:t xml:space="preserve"> on it</w:t>
      </w:r>
      <w:r w:rsidR="004168D9" w:rsidRPr="00F976B4">
        <w:rPr>
          <w:rFonts w:ascii="Arial" w:hAnsi="Arial" w:cs="Arial"/>
        </w:rPr>
        <w:t xml:space="preserve">.  </w:t>
      </w:r>
    </w:p>
    <w:p w:rsidR="00F91F8F" w:rsidRPr="00F976B4" w:rsidRDefault="00F91F8F" w:rsidP="004C2C25">
      <w:pPr>
        <w:bidi w:val="0"/>
        <w:ind w:left="720" w:firstLine="0"/>
        <w:jc w:val="both"/>
        <w:rPr>
          <w:rFonts w:ascii="Arial" w:hAnsi="Arial"/>
          <w:sz w:val="24"/>
          <w:szCs w:val="24"/>
        </w:rPr>
      </w:pPr>
    </w:p>
    <w:p w:rsidR="001F23C1" w:rsidRPr="00F976B4" w:rsidRDefault="00363F85" w:rsidP="004C2C25">
      <w:pPr>
        <w:bidi w:val="0"/>
        <w:ind w:firstLine="720"/>
        <w:jc w:val="both"/>
        <w:rPr>
          <w:rFonts w:ascii="Arial" w:hAnsi="Arial"/>
          <w:sz w:val="24"/>
          <w:szCs w:val="24"/>
        </w:rPr>
      </w:pPr>
      <w:r w:rsidRPr="00F976B4">
        <w:rPr>
          <w:rFonts w:ascii="Arial" w:hAnsi="Arial"/>
          <w:sz w:val="24"/>
          <w:szCs w:val="24"/>
        </w:rPr>
        <w:t xml:space="preserve">In this </w:t>
      </w:r>
      <w:r w:rsidR="004168D9" w:rsidRPr="00F976B4">
        <w:rPr>
          <w:rFonts w:ascii="Arial" w:hAnsi="Arial"/>
          <w:sz w:val="24"/>
          <w:szCs w:val="24"/>
        </w:rPr>
        <w:t>interjection</w:t>
      </w:r>
      <w:r w:rsidRPr="00F976B4">
        <w:rPr>
          <w:rFonts w:ascii="Arial" w:hAnsi="Arial"/>
          <w:sz w:val="24"/>
          <w:szCs w:val="24"/>
        </w:rPr>
        <w:t xml:space="preserve">, </w:t>
      </w:r>
      <w:r w:rsidR="001F23C1" w:rsidRPr="00F976B4">
        <w:rPr>
          <w:rFonts w:ascii="Arial" w:hAnsi="Arial"/>
          <w:sz w:val="24"/>
          <w:szCs w:val="24"/>
        </w:rPr>
        <w:t>the verse alludes to the reader t</w:t>
      </w:r>
      <w:r w:rsidR="004147F4" w:rsidRPr="00F976B4">
        <w:rPr>
          <w:rFonts w:ascii="Arial" w:hAnsi="Arial"/>
          <w:sz w:val="24"/>
          <w:szCs w:val="24"/>
        </w:rPr>
        <w:t xml:space="preserve">hat there is no substance to </w:t>
      </w:r>
      <w:r w:rsidR="001F23C1" w:rsidRPr="00F976B4">
        <w:rPr>
          <w:rFonts w:ascii="Arial" w:hAnsi="Arial"/>
          <w:sz w:val="24"/>
          <w:szCs w:val="24"/>
        </w:rPr>
        <w:t>the Israelites’ complaint</w:t>
      </w:r>
      <w:r w:rsidR="00B75508">
        <w:rPr>
          <w:rFonts w:ascii="Arial" w:hAnsi="Arial"/>
          <w:sz w:val="24"/>
          <w:szCs w:val="24"/>
        </w:rPr>
        <w:t>.</w:t>
      </w:r>
      <w:r w:rsidR="004168D9" w:rsidRPr="00F976B4">
        <w:rPr>
          <w:rFonts w:ascii="Arial" w:hAnsi="Arial"/>
          <w:sz w:val="24"/>
          <w:szCs w:val="24"/>
        </w:rPr>
        <w:t xml:space="preserve"> </w:t>
      </w:r>
      <w:r w:rsidR="001F23C1" w:rsidRPr="00F976B4">
        <w:rPr>
          <w:rFonts w:ascii="Arial" w:hAnsi="Arial"/>
          <w:sz w:val="24"/>
          <w:szCs w:val="24"/>
        </w:rPr>
        <w:t xml:space="preserve">These </w:t>
      </w:r>
      <w:r w:rsidR="00741978" w:rsidRPr="00F976B4">
        <w:rPr>
          <w:rFonts w:ascii="Arial" w:hAnsi="Arial"/>
          <w:sz w:val="24"/>
          <w:szCs w:val="24"/>
        </w:rPr>
        <w:t>things</w:t>
      </w:r>
      <w:r w:rsidR="001F23C1" w:rsidRPr="00F976B4">
        <w:rPr>
          <w:rFonts w:ascii="Arial" w:hAnsi="Arial"/>
          <w:sz w:val="24"/>
          <w:szCs w:val="24"/>
        </w:rPr>
        <w:t xml:space="preserve"> are not said explicitly, but they arise from the </w:t>
      </w:r>
      <w:r w:rsidR="00B75508">
        <w:rPr>
          <w:rFonts w:ascii="Arial" w:hAnsi="Arial"/>
          <w:sz w:val="24"/>
          <w:szCs w:val="24"/>
        </w:rPr>
        <w:t>“</w:t>
      </w:r>
      <w:r w:rsidR="001F23C1" w:rsidRPr="00F976B4">
        <w:rPr>
          <w:rFonts w:ascii="Arial" w:hAnsi="Arial"/>
          <w:sz w:val="24"/>
          <w:szCs w:val="24"/>
        </w:rPr>
        <w:t>innocent</w:t>
      </w:r>
      <w:r w:rsidR="00B75508">
        <w:rPr>
          <w:rFonts w:ascii="Arial" w:hAnsi="Arial"/>
          <w:sz w:val="24"/>
          <w:szCs w:val="24"/>
        </w:rPr>
        <w:t>”</w:t>
      </w:r>
      <w:r w:rsidR="001F23C1" w:rsidRPr="00F976B4">
        <w:rPr>
          <w:rFonts w:ascii="Arial" w:hAnsi="Arial"/>
          <w:sz w:val="24"/>
          <w:szCs w:val="24"/>
        </w:rPr>
        <w:t xml:space="preserve"> description of the manna, a</w:t>
      </w:r>
      <w:r w:rsidR="004147F4" w:rsidRPr="00F976B4">
        <w:rPr>
          <w:rFonts w:ascii="Arial" w:hAnsi="Arial"/>
          <w:sz w:val="24"/>
          <w:szCs w:val="24"/>
        </w:rPr>
        <w:t>s Rashi points out</w:t>
      </w:r>
      <w:r w:rsidR="001C361C" w:rsidRPr="00F976B4">
        <w:rPr>
          <w:rFonts w:ascii="Arial" w:hAnsi="Arial"/>
          <w:sz w:val="24"/>
          <w:szCs w:val="24"/>
        </w:rPr>
        <w:t xml:space="preserve"> (</w:t>
      </w:r>
      <w:r w:rsidR="004147F4" w:rsidRPr="00F976B4">
        <w:rPr>
          <w:rFonts w:ascii="Arial" w:hAnsi="Arial"/>
          <w:sz w:val="24"/>
          <w:szCs w:val="24"/>
        </w:rPr>
        <w:t xml:space="preserve">ad loc., </w:t>
      </w:r>
      <w:r w:rsidR="004168D9" w:rsidRPr="00F976B4">
        <w:rPr>
          <w:rFonts w:ascii="Arial" w:hAnsi="Arial"/>
          <w:sz w:val="24"/>
          <w:szCs w:val="24"/>
        </w:rPr>
        <w:t xml:space="preserve">v. </w:t>
      </w:r>
      <w:r w:rsidR="001C361C" w:rsidRPr="00F976B4">
        <w:rPr>
          <w:rFonts w:ascii="Arial" w:hAnsi="Arial"/>
          <w:sz w:val="24"/>
          <w:szCs w:val="24"/>
        </w:rPr>
        <w:t>7)</w:t>
      </w:r>
      <w:r w:rsidR="001F23C1" w:rsidRPr="00F976B4">
        <w:rPr>
          <w:rFonts w:ascii="Arial" w:hAnsi="Arial"/>
          <w:sz w:val="24"/>
          <w:szCs w:val="24"/>
        </w:rPr>
        <w:t xml:space="preserve">: </w:t>
      </w:r>
    </w:p>
    <w:p w:rsidR="004C2C25" w:rsidRDefault="004C2C25" w:rsidP="004C2C25">
      <w:pPr>
        <w:bidi w:val="0"/>
        <w:ind w:left="720" w:firstLine="0"/>
        <w:jc w:val="both"/>
        <w:rPr>
          <w:rFonts w:ascii="Arial" w:hAnsi="Arial"/>
          <w:sz w:val="24"/>
          <w:szCs w:val="24"/>
        </w:rPr>
      </w:pPr>
    </w:p>
    <w:p w:rsidR="00363F85" w:rsidRPr="00F976B4" w:rsidRDefault="001F23C1" w:rsidP="004C2C25">
      <w:pPr>
        <w:bidi w:val="0"/>
        <w:ind w:left="720" w:firstLine="0"/>
        <w:jc w:val="both"/>
        <w:rPr>
          <w:rFonts w:ascii="Arial" w:hAnsi="Arial"/>
          <w:sz w:val="24"/>
          <w:szCs w:val="24"/>
        </w:rPr>
      </w:pPr>
      <w:r w:rsidRPr="00F976B4">
        <w:rPr>
          <w:rFonts w:ascii="Arial" w:hAnsi="Arial"/>
          <w:sz w:val="24"/>
          <w:szCs w:val="24"/>
        </w:rPr>
        <w:t>“The manna was like coriander seed” — the one who said this did not say this</w:t>
      </w:r>
      <w:r w:rsidR="004168D9" w:rsidRPr="00F976B4">
        <w:rPr>
          <w:rFonts w:ascii="Arial" w:hAnsi="Arial"/>
          <w:sz w:val="24"/>
          <w:szCs w:val="24"/>
        </w:rPr>
        <w:t xml:space="preserve">.  </w:t>
      </w:r>
      <w:r w:rsidRPr="00F976B4">
        <w:rPr>
          <w:rFonts w:ascii="Arial" w:hAnsi="Arial"/>
          <w:sz w:val="24"/>
          <w:szCs w:val="24"/>
        </w:rPr>
        <w:t>The Israelites say, “</w:t>
      </w:r>
      <w:r w:rsidR="00BB372E" w:rsidRPr="00F976B4">
        <w:rPr>
          <w:rFonts w:ascii="Arial" w:hAnsi="Arial"/>
          <w:sz w:val="24"/>
          <w:szCs w:val="24"/>
        </w:rPr>
        <w:t>There is nothing for our eyes but the manna</w:t>
      </w:r>
      <w:r w:rsidRPr="00F976B4">
        <w:rPr>
          <w:rFonts w:ascii="Arial" w:hAnsi="Arial"/>
          <w:sz w:val="24"/>
          <w:szCs w:val="24"/>
        </w:rPr>
        <w:t>”, but God writes in the Torah, “The manna was like coriander seed</w:t>
      </w:r>
      <w:r w:rsidR="004147F4" w:rsidRPr="00F976B4">
        <w:rPr>
          <w:rFonts w:ascii="Arial" w:hAnsi="Arial"/>
          <w:sz w:val="24"/>
          <w:szCs w:val="24"/>
        </w:rPr>
        <w:t>…</w:t>
      </w:r>
      <w:r w:rsidR="00B75508">
        <w:rPr>
          <w:rFonts w:ascii="Arial" w:hAnsi="Arial"/>
          <w:sz w:val="24"/>
          <w:szCs w:val="24"/>
        </w:rPr>
        <w:t>,</w:t>
      </w:r>
      <w:r w:rsidRPr="00F976B4">
        <w:rPr>
          <w:rFonts w:ascii="Arial" w:hAnsi="Arial"/>
          <w:sz w:val="24"/>
          <w:szCs w:val="24"/>
        </w:rPr>
        <w:t>”</w:t>
      </w:r>
      <w:r w:rsidR="004147F4" w:rsidRPr="00F976B4">
        <w:rPr>
          <w:rFonts w:ascii="Arial" w:hAnsi="Arial"/>
          <w:sz w:val="24"/>
          <w:szCs w:val="24"/>
        </w:rPr>
        <w:t xml:space="preserve"> as</w:t>
      </w:r>
      <w:r w:rsidRPr="00F976B4">
        <w:rPr>
          <w:rFonts w:ascii="Arial" w:hAnsi="Arial"/>
          <w:sz w:val="24"/>
          <w:szCs w:val="24"/>
        </w:rPr>
        <w:t xml:space="preserve"> if to say, </w:t>
      </w:r>
      <w:r w:rsidR="001C361C" w:rsidRPr="00F976B4">
        <w:rPr>
          <w:rFonts w:ascii="Arial" w:hAnsi="Arial"/>
          <w:sz w:val="24"/>
          <w:szCs w:val="24"/>
        </w:rPr>
        <w:t xml:space="preserve">“Look, </w:t>
      </w:r>
      <w:r w:rsidR="004147F4" w:rsidRPr="00F976B4">
        <w:rPr>
          <w:rFonts w:ascii="Arial" w:hAnsi="Arial"/>
          <w:sz w:val="24"/>
          <w:szCs w:val="24"/>
        </w:rPr>
        <w:t>people of</w:t>
      </w:r>
      <w:r w:rsidR="001C361C" w:rsidRPr="00F976B4">
        <w:rPr>
          <w:rFonts w:ascii="Arial" w:hAnsi="Arial"/>
          <w:sz w:val="24"/>
          <w:szCs w:val="24"/>
        </w:rPr>
        <w:t xml:space="preserve"> the world, what </w:t>
      </w:r>
      <w:r w:rsidR="004147F4" w:rsidRPr="00F976B4">
        <w:rPr>
          <w:rFonts w:ascii="Arial" w:hAnsi="Arial"/>
          <w:sz w:val="24"/>
          <w:szCs w:val="24"/>
        </w:rPr>
        <w:t>are M</w:t>
      </w:r>
      <w:r w:rsidR="001C361C" w:rsidRPr="00F976B4">
        <w:rPr>
          <w:rFonts w:ascii="Arial" w:hAnsi="Arial"/>
          <w:sz w:val="24"/>
          <w:szCs w:val="24"/>
        </w:rPr>
        <w:t xml:space="preserve">y sons complaining about? </w:t>
      </w:r>
      <w:r w:rsidR="004147F4" w:rsidRPr="00F976B4">
        <w:rPr>
          <w:rFonts w:ascii="Arial" w:hAnsi="Arial"/>
          <w:sz w:val="24"/>
          <w:szCs w:val="24"/>
        </w:rPr>
        <w:t xml:space="preserve"> </w:t>
      </w:r>
      <w:r w:rsidR="001C361C" w:rsidRPr="00F976B4">
        <w:rPr>
          <w:rFonts w:ascii="Arial" w:hAnsi="Arial"/>
          <w:sz w:val="24"/>
          <w:szCs w:val="24"/>
        </w:rPr>
        <w:t xml:space="preserve">The manna is </w:t>
      </w:r>
      <w:r w:rsidR="004147F4" w:rsidRPr="00F976B4">
        <w:rPr>
          <w:rFonts w:ascii="Arial" w:hAnsi="Arial"/>
          <w:sz w:val="24"/>
          <w:szCs w:val="24"/>
        </w:rPr>
        <w:t>so distinguished!</w:t>
      </w:r>
      <w:r w:rsidR="001C361C" w:rsidRPr="00F976B4">
        <w:rPr>
          <w:rFonts w:ascii="Arial" w:hAnsi="Arial"/>
          <w:sz w:val="24"/>
          <w:szCs w:val="24"/>
        </w:rPr>
        <w:t>”</w:t>
      </w:r>
      <w:r w:rsidRPr="00F976B4">
        <w:rPr>
          <w:rFonts w:ascii="Arial" w:hAnsi="Arial"/>
          <w:sz w:val="24"/>
          <w:szCs w:val="24"/>
        </w:rPr>
        <w:t xml:space="preserve">     </w:t>
      </w:r>
    </w:p>
    <w:p w:rsidR="004147F4" w:rsidRPr="00F976B4" w:rsidRDefault="004147F4" w:rsidP="004C2C25">
      <w:pPr>
        <w:bidi w:val="0"/>
        <w:ind w:left="720" w:firstLine="0"/>
        <w:jc w:val="both"/>
        <w:rPr>
          <w:rFonts w:ascii="Arial" w:hAnsi="Arial"/>
          <w:sz w:val="24"/>
          <w:szCs w:val="24"/>
        </w:rPr>
      </w:pPr>
    </w:p>
    <w:p w:rsidR="004C2C25" w:rsidRDefault="004C2C25" w:rsidP="004C2C25">
      <w:pPr>
        <w:bidi w:val="0"/>
        <w:jc w:val="both"/>
        <w:rPr>
          <w:rFonts w:ascii="Arial" w:hAnsi="Arial"/>
          <w:sz w:val="24"/>
          <w:szCs w:val="24"/>
        </w:rPr>
      </w:pPr>
    </w:p>
    <w:p w:rsidR="005319F6" w:rsidRPr="00F976B4" w:rsidRDefault="004147F4" w:rsidP="004C2C25">
      <w:pPr>
        <w:bidi w:val="0"/>
        <w:ind w:firstLine="720"/>
        <w:jc w:val="both"/>
        <w:rPr>
          <w:rFonts w:ascii="Arial" w:hAnsi="Arial"/>
          <w:sz w:val="24"/>
          <w:szCs w:val="24"/>
        </w:rPr>
      </w:pPr>
      <w:r w:rsidRPr="00F976B4">
        <w:rPr>
          <w:rFonts w:ascii="Arial" w:hAnsi="Arial"/>
          <w:sz w:val="24"/>
          <w:szCs w:val="24"/>
        </w:rPr>
        <w:t>While the Israelites complain</w:t>
      </w:r>
      <w:r w:rsidR="00B75508">
        <w:rPr>
          <w:rFonts w:ascii="Arial" w:hAnsi="Arial"/>
          <w:sz w:val="24"/>
          <w:szCs w:val="24"/>
        </w:rPr>
        <w:t>,</w:t>
      </w:r>
      <w:r w:rsidR="001C361C" w:rsidRPr="00F976B4">
        <w:rPr>
          <w:rFonts w:ascii="Arial" w:hAnsi="Arial"/>
          <w:sz w:val="24"/>
          <w:szCs w:val="24"/>
        </w:rPr>
        <w:t xml:space="preserve"> “</w:t>
      </w:r>
      <w:r w:rsidR="00BB372E" w:rsidRPr="00F976B4">
        <w:rPr>
          <w:rFonts w:ascii="Arial" w:hAnsi="Arial"/>
          <w:sz w:val="24"/>
          <w:szCs w:val="24"/>
        </w:rPr>
        <w:t>There is nothing for our eyes but the manna</w:t>
      </w:r>
      <w:r w:rsidR="001C361C" w:rsidRPr="00F976B4">
        <w:rPr>
          <w:rFonts w:ascii="Arial" w:hAnsi="Arial"/>
          <w:sz w:val="24"/>
          <w:szCs w:val="24"/>
        </w:rPr>
        <w:t>”</w:t>
      </w:r>
      <w:r w:rsidRPr="00F976B4">
        <w:rPr>
          <w:rFonts w:ascii="Arial" w:hAnsi="Arial"/>
          <w:sz w:val="24"/>
          <w:szCs w:val="24"/>
        </w:rPr>
        <w:t>,</w:t>
      </w:r>
      <w:r w:rsidR="001C361C" w:rsidRPr="00F976B4">
        <w:rPr>
          <w:rFonts w:ascii="Arial" w:hAnsi="Arial"/>
          <w:sz w:val="24"/>
          <w:szCs w:val="24"/>
        </w:rPr>
        <w:t xml:space="preserve"> the narrator responds</w:t>
      </w:r>
      <w:r w:rsidR="00B75508">
        <w:rPr>
          <w:rFonts w:ascii="Arial" w:hAnsi="Arial"/>
          <w:sz w:val="24"/>
          <w:szCs w:val="24"/>
        </w:rPr>
        <w:t>,</w:t>
      </w:r>
      <w:r w:rsidR="001C361C" w:rsidRPr="00F976B4">
        <w:rPr>
          <w:rFonts w:ascii="Arial" w:hAnsi="Arial"/>
          <w:sz w:val="24"/>
          <w:szCs w:val="24"/>
        </w:rPr>
        <w:t xml:space="preserve"> “The</w:t>
      </w:r>
      <w:r w:rsidRPr="00F976B4">
        <w:rPr>
          <w:rFonts w:ascii="Arial" w:hAnsi="Arial"/>
          <w:sz w:val="24"/>
          <w:szCs w:val="24"/>
        </w:rPr>
        <w:t xml:space="preserve"> manna was like coriander seed” — t</w:t>
      </w:r>
      <w:r w:rsidR="001C361C" w:rsidRPr="00F976B4">
        <w:rPr>
          <w:rFonts w:ascii="Arial" w:hAnsi="Arial"/>
          <w:sz w:val="24"/>
          <w:szCs w:val="24"/>
        </w:rPr>
        <w:t xml:space="preserve">hat is to say, its </w:t>
      </w:r>
      <w:r w:rsidRPr="00F976B4">
        <w:rPr>
          <w:rFonts w:ascii="Arial" w:hAnsi="Arial"/>
          <w:sz w:val="24"/>
          <w:szCs w:val="24"/>
        </w:rPr>
        <w:t xml:space="preserve">hue </w:t>
      </w:r>
      <w:r w:rsidR="001C361C" w:rsidRPr="00F976B4">
        <w:rPr>
          <w:rFonts w:ascii="Arial" w:hAnsi="Arial"/>
          <w:sz w:val="24"/>
          <w:szCs w:val="24"/>
        </w:rPr>
        <w:t>is white and s</w:t>
      </w:r>
      <w:r w:rsidRPr="00F976B4">
        <w:rPr>
          <w:rFonts w:ascii="Arial" w:hAnsi="Arial"/>
          <w:sz w:val="24"/>
          <w:szCs w:val="24"/>
        </w:rPr>
        <w:t>hiny</w:t>
      </w:r>
      <w:r w:rsidR="00B75508">
        <w:rPr>
          <w:rFonts w:ascii="Arial" w:hAnsi="Arial"/>
          <w:sz w:val="24"/>
          <w:szCs w:val="24"/>
        </w:rPr>
        <w:t>. Note</w:t>
      </w:r>
      <w:r w:rsidR="001C361C" w:rsidRPr="00F976B4">
        <w:rPr>
          <w:rFonts w:ascii="Arial" w:hAnsi="Arial"/>
          <w:sz w:val="24"/>
          <w:szCs w:val="24"/>
        </w:rPr>
        <w:t xml:space="preserve"> that crystal is a precious </w:t>
      </w:r>
      <w:r w:rsidR="00741978" w:rsidRPr="00F976B4">
        <w:rPr>
          <w:rFonts w:ascii="Arial" w:hAnsi="Arial"/>
          <w:sz w:val="24"/>
          <w:szCs w:val="24"/>
        </w:rPr>
        <w:t>substance</w:t>
      </w:r>
      <w:r w:rsidR="001C361C" w:rsidRPr="00F976B4">
        <w:rPr>
          <w:rFonts w:ascii="Arial" w:hAnsi="Arial"/>
          <w:sz w:val="24"/>
          <w:szCs w:val="24"/>
        </w:rPr>
        <w:t xml:space="preserve">, so that </w:t>
      </w:r>
      <w:r w:rsidRPr="00F976B4">
        <w:rPr>
          <w:rFonts w:ascii="Arial" w:hAnsi="Arial"/>
          <w:sz w:val="24"/>
          <w:szCs w:val="24"/>
        </w:rPr>
        <w:t xml:space="preserve">its </w:t>
      </w:r>
      <w:r w:rsidR="001C361C" w:rsidRPr="00F976B4">
        <w:rPr>
          <w:rFonts w:ascii="Arial" w:hAnsi="Arial"/>
          <w:sz w:val="24"/>
          <w:szCs w:val="24"/>
        </w:rPr>
        <w:t>associations are very positive, and it appears that because of this</w:t>
      </w:r>
      <w:r w:rsidRPr="00F976B4">
        <w:rPr>
          <w:rFonts w:ascii="Arial" w:hAnsi="Arial"/>
          <w:sz w:val="24"/>
          <w:szCs w:val="24"/>
        </w:rPr>
        <w:t>,</w:t>
      </w:r>
      <w:r w:rsidR="001C361C" w:rsidRPr="00F976B4">
        <w:rPr>
          <w:rFonts w:ascii="Arial" w:hAnsi="Arial"/>
          <w:sz w:val="24"/>
          <w:szCs w:val="24"/>
        </w:rPr>
        <w:t xml:space="preserve"> </w:t>
      </w:r>
      <w:r w:rsidR="009076D8" w:rsidRPr="00F976B4">
        <w:rPr>
          <w:rFonts w:ascii="Arial" w:hAnsi="Arial"/>
          <w:sz w:val="24"/>
          <w:szCs w:val="24"/>
        </w:rPr>
        <w:t xml:space="preserve">crystal is </w:t>
      </w:r>
      <w:r w:rsidRPr="00F976B4">
        <w:rPr>
          <w:rFonts w:ascii="Arial" w:hAnsi="Arial"/>
          <w:sz w:val="24"/>
          <w:szCs w:val="24"/>
        </w:rPr>
        <w:t>used</w:t>
      </w:r>
      <w:r w:rsidR="009076D8" w:rsidRPr="00F976B4">
        <w:rPr>
          <w:rFonts w:ascii="Arial" w:hAnsi="Arial"/>
          <w:sz w:val="24"/>
          <w:szCs w:val="24"/>
        </w:rPr>
        <w:t xml:space="preserve"> as a</w:t>
      </w:r>
      <w:r w:rsidRPr="00F976B4">
        <w:rPr>
          <w:rFonts w:ascii="Arial" w:hAnsi="Arial"/>
          <w:sz w:val="24"/>
          <w:szCs w:val="24"/>
        </w:rPr>
        <w:t xml:space="preserve"> simile for</w:t>
      </w:r>
      <w:r w:rsidR="009076D8" w:rsidRPr="00F976B4">
        <w:rPr>
          <w:rFonts w:ascii="Arial" w:hAnsi="Arial"/>
          <w:sz w:val="24"/>
          <w:szCs w:val="24"/>
        </w:rPr>
        <w:t xml:space="preserve"> the manna’s </w:t>
      </w:r>
      <w:r w:rsidRPr="00F976B4">
        <w:rPr>
          <w:rFonts w:ascii="Arial" w:hAnsi="Arial"/>
          <w:sz w:val="24"/>
          <w:szCs w:val="24"/>
        </w:rPr>
        <w:t>appearance</w:t>
      </w:r>
      <w:r w:rsidR="004168D9" w:rsidRPr="00F976B4">
        <w:rPr>
          <w:rFonts w:ascii="Arial" w:hAnsi="Arial"/>
          <w:sz w:val="24"/>
          <w:szCs w:val="24"/>
        </w:rPr>
        <w:t xml:space="preserve">.  </w:t>
      </w:r>
      <w:r w:rsidR="00BB372E" w:rsidRPr="00F976B4">
        <w:rPr>
          <w:rFonts w:ascii="Arial" w:hAnsi="Arial"/>
          <w:sz w:val="24"/>
          <w:szCs w:val="24"/>
        </w:rPr>
        <w:t xml:space="preserve">While the Israelites complain about the boredom </w:t>
      </w:r>
      <w:r w:rsidR="00B75508">
        <w:rPr>
          <w:rFonts w:ascii="Arial" w:hAnsi="Arial"/>
          <w:sz w:val="24"/>
          <w:szCs w:val="24"/>
        </w:rPr>
        <w:t>that</w:t>
      </w:r>
      <w:r w:rsidR="00BB372E" w:rsidRPr="00F976B4">
        <w:rPr>
          <w:rFonts w:ascii="Arial" w:hAnsi="Arial"/>
          <w:sz w:val="24"/>
          <w:szCs w:val="24"/>
        </w:rPr>
        <w:t xml:space="preserve"> springs from the monochromatic</w:t>
      </w:r>
      <w:r w:rsidRPr="00F976B4">
        <w:rPr>
          <w:rFonts w:ascii="Arial" w:hAnsi="Arial"/>
          <w:sz w:val="24"/>
          <w:szCs w:val="24"/>
        </w:rPr>
        <w:t xml:space="preserve"> experience</w:t>
      </w:r>
      <w:r w:rsidR="00BB372E" w:rsidRPr="00F976B4">
        <w:rPr>
          <w:rFonts w:ascii="Arial" w:hAnsi="Arial"/>
          <w:sz w:val="24"/>
          <w:szCs w:val="24"/>
        </w:rPr>
        <w:t xml:space="preserve"> of the manna (“But now our soul is </w:t>
      </w:r>
      <w:r w:rsidR="00451B7A" w:rsidRPr="00F976B4">
        <w:rPr>
          <w:rFonts w:ascii="Arial" w:hAnsi="Arial"/>
          <w:sz w:val="24"/>
          <w:szCs w:val="24"/>
        </w:rPr>
        <w:t>dry</w:t>
      </w:r>
      <w:r w:rsidR="00BB372E" w:rsidRPr="00F976B4">
        <w:rPr>
          <w:rFonts w:ascii="Arial" w:hAnsi="Arial"/>
          <w:sz w:val="24"/>
          <w:szCs w:val="24"/>
        </w:rPr>
        <w:t>; there is nothing for our eyes but the manna”)</w:t>
      </w:r>
      <w:r w:rsidRPr="00F976B4">
        <w:rPr>
          <w:rFonts w:ascii="Arial" w:hAnsi="Arial"/>
          <w:sz w:val="24"/>
          <w:szCs w:val="24"/>
        </w:rPr>
        <w:t>,</w:t>
      </w:r>
      <w:r w:rsidR="00BB372E" w:rsidRPr="00F976B4">
        <w:rPr>
          <w:rFonts w:ascii="Arial" w:hAnsi="Arial"/>
          <w:sz w:val="24"/>
          <w:szCs w:val="24"/>
        </w:rPr>
        <w:t xml:space="preserve"> the narrator testifies that the ways of p</w:t>
      </w:r>
      <w:r w:rsidRPr="00F976B4">
        <w:rPr>
          <w:rFonts w:ascii="Arial" w:hAnsi="Arial"/>
          <w:sz w:val="24"/>
          <w:szCs w:val="24"/>
        </w:rPr>
        <w:t xml:space="preserve">reparing the manna are varied: </w:t>
      </w:r>
      <w:r w:rsidR="00B75508">
        <w:rPr>
          <w:rFonts w:ascii="Arial" w:hAnsi="Arial"/>
          <w:sz w:val="24"/>
          <w:szCs w:val="24"/>
        </w:rPr>
        <w:t>“A</w:t>
      </w:r>
      <w:r w:rsidRPr="00F976B4">
        <w:rPr>
          <w:rFonts w:ascii="Arial" w:hAnsi="Arial"/>
          <w:sz w:val="24"/>
          <w:szCs w:val="24"/>
        </w:rPr>
        <w:t>nd then they ground it in a mill or crushed it in a mortar, cooked it in a pot or made it into cakes</w:t>
      </w:r>
      <w:r w:rsidR="00BB372E" w:rsidRPr="00F976B4">
        <w:rPr>
          <w:rFonts w:ascii="Arial" w:hAnsi="Arial"/>
          <w:sz w:val="24"/>
          <w:szCs w:val="24"/>
        </w:rPr>
        <w:t xml:space="preserve">.” </w:t>
      </w:r>
      <w:r w:rsidRPr="00F976B4">
        <w:rPr>
          <w:rFonts w:ascii="Arial" w:hAnsi="Arial"/>
          <w:sz w:val="24"/>
          <w:szCs w:val="24"/>
        </w:rPr>
        <w:t xml:space="preserve"> </w:t>
      </w:r>
      <w:r w:rsidR="00BB372E" w:rsidRPr="00F976B4">
        <w:rPr>
          <w:rFonts w:ascii="Arial" w:hAnsi="Arial"/>
          <w:sz w:val="24"/>
          <w:szCs w:val="24"/>
        </w:rPr>
        <w:t>While the Israelites speak of their food</w:t>
      </w:r>
      <w:r w:rsidR="00B75508">
        <w:rPr>
          <w:rFonts w:ascii="Arial" w:hAnsi="Arial"/>
          <w:sz w:val="24"/>
          <w:szCs w:val="24"/>
        </w:rPr>
        <w:t xml:space="preserve"> in Egypt as being “at no cost,”</w:t>
      </w:r>
      <w:r w:rsidR="00BB372E" w:rsidRPr="00F976B4">
        <w:rPr>
          <w:rFonts w:ascii="Arial" w:hAnsi="Arial"/>
          <w:sz w:val="24"/>
          <w:szCs w:val="24"/>
        </w:rPr>
        <w:t xml:space="preserve"> the narrator returns </w:t>
      </w:r>
      <w:r w:rsidRPr="00F976B4">
        <w:rPr>
          <w:rFonts w:ascii="Arial" w:hAnsi="Arial"/>
          <w:sz w:val="24"/>
          <w:szCs w:val="24"/>
        </w:rPr>
        <w:t>to hint t</w:t>
      </w:r>
      <w:r w:rsidR="00BB372E" w:rsidRPr="00F976B4">
        <w:rPr>
          <w:rFonts w:ascii="Arial" w:hAnsi="Arial"/>
          <w:sz w:val="24"/>
          <w:szCs w:val="24"/>
        </w:rPr>
        <w:t>hat nothing has changed</w:t>
      </w:r>
      <w:r w:rsidR="00B75508">
        <w:rPr>
          <w:rFonts w:ascii="Arial" w:hAnsi="Arial"/>
          <w:sz w:val="24"/>
          <w:szCs w:val="24"/>
        </w:rPr>
        <w:t>.</w:t>
      </w:r>
      <w:r w:rsidR="00BB372E" w:rsidRPr="00F976B4">
        <w:rPr>
          <w:rFonts w:ascii="Arial" w:hAnsi="Arial"/>
          <w:sz w:val="24"/>
          <w:szCs w:val="24"/>
        </w:rPr>
        <w:t xml:space="preserve"> </w:t>
      </w:r>
      <w:r w:rsidR="00B75508">
        <w:rPr>
          <w:rFonts w:ascii="Arial" w:hAnsi="Arial"/>
          <w:sz w:val="24"/>
          <w:szCs w:val="24"/>
        </w:rPr>
        <w:t>“T</w:t>
      </w:r>
      <w:r w:rsidR="00BB372E" w:rsidRPr="00F976B4">
        <w:rPr>
          <w:rFonts w:ascii="Arial" w:hAnsi="Arial"/>
          <w:sz w:val="24"/>
          <w:szCs w:val="24"/>
        </w:rPr>
        <w:t xml:space="preserve">he people went about and gathered” — the manna </w:t>
      </w:r>
      <w:r w:rsidRPr="00F976B4">
        <w:rPr>
          <w:rFonts w:ascii="Arial" w:hAnsi="Arial"/>
          <w:sz w:val="24"/>
          <w:szCs w:val="24"/>
        </w:rPr>
        <w:t xml:space="preserve">too </w:t>
      </w:r>
      <w:r w:rsidR="00BB372E" w:rsidRPr="00F976B4">
        <w:rPr>
          <w:rFonts w:ascii="Arial" w:hAnsi="Arial"/>
          <w:sz w:val="24"/>
          <w:szCs w:val="24"/>
        </w:rPr>
        <w:t xml:space="preserve">is given to them </w:t>
      </w:r>
      <w:r w:rsidRPr="00F976B4">
        <w:rPr>
          <w:rFonts w:ascii="Arial" w:hAnsi="Arial"/>
          <w:sz w:val="24"/>
          <w:szCs w:val="24"/>
        </w:rPr>
        <w:t>“</w:t>
      </w:r>
      <w:r w:rsidR="00BB372E" w:rsidRPr="00F976B4">
        <w:rPr>
          <w:rFonts w:ascii="Arial" w:hAnsi="Arial"/>
          <w:sz w:val="24"/>
          <w:szCs w:val="24"/>
        </w:rPr>
        <w:t xml:space="preserve">at </w:t>
      </w:r>
      <w:r w:rsidR="00741978" w:rsidRPr="00F976B4">
        <w:rPr>
          <w:rFonts w:ascii="Arial" w:hAnsi="Arial"/>
          <w:sz w:val="24"/>
          <w:szCs w:val="24"/>
        </w:rPr>
        <w:t>no</w:t>
      </w:r>
      <w:r w:rsidR="00BB372E" w:rsidRPr="00F976B4">
        <w:rPr>
          <w:rFonts w:ascii="Arial" w:hAnsi="Arial"/>
          <w:sz w:val="24"/>
          <w:szCs w:val="24"/>
        </w:rPr>
        <w:t xml:space="preserve"> cost</w:t>
      </w:r>
      <w:r w:rsidR="00B75508">
        <w:rPr>
          <w:rFonts w:ascii="Arial" w:hAnsi="Arial"/>
          <w:sz w:val="24"/>
          <w:szCs w:val="24"/>
        </w:rPr>
        <w:t>;”</w:t>
      </w:r>
      <w:r w:rsidR="00BB372E" w:rsidRPr="00F976B4">
        <w:rPr>
          <w:rFonts w:ascii="Arial" w:hAnsi="Arial"/>
          <w:sz w:val="24"/>
          <w:szCs w:val="24"/>
        </w:rPr>
        <w:t xml:space="preserve"> one </w:t>
      </w:r>
      <w:r w:rsidRPr="00F976B4">
        <w:rPr>
          <w:rFonts w:ascii="Arial" w:hAnsi="Arial"/>
          <w:sz w:val="24"/>
          <w:szCs w:val="24"/>
        </w:rPr>
        <w:t>need</w:t>
      </w:r>
      <w:r w:rsidR="00BB372E" w:rsidRPr="00F976B4">
        <w:rPr>
          <w:rFonts w:ascii="Arial" w:hAnsi="Arial"/>
          <w:sz w:val="24"/>
          <w:szCs w:val="24"/>
        </w:rPr>
        <w:t xml:space="preserve"> only stretch out the hand and take it</w:t>
      </w:r>
      <w:r w:rsidR="004168D9" w:rsidRPr="00F976B4">
        <w:rPr>
          <w:rFonts w:ascii="Arial" w:hAnsi="Arial"/>
          <w:sz w:val="24"/>
          <w:szCs w:val="24"/>
        </w:rPr>
        <w:t xml:space="preserve">.  </w:t>
      </w:r>
      <w:r w:rsidR="00BB372E" w:rsidRPr="00F976B4">
        <w:rPr>
          <w:rFonts w:ascii="Arial" w:hAnsi="Arial"/>
          <w:sz w:val="24"/>
          <w:szCs w:val="24"/>
        </w:rPr>
        <w:t xml:space="preserve">While the Israelites claim “but now </w:t>
      </w:r>
      <w:r w:rsidR="00385FDC" w:rsidRPr="00F976B4">
        <w:rPr>
          <w:rFonts w:ascii="Arial" w:hAnsi="Arial"/>
          <w:sz w:val="24"/>
          <w:szCs w:val="24"/>
        </w:rPr>
        <w:t xml:space="preserve">our soul is </w:t>
      </w:r>
      <w:r w:rsidR="00451B7A" w:rsidRPr="00F976B4">
        <w:rPr>
          <w:rFonts w:ascii="Arial" w:hAnsi="Arial"/>
          <w:sz w:val="24"/>
          <w:szCs w:val="24"/>
        </w:rPr>
        <w:t>dry</w:t>
      </w:r>
      <w:r w:rsidR="00B75508">
        <w:rPr>
          <w:rFonts w:ascii="Arial" w:hAnsi="Arial"/>
          <w:sz w:val="24"/>
          <w:szCs w:val="24"/>
        </w:rPr>
        <w:t>,”</w:t>
      </w:r>
      <w:r w:rsidR="00385FDC" w:rsidRPr="00F976B4">
        <w:rPr>
          <w:rFonts w:ascii="Arial" w:hAnsi="Arial"/>
          <w:sz w:val="24"/>
          <w:szCs w:val="24"/>
        </w:rPr>
        <w:t xml:space="preserve"> the narrator </w:t>
      </w:r>
      <w:r w:rsidRPr="00F976B4">
        <w:rPr>
          <w:rFonts w:ascii="Arial" w:hAnsi="Arial"/>
          <w:sz w:val="24"/>
          <w:szCs w:val="24"/>
        </w:rPr>
        <w:t>punctures this complaint by attesting that the manna is moist: “I</w:t>
      </w:r>
      <w:r w:rsidR="00385FDC" w:rsidRPr="00F976B4">
        <w:rPr>
          <w:rFonts w:ascii="Arial" w:hAnsi="Arial"/>
          <w:sz w:val="24"/>
          <w:szCs w:val="24"/>
        </w:rPr>
        <w:t>t tasted like something made with olive oil</w:t>
      </w:r>
      <w:r w:rsidR="004168D9" w:rsidRPr="00F976B4">
        <w:rPr>
          <w:rFonts w:ascii="Arial" w:hAnsi="Arial"/>
          <w:sz w:val="24"/>
          <w:szCs w:val="24"/>
        </w:rPr>
        <w:t xml:space="preserve">.  </w:t>
      </w:r>
      <w:r w:rsidR="00385FDC" w:rsidRPr="00F976B4">
        <w:rPr>
          <w:rFonts w:ascii="Arial" w:hAnsi="Arial"/>
          <w:sz w:val="24"/>
          <w:szCs w:val="24"/>
        </w:rPr>
        <w:t>When the d</w:t>
      </w:r>
      <w:r w:rsidRPr="00F976B4">
        <w:rPr>
          <w:rFonts w:ascii="Arial" w:hAnsi="Arial"/>
          <w:sz w:val="24"/>
          <w:szCs w:val="24"/>
        </w:rPr>
        <w:t>ew settled on the camp at night…</w:t>
      </w:r>
      <w:r w:rsidR="00385FDC" w:rsidRPr="00F976B4">
        <w:rPr>
          <w:rFonts w:ascii="Arial" w:hAnsi="Arial"/>
          <w:sz w:val="24"/>
          <w:szCs w:val="24"/>
        </w:rPr>
        <w:t>”</w:t>
      </w:r>
      <w:r w:rsidR="00385FDC" w:rsidRPr="00B75508">
        <w:rPr>
          <w:rStyle w:val="FootnoteCharacters"/>
          <w:rFonts w:ascii="Arial" w:hAnsi="Arial" w:cs="Arial"/>
          <w:sz w:val="24"/>
          <w:szCs w:val="24"/>
          <w:vertAlign w:val="superscript"/>
        </w:rPr>
        <w:footnoteReference w:id="2"/>
      </w:r>
      <w:r w:rsidR="00385FDC" w:rsidRPr="00F976B4">
        <w:rPr>
          <w:rFonts w:ascii="Arial" w:hAnsi="Arial"/>
          <w:sz w:val="24"/>
          <w:szCs w:val="24"/>
        </w:rPr>
        <w:t xml:space="preserve"> </w:t>
      </w:r>
      <w:r w:rsidRPr="00F976B4">
        <w:rPr>
          <w:rFonts w:ascii="Arial" w:hAnsi="Arial"/>
          <w:sz w:val="24"/>
          <w:szCs w:val="24"/>
        </w:rPr>
        <w:t xml:space="preserve"> </w:t>
      </w:r>
      <w:r w:rsidR="00385FDC" w:rsidRPr="00F976B4">
        <w:rPr>
          <w:rFonts w:ascii="Arial" w:hAnsi="Arial"/>
          <w:sz w:val="24"/>
          <w:szCs w:val="24"/>
        </w:rPr>
        <w:t xml:space="preserve">In </w:t>
      </w:r>
      <w:r w:rsidR="004F0248" w:rsidRPr="00F976B4">
        <w:rPr>
          <w:rFonts w:ascii="Arial" w:hAnsi="Arial"/>
          <w:sz w:val="24"/>
          <w:szCs w:val="24"/>
        </w:rPr>
        <w:t xml:space="preserve">this description, the narrator consistently emphasizes the security and consistency of this food </w:t>
      </w:r>
      <w:r w:rsidR="00B75508">
        <w:rPr>
          <w:rFonts w:ascii="Arial" w:hAnsi="Arial"/>
          <w:sz w:val="24"/>
          <w:szCs w:val="24"/>
        </w:rPr>
        <w:t>that</w:t>
      </w:r>
      <w:r w:rsidR="004F0248" w:rsidRPr="00F976B4">
        <w:rPr>
          <w:rFonts w:ascii="Arial" w:hAnsi="Arial"/>
          <w:sz w:val="24"/>
          <w:szCs w:val="24"/>
        </w:rPr>
        <w:t xml:space="preserve"> </w:t>
      </w:r>
      <w:r w:rsidR="00385FDC" w:rsidRPr="00F976B4">
        <w:rPr>
          <w:rFonts w:ascii="Arial" w:hAnsi="Arial"/>
          <w:sz w:val="24"/>
          <w:szCs w:val="24"/>
        </w:rPr>
        <w:t>the Israelites receive</w:t>
      </w:r>
      <w:r w:rsidR="00B75508">
        <w:rPr>
          <w:rFonts w:ascii="Arial" w:hAnsi="Arial"/>
          <w:sz w:val="24"/>
          <w:szCs w:val="24"/>
        </w:rPr>
        <w:t>;</w:t>
      </w:r>
      <w:r w:rsidR="00385FDC" w:rsidRPr="00F976B4">
        <w:rPr>
          <w:rFonts w:ascii="Arial" w:hAnsi="Arial"/>
          <w:sz w:val="24"/>
          <w:szCs w:val="24"/>
        </w:rPr>
        <w:t xml:space="preserve"> every night </w:t>
      </w:r>
      <w:r w:rsidR="004F0248" w:rsidRPr="00F976B4">
        <w:rPr>
          <w:rFonts w:ascii="Arial" w:hAnsi="Arial"/>
          <w:sz w:val="24"/>
          <w:szCs w:val="24"/>
        </w:rPr>
        <w:t xml:space="preserve">this </w:t>
      </w:r>
      <w:r w:rsidR="00385FDC" w:rsidRPr="00F976B4">
        <w:rPr>
          <w:rFonts w:ascii="Arial" w:hAnsi="Arial"/>
          <w:sz w:val="24"/>
          <w:szCs w:val="24"/>
        </w:rPr>
        <w:t xml:space="preserve">daily </w:t>
      </w:r>
      <w:r w:rsidR="00741978" w:rsidRPr="00F976B4">
        <w:rPr>
          <w:rFonts w:ascii="Arial" w:hAnsi="Arial"/>
          <w:sz w:val="24"/>
          <w:szCs w:val="24"/>
        </w:rPr>
        <w:t>portion</w:t>
      </w:r>
      <w:r w:rsidR="00385FDC" w:rsidRPr="00F976B4">
        <w:rPr>
          <w:rFonts w:ascii="Arial" w:hAnsi="Arial"/>
          <w:sz w:val="24"/>
          <w:szCs w:val="24"/>
        </w:rPr>
        <w:t xml:space="preserve"> of food </w:t>
      </w:r>
      <w:r w:rsidR="004F0248" w:rsidRPr="00F976B4">
        <w:rPr>
          <w:rFonts w:ascii="Arial" w:hAnsi="Arial"/>
          <w:sz w:val="24"/>
          <w:szCs w:val="24"/>
        </w:rPr>
        <w:t>is laid out</w:t>
      </w:r>
      <w:r w:rsidR="00385FDC" w:rsidRPr="00F976B4">
        <w:rPr>
          <w:rFonts w:ascii="Arial" w:hAnsi="Arial"/>
          <w:sz w:val="24"/>
          <w:szCs w:val="24"/>
        </w:rPr>
        <w:t xml:space="preserve"> the entrance of their tents.</w:t>
      </w:r>
    </w:p>
    <w:p w:rsidR="004C2C25" w:rsidRDefault="004C2C25" w:rsidP="004C2C25">
      <w:pPr>
        <w:bidi w:val="0"/>
        <w:ind w:firstLine="720"/>
        <w:jc w:val="both"/>
        <w:rPr>
          <w:rFonts w:ascii="Arial" w:hAnsi="Arial"/>
          <w:sz w:val="24"/>
          <w:szCs w:val="24"/>
        </w:rPr>
      </w:pPr>
    </w:p>
    <w:p w:rsidR="005319F6" w:rsidRPr="00F976B4" w:rsidRDefault="005319F6" w:rsidP="004C2C25">
      <w:pPr>
        <w:bidi w:val="0"/>
        <w:ind w:firstLine="720"/>
        <w:jc w:val="both"/>
        <w:rPr>
          <w:rFonts w:ascii="Arial" w:hAnsi="Arial"/>
          <w:sz w:val="24"/>
          <w:szCs w:val="24"/>
        </w:rPr>
      </w:pPr>
      <w:r w:rsidRPr="00F976B4">
        <w:rPr>
          <w:rFonts w:ascii="Arial" w:hAnsi="Arial"/>
          <w:sz w:val="24"/>
          <w:szCs w:val="24"/>
        </w:rPr>
        <w:t>Beyond this, the verse need say no more</w:t>
      </w:r>
      <w:r w:rsidR="004168D9" w:rsidRPr="00F976B4">
        <w:rPr>
          <w:rFonts w:ascii="Arial" w:hAnsi="Arial"/>
          <w:sz w:val="24"/>
          <w:szCs w:val="24"/>
        </w:rPr>
        <w:t xml:space="preserve">.  </w:t>
      </w:r>
      <w:r w:rsidRPr="00F976B4">
        <w:rPr>
          <w:rFonts w:ascii="Arial" w:hAnsi="Arial"/>
          <w:sz w:val="24"/>
          <w:szCs w:val="24"/>
        </w:rPr>
        <w:t xml:space="preserve">The very description of the manna in this place, immediately after their complaint, undermines </w:t>
      </w:r>
      <w:r w:rsidR="004F0248" w:rsidRPr="00F976B4">
        <w:rPr>
          <w:rFonts w:ascii="Arial" w:hAnsi="Arial"/>
          <w:sz w:val="24"/>
          <w:szCs w:val="24"/>
        </w:rPr>
        <w:t>their argu</w:t>
      </w:r>
      <w:r w:rsidR="004E4952" w:rsidRPr="00F976B4">
        <w:rPr>
          <w:rFonts w:ascii="Arial" w:hAnsi="Arial"/>
          <w:sz w:val="24"/>
          <w:szCs w:val="24"/>
        </w:rPr>
        <w:t>ments</w:t>
      </w:r>
      <w:r w:rsidR="004168D9" w:rsidRPr="00F976B4">
        <w:rPr>
          <w:rFonts w:ascii="Arial" w:hAnsi="Arial"/>
          <w:sz w:val="24"/>
          <w:szCs w:val="24"/>
        </w:rPr>
        <w:t xml:space="preserve">.  </w:t>
      </w:r>
      <w:r w:rsidRPr="00F976B4">
        <w:rPr>
          <w:rFonts w:ascii="Arial" w:hAnsi="Arial"/>
          <w:sz w:val="24"/>
          <w:szCs w:val="24"/>
        </w:rPr>
        <w:t>Indeed, even if the presentation of the manna</w:t>
      </w:r>
      <w:r w:rsidR="004F0248" w:rsidRPr="00F976B4">
        <w:rPr>
          <w:rFonts w:ascii="Arial" w:hAnsi="Arial"/>
          <w:sz w:val="24"/>
          <w:szCs w:val="24"/>
        </w:rPr>
        <w:t xml:space="preserve"> would have been included </w:t>
      </w:r>
      <w:r w:rsidRPr="00F976B4">
        <w:rPr>
          <w:rFonts w:ascii="Arial" w:hAnsi="Arial"/>
          <w:sz w:val="24"/>
          <w:szCs w:val="24"/>
        </w:rPr>
        <w:t>at the beginning of the story, the reader would understand that there is no</w:t>
      </w:r>
      <w:r w:rsidR="004F0248" w:rsidRPr="00F976B4">
        <w:rPr>
          <w:rFonts w:ascii="Arial" w:hAnsi="Arial"/>
          <w:sz w:val="24"/>
          <w:szCs w:val="24"/>
        </w:rPr>
        <w:t xml:space="preserve"> substance</w:t>
      </w:r>
      <w:r w:rsidRPr="00F976B4">
        <w:rPr>
          <w:rFonts w:ascii="Arial" w:hAnsi="Arial"/>
          <w:sz w:val="24"/>
          <w:szCs w:val="24"/>
        </w:rPr>
        <w:t xml:space="preserve"> in the complaints of the </w:t>
      </w:r>
      <w:r w:rsidR="00451B7A" w:rsidRPr="00F976B4">
        <w:rPr>
          <w:rFonts w:ascii="Arial" w:hAnsi="Arial"/>
          <w:i/>
          <w:sz w:val="24"/>
          <w:szCs w:val="24"/>
        </w:rPr>
        <w:t>Mitavim</w:t>
      </w:r>
      <w:r w:rsidR="004F0248" w:rsidRPr="00F976B4">
        <w:rPr>
          <w:rFonts w:ascii="Arial" w:hAnsi="Arial"/>
          <w:sz w:val="24"/>
          <w:szCs w:val="24"/>
        </w:rPr>
        <w:t xml:space="preserve">; </w:t>
      </w:r>
      <w:r w:rsidR="004E4952" w:rsidRPr="00F976B4">
        <w:rPr>
          <w:rFonts w:ascii="Arial" w:hAnsi="Arial"/>
          <w:sz w:val="24"/>
          <w:szCs w:val="24"/>
        </w:rPr>
        <w:t>nevertheless</w:t>
      </w:r>
      <w:r w:rsidR="004F0248" w:rsidRPr="00F976B4">
        <w:rPr>
          <w:rFonts w:ascii="Arial" w:hAnsi="Arial"/>
          <w:sz w:val="24"/>
          <w:szCs w:val="24"/>
        </w:rPr>
        <w:t>,</w:t>
      </w:r>
      <w:r w:rsidRPr="00F976B4">
        <w:rPr>
          <w:rFonts w:ascii="Arial" w:hAnsi="Arial"/>
          <w:sz w:val="24"/>
          <w:szCs w:val="24"/>
        </w:rPr>
        <w:t xml:space="preserve"> inserting the characterization of the manna in this p</w:t>
      </w:r>
      <w:r w:rsidR="004F0248" w:rsidRPr="00F976B4">
        <w:rPr>
          <w:rFonts w:ascii="Arial" w:hAnsi="Arial"/>
          <w:sz w:val="24"/>
          <w:szCs w:val="24"/>
        </w:rPr>
        <w:t>recise location</w:t>
      </w:r>
      <w:r w:rsidRPr="00F976B4">
        <w:rPr>
          <w:rFonts w:ascii="Arial" w:hAnsi="Arial"/>
          <w:sz w:val="24"/>
          <w:szCs w:val="24"/>
        </w:rPr>
        <w:t xml:space="preserve"> highlights this issue more</w:t>
      </w:r>
      <w:r w:rsidR="004F0248" w:rsidRPr="00F976B4">
        <w:rPr>
          <w:rFonts w:ascii="Arial" w:hAnsi="Arial"/>
          <w:sz w:val="24"/>
          <w:szCs w:val="24"/>
        </w:rPr>
        <w:t xml:space="preserve"> so</w:t>
      </w:r>
      <w:r w:rsidRPr="00F976B4">
        <w:rPr>
          <w:rFonts w:ascii="Arial" w:hAnsi="Arial"/>
          <w:sz w:val="24"/>
          <w:szCs w:val="24"/>
        </w:rPr>
        <w:t>, with caustic irony</w:t>
      </w:r>
      <w:r w:rsidR="004168D9" w:rsidRPr="00F976B4">
        <w:rPr>
          <w:rFonts w:ascii="Arial" w:hAnsi="Arial"/>
          <w:sz w:val="24"/>
          <w:szCs w:val="24"/>
        </w:rPr>
        <w:t xml:space="preserve">.  </w:t>
      </w:r>
    </w:p>
    <w:p w:rsidR="005319F6" w:rsidRPr="00F976B4" w:rsidRDefault="005319F6" w:rsidP="004C2C25">
      <w:pPr>
        <w:bidi w:val="0"/>
        <w:jc w:val="both"/>
        <w:rPr>
          <w:rFonts w:ascii="Arial" w:hAnsi="Arial"/>
          <w:sz w:val="24"/>
          <w:szCs w:val="24"/>
        </w:rPr>
      </w:pPr>
    </w:p>
    <w:p w:rsidR="005319F6" w:rsidRPr="00F976B4" w:rsidRDefault="005319F6" w:rsidP="004C2C25">
      <w:pPr>
        <w:bidi w:val="0"/>
        <w:jc w:val="center"/>
        <w:rPr>
          <w:rFonts w:ascii="Arial" w:hAnsi="Arial"/>
          <w:b/>
          <w:bCs/>
          <w:sz w:val="24"/>
          <w:szCs w:val="24"/>
        </w:rPr>
      </w:pPr>
      <w:r w:rsidRPr="00F976B4">
        <w:rPr>
          <w:rFonts w:ascii="Arial" w:hAnsi="Arial"/>
          <w:b/>
          <w:bCs/>
          <w:sz w:val="24"/>
          <w:szCs w:val="24"/>
        </w:rPr>
        <w:t>EXPOSITION</w:t>
      </w:r>
    </w:p>
    <w:p w:rsidR="004C2C25" w:rsidRDefault="004C2C25" w:rsidP="004C2C25">
      <w:pPr>
        <w:bidi w:val="0"/>
        <w:ind w:firstLine="0"/>
        <w:rPr>
          <w:rFonts w:ascii="Arial" w:hAnsi="Arial"/>
          <w:b/>
          <w:bCs/>
          <w:sz w:val="24"/>
          <w:szCs w:val="24"/>
        </w:rPr>
      </w:pPr>
    </w:p>
    <w:p w:rsidR="001F414B" w:rsidRPr="00F976B4" w:rsidRDefault="001F414B" w:rsidP="004C2C25">
      <w:pPr>
        <w:bidi w:val="0"/>
        <w:ind w:firstLine="0"/>
        <w:rPr>
          <w:rFonts w:ascii="Arial" w:hAnsi="Arial"/>
          <w:b/>
          <w:bCs/>
          <w:sz w:val="24"/>
          <w:szCs w:val="24"/>
        </w:rPr>
      </w:pPr>
      <w:r w:rsidRPr="00F976B4">
        <w:rPr>
          <w:rFonts w:ascii="Arial" w:hAnsi="Arial"/>
          <w:b/>
          <w:bCs/>
          <w:sz w:val="24"/>
          <w:szCs w:val="24"/>
        </w:rPr>
        <w:t>Evaluative Exposition</w:t>
      </w:r>
    </w:p>
    <w:p w:rsidR="004C2C25" w:rsidRDefault="004C2C25" w:rsidP="004C2C25">
      <w:pPr>
        <w:bidi w:val="0"/>
        <w:jc w:val="both"/>
        <w:rPr>
          <w:rFonts w:ascii="Arial" w:hAnsi="Arial"/>
          <w:sz w:val="24"/>
          <w:szCs w:val="24"/>
        </w:rPr>
      </w:pPr>
    </w:p>
    <w:p w:rsidR="004E4952" w:rsidRPr="00F976B4" w:rsidRDefault="005319F6" w:rsidP="004C2C25">
      <w:pPr>
        <w:bidi w:val="0"/>
        <w:ind w:firstLine="720"/>
        <w:jc w:val="both"/>
        <w:rPr>
          <w:rFonts w:ascii="Arial" w:hAnsi="Arial"/>
          <w:sz w:val="24"/>
          <w:szCs w:val="24"/>
        </w:rPr>
      </w:pPr>
      <w:r w:rsidRPr="00F976B4">
        <w:rPr>
          <w:rFonts w:ascii="Arial" w:hAnsi="Arial"/>
          <w:sz w:val="24"/>
          <w:szCs w:val="24"/>
        </w:rPr>
        <w:t xml:space="preserve">At the </w:t>
      </w:r>
      <w:r w:rsidR="004E4952" w:rsidRPr="00F976B4">
        <w:rPr>
          <w:rFonts w:ascii="Arial" w:hAnsi="Arial"/>
          <w:sz w:val="24"/>
          <w:szCs w:val="24"/>
        </w:rPr>
        <w:t>stage</w:t>
      </w:r>
      <w:r w:rsidRPr="00F976B4">
        <w:rPr>
          <w:rFonts w:ascii="Arial" w:hAnsi="Arial"/>
          <w:sz w:val="24"/>
          <w:szCs w:val="24"/>
        </w:rPr>
        <w:t xml:space="preserve"> </w:t>
      </w:r>
      <w:r w:rsidR="00B75508">
        <w:rPr>
          <w:rFonts w:ascii="Arial" w:hAnsi="Arial"/>
          <w:sz w:val="24"/>
          <w:szCs w:val="24"/>
        </w:rPr>
        <w:t>that</w:t>
      </w:r>
      <w:r w:rsidRPr="00F976B4">
        <w:rPr>
          <w:rFonts w:ascii="Arial" w:hAnsi="Arial"/>
          <w:sz w:val="24"/>
          <w:szCs w:val="24"/>
        </w:rPr>
        <w:t xml:space="preserve"> opens the story, the level of exposition, the </w:t>
      </w:r>
      <w:r w:rsidR="004F0248" w:rsidRPr="00F976B4">
        <w:rPr>
          <w:rFonts w:ascii="Arial" w:hAnsi="Arial"/>
          <w:sz w:val="24"/>
          <w:szCs w:val="24"/>
        </w:rPr>
        <w:t xml:space="preserve">supposedly impartial </w:t>
      </w:r>
      <w:r w:rsidRPr="00F976B4">
        <w:rPr>
          <w:rFonts w:ascii="Arial" w:hAnsi="Arial"/>
          <w:sz w:val="24"/>
          <w:szCs w:val="24"/>
        </w:rPr>
        <w:t xml:space="preserve">narrator is found in the disingenuous position </w:t>
      </w:r>
      <w:r w:rsidR="004F0248" w:rsidRPr="00F976B4">
        <w:rPr>
          <w:rFonts w:ascii="Arial" w:hAnsi="Arial"/>
          <w:sz w:val="24"/>
          <w:szCs w:val="24"/>
        </w:rPr>
        <w:t>of telling t</w:t>
      </w:r>
      <w:r w:rsidRPr="00F976B4">
        <w:rPr>
          <w:rFonts w:ascii="Arial" w:hAnsi="Arial"/>
          <w:sz w:val="24"/>
          <w:szCs w:val="24"/>
        </w:rPr>
        <w:t>he reader who</w:t>
      </w:r>
      <w:r w:rsidR="004F0248" w:rsidRPr="00F976B4">
        <w:rPr>
          <w:rFonts w:ascii="Arial" w:hAnsi="Arial"/>
          <w:sz w:val="24"/>
          <w:szCs w:val="24"/>
        </w:rPr>
        <w:t xml:space="preserve"> will appear in the story</w:t>
      </w:r>
      <w:r w:rsidR="004168D9" w:rsidRPr="00F976B4">
        <w:rPr>
          <w:rFonts w:ascii="Arial" w:hAnsi="Arial"/>
          <w:sz w:val="24"/>
          <w:szCs w:val="24"/>
        </w:rPr>
        <w:t xml:space="preserve">.  </w:t>
      </w:r>
      <w:r w:rsidRPr="00F976B4">
        <w:rPr>
          <w:rFonts w:ascii="Arial" w:hAnsi="Arial"/>
          <w:sz w:val="24"/>
          <w:szCs w:val="24"/>
        </w:rPr>
        <w:t xml:space="preserve">A slight bias of characterization </w:t>
      </w:r>
      <w:r w:rsidR="004F0248" w:rsidRPr="00F976B4">
        <w:rPr>
          <w:rFonts w:ascii="Arial" w:hAnsi="Arial"/>
          <w:sz w:val="24"/>
          <w:szCs w:val="24"/>
        </w:rPr>
        <w:t xml:space="preserve">to one side or the other </w:t>
      </w:r>
      <w:r w:rsidR="00D34458" w:rsidRPr="00F976B4">
        <w:rPr>
          <w:rFonts w:ascii="Arial" w:hAnsi="Arial"/>
          <w:sz w:val="24"/>
          <w:szCs w:val="24"/>
        </w:rPr>
        <w:t xml:space="preserve">is enough </w:t>
      </w:r>
      <w:r w:rsidR="004F0248" w:rsidRPr="00F976B4">
        <w:rPr>
          <w:rFonts w:ascii="Arial" w:hAnsi="Arial"/>
          <w:sz w:val="24"/>
          <w:szCs w:val="24"/>
        </w:rPr>
        <w:t>to set</w:t>
      </w:r>
      <w:r w:rsidR="00D34458" w:rsidRPr="00F976B4">
        <w:rPr>
          <w:rFonts w:ascii="Arial" w:hAnsi="Arial"/>
          <w:sz w:val="24"/>
          <w:szCs w:val="24"/>
        </w:rPr>
        <w:t xml:space="preserve"> the reader </w:t>
      </w:r>
      <w:r w:rsidR="004F0248" w:rsidRPr="00F976B4">
        <w:rPr>
          <w:rFonts w:ascii="Arial" w:hAnsi="Arial"/>
          <w:sz w:val="24"/>
          <w:szCs w:val="24"/>
        </w:rPr>
        <w:t xml:space="preserve">on a </w:t>
      </w:r>
      <w:r w:rsidR="00D34458" w:rsidRPr="00F976B4">
        <w:rPr>
          <w:rFonts w:ascii="Arial" w:hAnsi="Arial"/>
          <w:sz w:val="24"/>
          <w:szCs w:val="24"/>
        </w:rPr>
        <w:t xml:space="preserve">narrative journey </w:t>
      </w:r>
      <w:r w:rsidR="004F0248" w:rsidRPr="00F976B4">
        <w:rPr>
          <w:rFonts w:ascii="Arial" w:hAnsi="Arial"/>
          <w:sz w:val="24"/>
          <w:szCs w:val="24"/>
        </w:rPr>
        <w:t>oriented as the verse desires.</w:t>
      </w:r>
      <w:r w:rsidR="004168D9" w:rsidRPr="00F976B4">
        <w:rPr>
          <w:rFonts w:ascii="Arial" w:hAnsi="Arial"/>
          <w:sz w:val="24"/>
          <w:szCs w:val="24"/>
        </w:rPr>
        <w:t xml:space="preserve"> </w:t>
      </w:r>
      <w:r w:rsidR="004F0248" w:rsidRPr="00F976B4">
        <w:rPr>
          <w:rFonts w:ascii="Arial" w:hAnsi="Arial"/>
          <w:sz w:val="24"/>
          <w:szCs w:val="24"/>
        </w:rPr>
        <w:t>Generally, the</w:t>
      </w:r>
      <w:r w:rsidR="00D34458" w:rsidRPr="00F976B4">
        <w:rPr>
          <w:rFonts w:ascii="Arial" w:hAnsi="Arial"/>
          <w:sz w:val="24"/>
          <w:szCs w:val="24"/>
        </w:rPr>
        <w:t>s</w:t>
      </w:r>
      <w:r w:rsidR="004F0248" w:rsidRPr="00F976B4">
        <w:rPr>
          <w:rFonts w:ascii="Arial" w:hAnsi="Arial"/>
          <w:sz w:val="24"/>
          <w:szCs w:val="24"/>
        </w:rPr>
        <w:t>e</w:t>
      </w:r>
      <w:r w:rsidR="00D34458" w:rsidRPr="00F976B4">
        <w:rPr>
          <w:rFonts w:ascii="Arial" w:hAnsi="Arial"/>
          <w:sz w:val="24"/>
          <w:szCs w:val="24"/>
        </w:rPr>
        <w:t xml:space="preserve"> </w:t>
      </w:r>
      <w:r w:rsidR="004F0248" w:rsidRPr="00F976B4">
        <w:rPr>
          <w:rFonts w:ascii="Arial" w:hAnsi="Arial"/>
          <w:sz w:val="24"/>
          <w:szCs w:val="24"/>
        </w:rPr>
        <w:t xml:space="preserve">are </w:t>
      </w:r>
      <w:r w:rsidR="00D34458" w:rsidRPr="00F976B4">
        <w:rPr>
          <w:rFonts w:ascii="Arial" w:hAnsi="Arial"/>
          <w:sz w:val="24"/>
          <w:szCs w:val="24"/>
        </w:rPr>
        <w:t>the detail</w:t>
      </w:r>
      <w:r w:rsidR="004F0248" w:rsidRPr="00F976B4">
        <w:rPr>
          <w:rFonts w:ascii="Arial" w:hAnsi="Arial"/>
          <w:sz w:val="24"/>
          <w:szCs w:val="24"/>
        </w:rPr>
        <w:t>s</w:t>
      </w:r>
      <w:r w:rsidR="00D34458" w:rsidRPr="00F976B4">
        <w:rPr>
          <w:rFonts w:ascii="Arial" w:hAnsi="Arial"/>
          <w:sz w:val="24"/>
          <w:szCs w:val="24"/>
        </w:rPr>
        <w:t xml:space="preserve"> with which the story opens</w:t>
      </w:r>
      <w:r w:rsidR="004F0248" w:rsidRPr="00F976B4">
        <w:rPr>
          <w:rFonts w:ascii="Arial" w:hAnsi="Arial"/>
          <w:sz w:val="24"/>
          <w:szCs w:val="24"/>
        </w:rPr>
        <w:t xml:space="preserve">, and </w:t>
      </w:r>
      <w:r w:rsidR="00D34458" w:rsidRPr="00F976B4">
        <w:rPr>
          <w:rFonts w:ascii="Arial" w:hAnsi="Arial"/>
          <w:sz w:val="24"/>
          <w:szCs w:val="24"/>
        </w:rPr>
        <w:t>t</w:t>
      </w:r>
      <w:r w:rsidR="004F0248" w:rsidRPr="00F976B4">
        <w:rPr>
          <w:rFonts w:ascii="Arial" w:hAnsi="Arial"/>
          <w:sz w:val="24"/>
          <w:szCs w:val="24"/>
        </w:rPr>
        <w:t>hey</w:t>
      </w:r>
      <w:r w:rsidR="00D34458" w:rsidRPr="00F976B4">
        <w:rPr>
          <w:rFonts w:ascii="Arial" w:hAnsi="Arial"/>
          <w:sz w:val="24"/>
          <w:szCs w:val="24"/>
        </w:rPr>
        <w:t xml:space="preserve"> ha</w:t>
      </w:r>
      <w:r w:rsidR="004F0248" w:rsidRPr="00F976B4">
        <w:rPr>
          <w:rFonts w:ascii="Arial" w:hAnsi="Arial"/>
          <w:sz w:val="24"/>
          <w:szCs w:val="24"/>
        </w:rPr>
        <w:t>ve</w:t>
      </w:r>
      <w:r w:rsidR="00867664" w:rsidRPr="00F976B4">
        <w:rPr>
          <w:rFonts w:ascii="Arial" w:hAnsi="Arial"/>
          <w:sz w:val="24"/>
          <w:szCs w:val="24"/>
        </w:rPr>
        <w:t xml:space="preserve"> a great</w:t>
      </w:r>
      <w:r w:rsidR="00D34458" w:rsidRPr="00F976B4">
        <w:rPr>
          <w:rFonts w:ascii="Arial" w:hAnsi="Arial"/>
          <w:sz w:val="24"/>
          <w:szCs w:val="24"/>
        </w:rPr>
        <w:t xml:space="preserve"> influence on the entire process of reading.</w:t>
      </w:r>
      <w:r w:rsidRPr="00B75508">
        <w:rPr>
          <w:rStyle w:val="FootnoteCharacters"/>
          <w:rFonts w:ascii="Arial" w:hAnsi="Arial" w:cs="Arial"/>
          <w:sz w:val="24"/>
          <w:szCs w:val="24"/>
          <w:vertAlign w:val="superscript"/>
        </w:rPr>
        <w:footnoteReference w:id="3"/>
      </w:r>
      <w:r w:rsidRPr="00F976B4">
        <w:rPr>
          <w:rFonts w:ascii="Arial" w:hAnsi="Arial"/>
          <w:sz w:val="24"/>
          <w:szCs w:val="24"/>
        </w:rPr>
        <w:t xml:space="preserve"> </w:t>
      </w:r>
      <w:r w:rsidR="004F0248" w:rsidRPr="00F976B4">
        <w:rPr>
          <w:rFonts w:ascii="Arial" w:hAnsi="Arial"/>
          <w:sz w:val="24"/>
          <w:szCs w:val="24"/>
        </w:rPr>
        <w:t xml:space="preserve"> </w:t>
      </w:r>
    </w:p>
    <w:p w:rsidR="004C2C25" w:rsidRDefault="004C2C25" w:rsidP="004C2C25">
      <w:pPr>
        <w:bidi w:val="0"/>
        <w:jc w:val="both"/>
        <w:rPr>
          <w:rFonts w:ascii="Arial" w:hAnsi="Arial"/>
          <w:sz w:val="24"/>
          <w:szCs w:val="24"/>
        </w:rPr>
      </w:pPr>
    </w:p>
    <w:p w:rsidR="008C30B4" w:rsidRPr="00F976B4" w:rsidRDefault="00867664" w:rsidP="004C2C25">
      <w:pPr>
        <w:bidi w:val="0"/>
        <w:ind w:firstLine="720"/>
        <w:jc w:val="both"/>
        <w:rPr>
          <w:rFonts w:ascii="Arial" w:hAnsi="Arial"/>
          <w:sz w:val="24"/>
          <w:szCs w:val="24"/>
        </w:rPr>
      </w:pPr>
      <w:r w:rsidRPr="00F976B4">
        <w:rPr>
          <w:rFonts w:ascii="Arial" w:hAnsi="Arial"/>
          <w:sz w:val="24"/>
          <w:szCs w:val="24"/>
        </w:rPr>
        <w:t xml:space="preserve">Let us take the example of </w:t>
      </w:r>
      <w:r w:rsidR="00D34458" w:rsidRPr="00F976B4">
        <w:rPr>
          <w:rFonts w:ascii="Arial" w:hAnsi="Arial"/>
          <w:sz w:val="24"/>
          <w:szCs w:val="24"/>
        </w:rPr>
        <w:t>the story of David, Naval</w:t>
      </w:r>
      <w:r w:rsidR="00B75508">
        <w:rPr>
          <w:rFonts w:ascii="Arial" w:hAnsi="Arial"/>
          <w:sz w:val="24"/>
          <w:szCs w:val="24"/>
        </w:rPr>
        <w:t>,</w:t>
      </w:r>
      <w:r w:rsidR="00D34458" w:rsidRPr="00F976B4">
        <w:rPr>
          <w:rFonts w:ascii="Arial" w:hAnsi="Arial"/>
          <w:sz w:val="24"/>
          <w:szCs w:val="24"/>
        </w:rPr>
        <w:t xml:space="preserve"> and Avigayil</w:t>
      </w:r>
      <w:r w:rsidRPr="00F976B4">
        <w:rPr>
          <w:rFonts w:ascii="Arial" w:hAnsi="Arial"/>
          <w:sz w:val="24"/>
          <w:szCs w:val="24"/>
        </w:rPr>
        <w:t xml:space="preserve"> (I </w:t>
      </w:r>
      <w:r w:rsidRPr="00B75508">
        <w:rPr>
          <w:rFonts w:ascii="Arial" w:hAnsi="Arial"/>
          <w:i/>
          <w:iCs/>
          <w:sz w:val="24"/>
          <w:szCs w:val="24"/>
        </w:rPr>
        <w:t>Shemuel</w:t>
      </w:r>
      <w:r w:rsidRPr="00F976B4">
        <w:rPr>
          <w:rFonts w:ascii="Arial" w:hAnsi="Arial"/>
          <w:sz w:val="24"/>
          <w:szCs w:val="24"/>
        </w:rPr>
        <w:t xml:space="preserve"> 25).</w:t>
      </w:r>
      <w:r w:rsidR="00D34458" w:rsidRPr="00F976B4">
        <w:rPr>
          <w:rFonts w:ascii="Arial" w:hAnsi="Arial"/>
          <w:sz w:val="24"/>
          <w:szCs w:val="24"/>
        </w:rPr>
        <w:t xml:space="preserve"> </w:t>
      </w:r>
      <w:r w:rsidRPr="00F976B4">
        <w:rPr>
          <w:rFonts w:ascii="Arial" w:hAnsi="Arial"/>
          <w:sz w:val="24"/>
          <w:szCs w:val="24"/>
        </w:rPr>
        <w:t xml:space="preserve"> The reader </w:t>
      </w:r>
      <w:r w:rsidR="00D34458" w:rsidRPr="00F976B4">
        <w:rPr>
          <w:rFonts w:ascii="Arial" w:hAnsi="Arial"/>
          <w:sz w:val="24"/>
          <w:szCs w:val="24"/>
        </w:rPr>
        <w:t xml:space="preserve">has </w:t>
      </w:r>
      <w:r w:rsidRPr="00F976B4">
        <w:rPr>
          <w:rFonts w:ascii="Arial" w:hAnsi="Arial"/>
          <w:sz w:val="24"/>
          <w:szCs w:val="24"/>
        </w:rPr>
        <w:t>g</w:t>
      </w:r>
      <w:r w:rsidR="00D34458" w:rsidRPr="00F976B4">
        <w:rPr>
          <w:rFonts w:ascii="Arial" w:hAnsi="Arial"/>
          <w:sz w:val="24"/>
          <w:szCs w:val="24"/>
        </w:rPr>
        <w:t xml:space="preserve">reat difficulty in </w:t>
      </w:r>
      <w:r w:rsidR="00741978" w:rsidRPr="00F976B4">
        <w:rPr>
          <w:rFonts w:ascii="Arial" w:hAnsi="Arial"/>
          <w:sz w:val="24"/>
          <w:szCs w:val="24"/>
        </w:rPr>
        <w:t>evaluating</w:t>
      </w:r>
      <w:r w:rsidR="00D34458" w:rsidRPr="00F976B4">
        <w:rPr>
          <w:rFonts w:ascii="Arial" w:hAnsi="Arial"/>
          <w:sz w:val="24"/>
          <w:szCs w:val="24"/>
        </w:rPr>
        <w:t xml:space="preserve"> the characters independently</w:t>
      </w:r>
      <w:r w:rsidRPr="00F976B4">
        <w:rPr>
          <w:rFonts w:ascii="Arial" w:hAnsi="Arial"/>
          <w:sz w:val="24"/>
          <w:szCs w:val="24"/>
        </w:rPr>
        <w:t xml:space="preserve">; </w:t>
      </w:r>
      <w:r w:rsidR="00D34458" w:rsidRPr="00F976B4">
        <w:rPr>
          <w:rFonts w:ascii="Arial" w:hAnsi="Arial"/>
          <w:sz w:val="24"/>
          <w:szCs w:val="24"/>
        </w:rPr>
        <w:t xml:space="preserve">at the beginning, </w:t>
      </w:r>
      <w:r w:rsidRPr="00F976B4">
        <w:rPr>
          <w:rFonts w:ascii="Arial" w:hAnsi="Arial"/>
          <w:sz w:val="24"/>
          <w:szCs w:val="24"/>
        </w:rPr>
        <w:t xml:space="preserve">along </w:t>
      </w:r>
      <w:r w:rsidR="00D34458" w:rsidRPr="00F976B4">
        <w:rPr>
          <w:rFonts w:ascii="Arial" w:hAnsi="Arial"/>
          <w:sz w:val="24"/>
          <w:szCs w:val="24"/>
        </w:rPr>
        <w:t>with the presentation of the characters, the narrator already states (</w:t>
      </w:r>
      <w:r w:rsidRPr="00F976B4">
        <w:rPr>
          <w:rFonts w:ascii="Arial" w:hAnsi="Arial"/>
          <w:sz w:val="24"/>
          <w:szCs w:val="24"/>
        </w:rPr>
        <w:t xml:space="preserve">v. </w:t>
      </w:r>
      <w:r w:rsidR="00D34458" w:rsidRPr="00F976B4">
        <w:rPr>
          <w:rFonts w:ascii="Arial" w:hAnsi="Arial"/>
          <w:sz w:val="24"/>
          <w:szCs w:val="24"/>
        </w:rPr>
        <w:t xml:space="preserve">3): </w:t>
      </w:r>
      <w:r w:rsidR="008C30B4" w:rsidRPr="00F976B4">
        <w:rPr>
          <w:rFonts w:ascii="Arial" w:hAnsi="Arial"/>
          <w:sz w:val="24"/>
          <w:szCs w:val="24"/>
        </w:rPr>
        <w:t xml:space="preserve">“This man's name was </w:t>
      </w:r>
      <w:r w:rsidR="00741978" w:rsidRPr="00F976B4">
        <w:rPr>
          <w:rFonts w:ascii="Arial" w:hAnsi="Arial"/>
          <w:sz w:val="24"/>
          <w:szCs w:val="24"/>
        </w:rPr>
        <w:t>Naval</w:t>
      </w:r>
      <w:r w:rsidR="008C30B4" w:rsidRPr="00F976B4">
        <w:rPr>
          <w:rFonts w:ascii="Arial" w:hAnsi="Arial"/>
          <w:sz w:val="24"/>
          <w:szCs w:val="24"/>
        </w:rPr>
        <w:t>, and the name of his wife, A</w:t>
      </w:r>
      <w:r w:rsidR="00AD5C69" w:rsidRPr="00F976B4">
        <w:rPr>
          <w:rFonts w:ascii="Arial" w:hAnsi="Arial"/>
          <w:sz w:val="24"/>
          <w:szCs w:val="24"/>
        </w:rPr>
        <w:t>v</w:t>
      </w:r>
      <w:r w:rsidR="008C30B4" w:rsidRPr="00F976B4">
        <w:rPr>
          <w:rFonts w:ascii="Arial" w:hAnsi="Arial"/>
          <w:sz w:val="24"/>
          <w:szCs w:val="24"/>
        </w:rPr>
        <w:t>iga</w:t>
      </w:r>
      <w:r w:rsidR="00AD5C69" w:rsidRPr="00F976B4">
        <w:rPr>
          <w:rFonts w:ascii="Arial" w:hAnsi="Arial"/>
          <w:sz w:val="24"/>
          <w:szCs w:val="24"/>
        </w:rPr>
        <w:t>y</w:t>
      </w:r>
      <w:r w:rsidR="008C30B4" w:rsidRPr="00F976B4">
        <w:rPr>
          <w:rFonts w:ascii="Arial" w:hAnsi="Arial"/>
          <w:sz w:val="24"/>
          <w:szCs w:val="24"/>
        </w:rPr>
        <w:t>il, and the woman had a fine intellect and a beautiful form, while the man was hard and evil in his dealings.”</w:t>
      </w:r>
      <w:r w:rsidRPr="00F976B4">
        <w:rPr>
          <w:rFonts w:ascii="Arial" w:hAnsi="Arial"/>
          <w:sz w:val="24"/>
          <w:szCs w:val="24"/>
        </w:rPr>
        <w:t xml:space="preserve"> </w:t>
      </w:r>
      <w:r w:rsidR="008C30B4" w:rsidRPr="00F976B4">
        <w:rPr>
          <w:rFonts w:ascii="Arial" w:hAnsi="Arial"/>
          <w:sz w:val="24"/>
          <w:szCs w:val="24"/>
        </w:rPr>
        <w:t xml:space="preserve"> This fact accompa</w:t>
      </w:r>
      <w:r w:rsidRPr="00F976B4">
        <w:rPr>
          <w:rFonts w:ascii="Arial" w:hAnsi="Arial"/>
          <w:sz w:val="24"/>
          <w:szCs w:val="24"/>
        </w:rPr>
        <w:t>nies and compels the reader from the start</w:t>
      </w:r>
      <w:r w:rsidR="008C30B4" w:rsidRPr="00F976B4">
        <w:rPr>
          <w:rFonts w:ascii="Arial" w:hAnsi="Arial"/>
          <w:sz w:val="24"/>
          <w:szCs w:val="24"/>
        </w:rPr>
        <w:t xml:space="preserve">, and naturally </w:t>
      </w:r>
      <w:r w:rsidRPr="00F976B4">
        <w:rPr>
          <w:rFonts w:ascii="Arial" w:hAnsi="Arial"/>
          <w:sz w:val="24"/>
          <w:szCs w:val="24"/>
        </w:rPr>
        <w:t>one</w:t>
      </w:r>
      <w:r w:rsidR="008C30B4" w:rsidRPr="00F976B4">
        <w:rPr>
          <w:rFonts w:ascii="Arial" w:hAnsi="Arial"/>
          <w:sz w:val="24"/>
          <w:szCs w:val="24"/>
        </w:rPr>
        <w:t xml:space="preserve"> responds to the act</w:t>
      </w:r>
      <w:r w:rsidRPr="00F976B4">
        <w:rPr>
          <w:rFonts w:ascii="Arial" w:hAnsi="Arial"/>
          <w:sz w:val="24"/>
          <w:szCs w:val="24"/>
        </w:rPr>
        <w:t>ion</w:t>
      </w:r>
      <w:r w:rsidR="008C30B4" w:rsidRPr="00F976B4">
        <w:rPr>
          <w:rFonts w:ascii="Arial" w:hAnsi="Arial"/>
          <w:sz w:val="24"/>
          <w:szCs w:val="24"/>
        </w:rPr>
        <w:t>s of Naval as th</w:t>
      </w:r>
      <w:r w:rsidRPr="00F976B4">
        <w:rPr>
          <w:rFonts w:ascii="Arial" w:hAnsi="Arial"/>
          <w:sz w:val="24"/>
          <w:szCs w:val="24"/>
        </w:rPr>
        <w:t>ose</w:t>
      </w:r>
      <w:r w:rsidR="008C30B4" w:rsidRPr="00F976B4">
        <w:rPr>
          <w:rFonts w:ascii="Arial" w:hAnsi="Arial"/>
          <w:sz w:val="24"/>
          <w:szCs w:val="24"/>
        </w:rPr>
        <w:t xml:space="preserve"> of </w:t>
      </w:r>
      <w:r w:rsidRPr="00F976B4">
        <w:rPr>
          <w:rFonts w:ascii="Arial" w:hAnsi="Arial"/>
          <w:sz w:val="24"/>
          <w:szCs w:val="24"/>
        </w:rPr>
        <w:t xml:space="preserve">a </w:t>
      </w:r>
      <w:r w:rsidR="008C30B4" w:rsidRPr="00F976B4">
        <w:rPr>
          <w:rFonts w:ascii="Arial" w:hAnsi="Arial"/>
          <w:sz w:val="24"/>
          <w:szCs w:val="24"/>
        </w:rPr>
        <w:t xml:space="preserve">man </w:t>
      </w:r>
      <w:r w:rsidRPr="00F976B4">
        <w:rPr>
          <w:rFonts w:ascii="Arial" w:hAnsi="Arial"/>
          <w:sz w:val="24"/>
          <w:szCs w:val="24"/>
        </w:rPr>
        <w:t>“hard and evil in his dealings”</w:t>
      </w:r>
      <w:r w:rsidR="008C30B4" w:rsidRPr="00F976B4">
        <w:rPr>
          <w:rFonts w:ascii="Arial" w:hAnsi="Arial"/>
          <w:sz w:val="24"/>
          <w:szCs w:val="24"/>
        </w:rPr>
        <w:t xml:space="preserve"> and </w:t>
      </w:r>
      <w:r w:rsidRPr="00F976B4">
        <w:rPr>
          <w:rFonts w:ascii="Arial" w:hAnsi="Arial"/>
          <w:sz w:val="24"/>
          <w:szCs w:val="24"/>
        </w:rPr>
        <w:t xml:space="preserve">to </w:t>
      </w:r>
      <w:r w:rsidR="008C30B4" w:rsidRPr="00F976B4">
        <w:rPr>
          <w:rFonts w:ascii="Arial" w:hAnsi="Arial"/>
          <w:sz w:val="24"/>
          <w:szCs w:val="24"/>
        </w:rPr>
        <w:t>the act</w:t>
      </w:r>
      <w:r w:rsidRPr="00F976B4">
        <w:rPr>
          <w:rFonts w:ascii="Arial" w:hAnsi="Arial"/>
          <w:sz w:val="24"/>
          <w:szCs w:val="24"/>
        </w:rPr>
        <w:t>ion</w:t>
      </w:r>
      <w:r w:rsidR="008C30B4" w:rsidRPr="00F976B4">
        <w:rPr>
          <w:rFonts w:ascii="Arial" w:hAnsi="Arial"/>
          <w:sz w:val="24"/>
          <w:szCs w:val="24"/>
        </w:rPr>
        <w:t>s of Avigayil</w:t>
      </w:r>
      <w:r w:rsidRPr="00F976B4">
        <w:rPr>
          <w:rFonts w:ascii="Arial" w:hAnsi="Arial"/>
          <w:sz w:val="24"/>
          <w:szCs w:val="24"/>
        </w:rPr>
        <w:t xml:space="preserve"> as those appropriate for a woman of “</w:t>
      </w:r>
      <w:r w:rsidR="008C30B4" w:rsidRPr="00F976B4">
        <w:rPr>
          <w:rFonts w:ascii="Arial" w:hAnsi="Arial"/>
          <w:sz w:val="24"/>
          <w:szCs w:val="24"/>
        </w:rPr>
        <w:t>fine intellect</w:t>
      </w:r>
      <w:r w:rsidR="00B75508">
        <w:rPr>
          <w:rFonts w:ascii="Arial" w:hAnsi="Arial"/>
          <w:sz w:val="24"/>
          <w:szCs w:val="24"/>
        </w:rPr>
        <w:t>.</w:t>
      </w:r>
      <w:r w:rsidR="008C30B4" w:rsidRPr="00F976B4">
        <w:rPr>
          <w:rFonts w:ascii="Arial" w:hAnsi="Arial"/>
          <w:sz w:val="24"/>
          <w:szCs w:val="24"/>
        </w:rPr>
        <w:t>”</w:t>
      </w:r>
      <w:r w:rsidR="005319F6" w:rsidRPr="00B75508">
        <w:rPr>
          <w:rStyle w:val="FootnoteCharacters"/>
          <w:rFonts w:ascii="Arial" w:hAnsi="Arial" w:cs="Arial"/>
          <w:sz w:val="24"/>
          <w:szCs w:val="24"/>
          <w:vertAlign w:val="superscript"/>
        </w:rPr>
        <w:footnoteReference w:id="4"/>
      </w:r>
    </w:p>
    <w:p w:rsidR="004C2C25" w:rsidRDefault="004C2C25" w:rsidP="004C2C25">
      <w:pPr>
        <w:bidi w:val="0"/>
        <w:ind w:firstLine="720"/>
        <w:jc w:val="both"/>
        <w:rPr>
          <w:rFonts w:ascii="Arial" w:hAnsi="Arial"/>
          <w:sz w:val="24"/>
          <w:szCs w:val="24"/>
        </w:rPr>
      </w:pPr>
    </w:p>
    <w:p w:rsidR="005319F6" w:rsidRPr="00F976B4" w:rsidRDefault="00867664" w:rsidP="004C2C25">
      <w:pPr>
        <w:bidi w:val="0"/>
        <w:ind w:firstLine="720"/>
        <w:jc w:val="both"/>
        <w:rPr>
          <w:rFonts w:ascii="Arial" w:hAnsi="Arial"/>
          <w:sz w:val="24"/>
          <w:szCs w:val="24"/>
        </w:rPr>
      </w:pPr>
      <w:r w:rsidRPr="00F976B4">
        <w:rPr>
          <w:rFonts w:ascii="Arial" w:hAnsi="Arial"/>
          <w:sz w:val="24"/>
          <w:szCs w:val="24"/>
        </w:rPr>
        <w:t>E</w:t>
      </w:r>
      <w:r w:rsidR="008C30B4" w:rsidRPr="00F976B4">
        <w:rPr>
          <w:rFonts w:ascii="Arial" w:hAnsi="Arial"/>
          <w:sz w:val="24"/>
          <w:szCs w:val="24"/>
        </w:rPr>
        <w:t>va</w:t>
      </w:r>
      <w:r w:rsidR="00704294" w:rsidRPr="00F976B4">
        <w:rPr>
          <w:rFonts w:ascii="Arial" w:hAnsi="Arial"/>
          <w:sz w:val="24"/>
          <w:szCs w:val="24"/>
        </w:rPr>
        <w:t xml:space="preserve">luative exposition of this sort </w:t>
      </w:r>
      <w:r w:rsidR="00B62351" w:rsidRPr="00F976B4">
        <w:rPr>
          <w:rFonts w:ascii="Arial" w:hAnsi="Arial"/>
          <w:sz w:val="24"/>
          <w:szCs w:val="24"/>
        </w:rPr>
        <w:t xml:space="preserve">is not </w:t>
      </w:r>
      <w:r w:rsidR="00B75508">
        <w:rPr>
          <w:rFonts w:ascii="Arial" w:hAnsi="Arial"/>
          <w:sz w:val="24"/>
          <w:szCs w:val="24"/>
        </w:rPr>
        <w:t>so</w:t>
      </w:r>
      <w:r w:rsidR="00B62351" w:rsidRPr="00F976B4">
        <w:rPr>
          <w:rFonts w:ascii="Arial" w:hAnsi="Arial"/>
          <w:sz w:val="24"/>
          <w:szCs w:val="24"/>
        </w:rPr>
        <w:t xml:space="preserve"> common in biblical narrative</w:t>
      </w:r>
      <w:r w:rsidR="004168D9" w:rsidRPr="00F976B4">
        <w:rPr>
          <w:rFonts w:ascii="Arial" w:hAnsi="Arial"/>
          <w:sz w:val="24"/>
          <w:szCs w:val="24"/>
        </w:rPr>
        <w:t xml:space="preserve">.  </w:t>
      </w:r>
      <w:r w:rsidR="00B62351" w:rsidRPr="00F976B4">
        <w:rPr>
          <w:rFonts w:ascii="Arial" w:hAnsi="Arial"/>
          <w:sz w:val="24"/>
          <w:szCs w:val="24"/>
        </w:rPr>
        <w:t>Uriel Simon counts only six instances of this in total: the Serpent (</w:t>
      </w:r>
      <w:r w:rsidR="00B62351" w:rsidRPr="00B75508">
        <w:rPr>
          <w:rFonts w:ascii="Arial" w:hAnsi="Arial"/>
          <w:i/>
          <w:iCs/>
          <w:sz w:val="24"/>
          <w:szCs w:val="24"/>
        </w:rPr>
        <w:t>Bereishit</w:t>
      </w:r>
      <w:r w:rsidR="00B62351" w:rsidRPr="00F976B4">
        <w:rPr>
          <w:rFonts w:ascii="Arial" w:hAnsi="Arial"/>
          <w:sz w:val="24"/>
          <w:szCs w:val="24"/>
        </w:rPr>
        <w:t xml:space="preserve"> 3:1)</w:t>
      </w:r>
      <w:r w:rsidRPr="00F976B4">
        <w:rPr>
          <w:rFonts w:ascii="Arial" w:hAnsi="Arial"/>
          <w:sz w:val="24"/>
          <w:szCs w:val="24"/>
        </w:rPr>
        <w:t>;</w:t>
      </w:r>
      <w:r w:rsidR="00B62351" w:rsidRPr="00F976B4">
        <w:rPr>
          <w:rFonts w:ascii="Arial" w:hAnsi="Arial"/>
          <w:sz w:val="24"/>
          <w:szCs w:val="24"/>
        </w:rPr>
        <w:t xml:space="preserve"> Noach (</w:t>
      </w:r>
      <w:r w:rsidR="00AA261C" w:rsidRPr="00F976B4">
        <w:rPr>
          <w:rFonts w:ascii="Arial" w:hAnsi="Arial"/>
          <w:sz w:val="24"/>
          <w:szCs w:val="24"/>
        </w:rPr>
        <w:t xml:space="preserve">ibid. </w:t>
      </w:r>
      <w:r w:rsidR="00B62351" w:rsidRPr="00F976B4">
        <w:rPr>
          <w:rFonts w:ascii="Arial" w:hAnsi="Arial"/>
          <w:sz w:val="24"/>
          <w:szCs w:val="24"/>
        </w:rPr>
        <w:t>6:9)</w:t>
      </w:r>
      <w:r w:rsidRPr="00F976B4">
        <w:rPr>
          <w:rFonts w:ascii="Arial" w:hAnsi="Arial"/>
          <w:sz w:val="24"/>
          <w:szCs w:val="24"/>
        </w:rPr>
        <w:t>;</w:t>
      </w:r>
      <w:r w:rsidR="00B62351" w:rsidRPr="00F976B4">
        <w:rPr>
          <w:rFonts w:ascii="Arial" w:hAnsi="Arial"/>
          <w:sz w:val="24"/>
          <w:szCs w:val="24"/>
        </w:rPr>
        <w:t xml:space="preserve"> the sons of Eli (I </w:t>
      </w:r>
      <w:r w:rsidR="00C91B7F">
        <w:rPr>
          <w:rFonts w:ascii="Arial" w:hAnsi="Arial"/>
          <w:i/>
          <w:iCs/>
          <w:sz w:val="24"/>
          <w:szCs w:val="24"/>
        </w:rPr>
        <w:t>Sh</w:t>
      </w:r>
      <w:r w:rsidR="00B62351" w:rsidRPr="00B75508">
        <w:rPr>
          <w:rFonts w:ascii="Arial" w:hAnsi="Arial"/>
          <w:i/>
          <w:iCs/>
          <w:sz w:val="24"/>
          <w:szCs w:val="24"/>
        </w:rPr>
        <w:t>muel</w:t>
      </w:r>
      <w:r w:rsidR="00B62351" w:rsidRPr="00F976B4">
        <w:rPr>
          <w:rFonts w:ascii="Arial" w:hAnsi="Arial"/>
          <w:sz w:val="24"/>
          <w:szCs w:val="24"/>
        </w:rPr>
        <w:t xml:space="preserve"> 2:12); Naval the Carmelite (I </w:t>
      </w:r>
      <w:r w:rsidR="00B62351" w:rsidRPr="00B75508">
        <w:rPr>
          <w:rFonts w:ascii="Arial" w:hAnsi="Arial"/>
          <w:i/>
          <w:iCs/>
          <w:sz w:val="24"/>
          <w:szCs w:val="24"/>
        </w:rPr>
        <w:t>Shemuel</w:t>
      </w:r>
      <w:r w:rsidR="00B62351" w:rsidRPr="00F976B4">
        <w:rPr>
          <w:rFonts w:ascii="Arial" w:hAnsi="Arial"/>
          <w:sz w:val="24"/>
          <w:szCs w:val="24"/>
        </w:rPr>
        <w:t xml:space="preserve"> 25:3)</w:t>
      </w:r>
      <w:r w:rsidRPr="00F976B4">
        <w:rPr>
          <w:rFonts w:ascii="Arial" w:hAnsi="Arial"/>
          <w:sz w:val="24"/>
          <w:szCs w:val="24"/>
        </w:rPr>
        <w:t>;</w:t>
      </w:r>
      <w:r w:rsidR="00B62351" w:rsidRPr="00F976B4">
        <w:rPr>
          <w:rFonts w:ascii="Arial" w:hAnsi="Arial"/>
          <w:sz w:val="24"/>
          <w:szCs w:val="24"/>
        </w:rPr>
        <w:t xml:space="preserve"> Sheva ben Bikhri (II </w:t>
      </w:r>
      <w:r w:rsidR="00B62351" w:rsidRPr="00B75508">
        <w:rPr>
          <w:rFonts w:ascii="Arial" w:hAnsi="Arial"/>
          <w:i/>
          <w:iCs/>
          <w:sz w:val="24"/>
          <w:szCs w:val="24"/>
        </w:rPr>
        <w:t>Shemuel</w:t>
      </w:r>
      <w:r w:rsidR="00B62351" w:rsidRPr="00F976B4">
        <w:rPr>
          <w:rFonts w:ascii="Arial" w:hAnsi="Arial"/>
          <w:sz w:val="24"/>
          <w:szCs w:val="24"/>
        </w:rPr>
        <w:t xml:space="preserve"> 20:1)</w:t>
      </w:r>
      <w:r w:rsidRPr="00F976B4">
        <w:rPr>
          <w:rFonts w:ascii="Arial" w:hAnsi="Arial"/>
          <w:sz w:val="24"/>
          <w:szCs w:val="24"/>
        </w:rPr>
        <w:t>; and</w:t>
      </w:r>
      <w:r w:rsidR="00B62351" w:rsidRPr="00F976B4">
        <w:rPr>
          <w:rFonts w:ascii="Arial" w:hAnsi="Arial"/>
          <w:sz w:val="24"/>
          <w:szCs w:val="24"/>
        </w:rPr>
        <w:t xml:space="preserve"> Iyov (1:1).</w:t>
      </w:r>
      <w:r w:rsidR="00B62351" w:rsidRPr="00B75508">
        <w:rPr>
          <w:rStyle w:val="FootnoteCharacters"/>
          <w:rFonts w:ascii="Arial" w:hAnsi="Arial" w:cs="Arial"/>
          <w:sz w:val="24"/>
          <w:szCs w:val="24"/>
          <w:vertAlign w:val="superscript"/>
        </w:rPr>
        <w:footnoteReference w:id="5"/>
      </w:r>
      <w:r w:rsidR="00B62351" w:rsidRPr="00F976B4">
        <w:rPr>
          <w:rFonts w:ascii="Arial" w:hAnsi="Arial"/>
          <w:sz w:val="24"/>
          <w:szCs w:val="24"/>
        </w:rPr>
        <w:t xml:space="preserve"> </w:t>
      </w:r>
      <w:r w:rsidRPr="00F976B4">
        <w:rPr>
          <w:rFonts w:ascii="Arial" w:hAnsi="Arial"/>
          <w:sz w:val="24"/>
          <w:szCs w:val="24"/>
        </w:rPr>
        <w:t xml:space="preserve"> </w:t>
      </w:r>
      <w:r w:rsidR="00B62351" w:rsidRPr="00F976B4">
        <w:rPr>
          <w:rFonts w:ascii="Arial" w:hAnsi="Arial"/>
          <w:sz w:val="24"/>
          <w:szCs w:val="24"/>
        </w:rPr>
        <w:t xml:space="preserve">It may be that one can add to </w:t>
      </w:r>
      <w:r w:rsidRPr="00F976B4">
        <w:rPr>
          <w:rFonts w:ascii="Arial" w:hAnsi="Arial"/>
          <w:sz w:val="24"/>
          <w:szCs w:val="24"/>
        </w:rPr>
        <w:t>this list a few</w:t>
      </w:r>
      <w:r w:rsidR="00B62351" w:rsidRPr="00F976B4">
        <w:rPr>
          <w:rFonts w:ascii="Arial" w:hAnsi="Arial"/>
          <w:sz w:val="24"/>
          <w:szCs w:val="24"/>
        </w:rPr>
        <w:t xml:space="preserve"> individual cases (</w:t>
      </w:r>
      <w:r w:rsidR="00B75508">
        <w:rPr>
          <w:rFonts w:ascii="Arial" w:hAnsi="Arial"/>
          <w:sz w:val="24"/>
          <w:szCs w:val="24"/>
        </w:rPr>
        <w:t>depending</w:t>
      </w:r>
      <w:r w:rsidR="00B62351" w:rsidRPr="00F976B4">
        <w:rPr>
          <w:rFonts w:ascii="Arial" w:hAnsi="Arial"/>
          <w:sz w:val="24"/>
          <w:szCs w:val="24"/>
        </w:rPr>
        <w:t xml:space="preserve"> </w:t>
      </w:r>
      <w:r w:rsidRPr="00F976B4">
        <w:rPr>
          <w:rFonts w:ascii="Arial" w:hAnsi="Arial"/>
          <w:sz w:val="24"/>
          <w:szCs w:val="24"/>
        </w:rPr>
        <w:t>o</w:t>
      </w:r>
      <w:r w:rsidR="00B62351" w:rsidRPr="00F976B4">
        <w:rPr>
          <w:rFonts w:ascii="Arial" w:hAnsi="Arial"/>
          <w:sz w:val="24"/>
          <w:szCs w:val="24"/>
        </w:rPr>
        <w:t xml:space="preserve">n the interpretation and definition of </w:t>
      </w:r>
      <w:r w:rsidR="00B75508">
        <w:rPr>
          <w:rFonts w:ascii="Arial" w:hAnsi="Arial"/>
          <w:sz w:val="24"/>
          <w:szCs w:val="24"/>
        </w:rPr>
        <w:t>“</w:t>
      </w:r>
      <w:r w:rsidR="00B62351" w:rsidRPr="00F976B4">
        <w:rPr>
          <w:rFonts w:ascii="Arial" w:hAnsi="Arial"/>
          <w:sz w:val="24"/>
          <w:szCs w:val="24"/>
        </w:rPr>
        <w:t>evaluation</w:t>
      </w:r>
      <w:r w:rsidR="00B75508">
        <w:rPr>
          <w:rFonts w:ascii="Arial" w:hAnsi="Arial"/>
          <w:sz w:val="24"/>
          <w:szCs w:val="24"/>
        </w:rPr>
        <w:t>”</w:t>
      </w:r>
      <w:r w:rsidR="00B62351" w:rsidRPr="00F976B4">
        <w:rPr>
          <w:rFonts w:ascii="Arial" w:hAnsi="Arial"/>
          <w:sz w:val="24"/>
          <w:szCs w:val="24"/>
        </w:rPr>
        <w:t>), but in any case</w:t>
      </w:r>
      <w:r w:rsidRPr="00F976B4">
        <w:rPr>
          <w:rFonts w:ascii="Arial" w:hAnsi="Arial"/>
          <w:sz w:val="24"/>
          <w:szCs w:val="24"/>
        </w:rPr>
        <w:t>,</w:t>
      </w:r>
      <w:r w:rsidR="00B62351" w:rsidRPr="00F976B4">
        <w:rPr>
          <w:rFonts w:ascii="Arial" w:hAnsi="Arial"/>
          <w:sz w:val="24"/>
          <w:szCs w:val="24"/>
        </w:rPr>
        <w:t xml:space="preserve"> in terms of the quantity of narratives </w:t>
      </w:r>
      <w:r w:rsidR="006477C9">
        <w:rPr>
          <w:rFonts w:ascii="Arial" w:hAnsi="Arial"/>
          <w:sz w:val="24"/>
          <w:szCs w:val="24"/>
        </w:rPr>
        <w:t>that</w:t>
      </w:r>
      <w:r w:rsidR="00B62351" w:rsidRPr="00F976B4">
        <w:rPr>
          <w:rFonts w:ascii="Arial" w:hAnsi="Arial"/>
          <w:sz w:val="24"/>
          <w:szCs w:val="24"/>
        </w:rPr>
        <w:t xml:space="preserve"> start with </w:t>
      </w:r>
      <w:r w:rsidRPr="00F976B4">
        <w:rPr>
          <w:rFonts w:ascii="Arial" w:hAnsi="Arial"/>
          <w:sz w:val="24"/>
          <w:szCs w:val="24"/>
        </w:rPr>
        <w:t xml:space="preserve">such </w:t>
      </w:r>
      <w:r w:rsidR="00741978" w:rsidRPr="00F976B4">
        <w:rPr>
          <w:rFonts w:ascii="Arial" w:hAnsi="Arial"/>
          <w:sz w:val="24"/>
          <w:szCs w:val="24"/>
        </w:rPr>
        <w:t>exposition</w:t>
      </w:r>
      <w:r w:rsidR="00B62351" w:rsidRPr="00F976B4">
        <w:rPr>
          <w:rFonts w:ascii="Arial" w:hAnsi="Arial"/>
          <w:sz w:val="24"/>
          <w:szCs w:val="24"/>
        </w:rPr>
        <w:t xml:space="preserve">, we are only talking about a number of isolated </w:t>
      </w:r>
      <w:r w:rsidR="00741978" w:rsidRPr="00F976B4">
        <w:rPr>
          <w:rFonts w:ascii="Arial" w:hAnsi="Arial"/>
          <w:sz w:val="24"/>
          <w:szCs w:val="24"/>
        </w:rPr>
        <w:t>instances</w:t>
      </w:r>
      <w:r w:rsidR="004168D9" w:rsidRPr="00F976B4">
        <w:rPr>
          <w:rFonts w:ascii="Arial" w:hAnsi="Arial"/>
          <w:sz w:val="24"/>
          <w:szCs w:val="24"/>
        </w:rPr>
        <w:t xml:space="preserve">.  </w:t>
      </w:r>
    </w:p>
    <w:p w:rsidR="004C2C25" w:rsidRDefault="004C2C25" w:rsidP="004C2C25">
      <w:pPr>
        <w:bidi w:val="0"/>
        <w:ind w:firstLine="720"/>
        <w:jc w:val="both"/>
        <w:rPr>
          <w:rFonts w:ascii="Arial" w:hAnsi="Arial"/>
          <w:sz w:val="24"/>
          <w:szCs w:val="24"/>
        </w:rPr>
      </w:pPr>
    </w:p>
    <w:p w:rsidR="00DE137C" w:rsidRPr="00F976B4" w:rsidRDefault="00DC5D38" w:rsidP="004C2C25">
      <w:pPr>
        <w:bidi w:val="0"/>
        <w:ind w:firstLine="720"/>
        <w:jc w:val="both"/>
        <w:rPr>
          <w:rFonts w:ascii="Arial" w:hAnsi="Arial"/>
          <w:sz w:val="24"/>
          <w:szCs w:val="24"/>
        </w:rPr>
      </w:pPr>
      <w:r w:rsidRPr="00F976B4">
        <w:rPr>
          <w:rFonts w:ascii="Arial" w:hAnsi="Arial"/>
          <w:sz w:val="24"/>
          <w:szCs w:val="24"/>
        </w:rPr>
        <w:t xml:space="preserve">Nevertheless, the narrator often succeeds in communicating character assessment and influencing the reading experience through the exposition without using explicit </w:t>
      </w:r>
      <w:r w:rsidR="00AA261C" w:rsidRPr="00F976B4">
        <w:rPr>
          <w:rFonts w:ascii="Arial" w:hAnsi="Arial"/>
          <w:sz w:val="24"/>
          <w:szCs w:val="24"/>
        </w:rPr>
        <w:t>evaluations</w:t>
      </w:r>
      <w:r w:rsidRPr="00F976B4">
        <w:rPr>
          <w:rFonts w:ascii="Arial" w:hAnsi="Arial"/>
          <w:sz w:val="24"/>
          <w:szCs w:val="24"/>
        </w:rPr>
        <w:t xml:space="preserve">. </w:t>
      </w:r>
      <w:r w:rsidR="004168D9" w:rsidRPr="00F976B4">
        <w:rPr>
          <w:rFonts w:ascii="Arial" w:hAnsi="Arial"/>
          <w:sz w:val="24"/>
          <w:szCs w:val="24"/>
        </w:rPr>
        <w:t xml:space="preserve"> </w:t>
      </w:r>
      <w:r w:rsidR="00DE137C" w:rsidRPr="00F976B4">
        <w:rPr>
          <w:rFonts w:ascii="Arial" w:hAnsi="Arial"/>
          <w:sz w:val="24"/>
          <w:szCs w:val="24"/>
        </w:rPr>
        <w:t>Even a neutral fact given over in the exp</w:t>
      </w:r>
      <w:r w:rsidRPr="00F976B4">
        <w:rPr>
          <w:rFonts w:ascii="Arial" w:hAnsi="Arial"/>
          <w:sz w:val="24"/>
          <w:szCs w:val="24"/>
        </w:rPr>
        <w:t xml:space="preserve">osition can shape the reader’s anticipation and expectations for the </w:t>
      </w:r>
      <w:r w:rsidR="00AA261C" w:rsidRPr="00F976B4">
        <w:rPr>
          <w:rFonts w:ascii="Arial" w:hAnsi="Arial"/>
          <w:sz w:val="24"/>
          <w:szCs w:val="24"/>
        </w:rPr>
        <w:t>plot</w:t>
      </w:r>
      <w:r w:rsidR="00DE137C" w:rsidRPr="00F976B4">
        <w:rPr>
          <w:rFonts w:ascii="Arial" w:hAnsi="Arial"/>
          <w:sz w:val="24"/>
          <w:szCs w:val="24"/>
        </w:rPr>
        <w:t xml:space="preserve"> in one way or another</w:t>
      </w:r>
      <w:r w:rsidR="004168D9" w:rsidRPr="00F976B4">
        <w:rPr>
          <w:rFonts w:ascii="Arial" w:hAnsi="Arial"/>
          <w:sz w:val="24"/>
          <w:szCs w:val="24"/>
        </w:rPr>
        <w:t xml:space="preserve">.  </w:t>
      </w:r>
      <w:r w:rsidR="00AA261C" w:rsidRPr="00F976B4">
        <w:rPr>
          <w:rFonts w:ascii="Arial" w:hAnsi="Arial"/>
          <w:sz w:val="24"/>
          <w:szCs w:val="24"/>
        </w:rPr>
        <w:t xml:space="preserve">The story of Naaman </w:t>
      </w:r>
      <w:r w:rsidR="00DE137C" w:rsidRPr="00F976B4">
        <w:rPr>
          <w:rFonts w:ascii="Arial" w:hAnsi="Arial"/>
          <w:sz w:val="24"/>
          <w:szCs w:val="24"/>
        </w:rPr>
        <w:t>opens with the presentation of the characters</w:t>
      </w:r>
      <w:r w:rsidR="00AA261C" w:rsidRPr="00F976B4">
        <w:rPr>
          <w:rFonts w:ascii="Arial" w:hAnsi="Arial"/>
          <w:sz w:val="24"/>
          <w:szCs w:val="24"/>
        </w:rPr>
        <w:t xml:space="preserve">, </w:t>
      </w:r>
      <w:r w:rsidR="00DE137C" w:rsidRPr="00F976B4">
        <w:rPr>
          <w:rFonts w:ascii="Arial" w:hAnsi="Arial"/>
          <w:sz w:val="24"/>
          <w:szCs w:val="24"/>
        </w:rPr>
        <w:t>stressing their hierarchical standing</w:t>
      </w:r>
      <w:r w:rsidR="009F7298" w:rsidRPr="00F976B4">
        <w:rPr>
          <w:rFonts w:ascii="Arial" w:hAnsi="Arial"/>
          <w:sz w:val="24"/>
          <w:szCs w:val="24"/>
        </w:rPr>
        <w:t xml:space="preserve"> (II </w:t>
      </w:r>
      <w:r w:rsidR="009F7298" w:rsidRPr="006477C9">
        <w:rPr>
          <w:rFonts w:ascii="Arial" w:hAnsi="Arial"/>
          <w:i/>
          <w:iCs/>
          <w:sz w:val="24"/>
          <w:szCs w:val="24"/>
        </w:rPr>
        <w:t>Melakhim</w:t>
      </w:r>
      <w:r w:rsidR="009F7298" w:rsidRPr="00F976B4">
        <w:rPr>
          <w:rFonts w:ascii="Arial" w:hAnsi="Arial"/>
          <w:sz w:val="24"/>
          <w:szCs w:val="24"/>
        </w:rPr>
        <w:t xml:space="preserve"> 5:1-2)</w:t>
      </w:r>
      <w:r w:rsidR="00DE137C" w:rsidRPr="00F976B4">
        <w:rPr>
          <w:rFonts w:ascii="Arial" w:hAnsi="Arial"/>
          <w:sz w:val="24"/>
          <w:szCs w:val="24"/>
        </w:rPr>
        <w:t>:</w:t>
      </w:r>
    </w:p>
    <w:p w:rsidR="004C2C25" w:rsidRDefault="004C2C25" w:rsidP="004C2C25">
      <w:pPr>
        <w:bidi w:val="0"/>
        <w:ind w:left="720" w:firstLine="0"/>
        <w:jc w:val="both"/>
        <w:rPr>
          <w:rFonts w:ascii="Arial" w:hAnsi="Arial"/>
          <w:sz w:val="24"/>
          <w:szCs w:val="24"/>
        </w:rPr>
      </w:pPr>
    </w:p>
    <w:p w:rsidR="009F7298" w:rsidRPr="00F976B4" w:rsidRDefault="00DE137C" w:rsidP="004C2C25">
      <w:pPr>
        <w:bidi w:val="0"/>
        <w:ind w:left="720" w:firstLine="0"/>
        <w:jc w:val="both"/>
        <w:rPr>
          <w:rFonts w:ascii="Arial" w:hAnsi="Arial"/>
          <w:sz w:val="24"/>
          <w:szCs w:val="24"/>
        </w:rPr>
      </w:pPr>
      <w:r w:rsidRPr="00F976B4">
        <w:rPr>
          <w:rFonts w:ascii="Arial" w:hAnsi="Arial"/>
          <w:sz w:val="24"/>
          <w:szCs w:val="24"/>
        </w:rPr>
        <w:t xml:space="preserve">And </w:t>
      </w:r>
      <w:r w:rsidRPr="00F976B4">
        <w:rPr>
          <w:rStyle w:val="il"/>
          <w:rFonts w:ascii="Arial" w:hAnsi="Arial"/>
          <w:sz w:val="24"/>
          <w:szCs w:val="24"/>
        </w:rPr>
        <w:t>Naaman</w:t>
      </w:r>
      <w:r w:rsidRPr="00F976B4">
        <w:rPr>
          <w:rFonts w:ascii="Arial" w:hAnsi="Arial"/>
          <w:sz w:val="24"/>
          <w:szCs w:val="24"/>
        </w:rPr>
        <w:t xml:space="preserve">, chief of the army of the king of Aram was </w:t>
      </w:r>
      <w:r w:rsidRPr="00F976B4">
        <w:rPr>
          <w:rFonts w:ascii="Arial" w:hAnsi="Arial"/>
          <w:b/>
          <w:bCs/>
          <w:sz w:val="24"/>
          <w:szCs w:val="24"/>
        </w:rPr>
        <w:t>a great man before his master and regarded with favor</w:t>
      </w:r>
      <w:r w:rsidRPr="00F976B4">
        <w:rPr>
          <w:rFonts w:ascii="Arial" w:hAnsi="Arial"/>
          <w:sz w:val="24"/>
          <w:szCs w:val="24"/>
        </w:rPr>
        <w:t xml:space="preserve">, for it was through him that God had given </w:t>
      </w:r>
      <w:r w:rsidR="009F7298" w:rsidRPr="00F976B4">
        <w:rPr>
          <w:rFonts w:ascii="Arial" w:hAnsi="Arial"/>
          <w:sz w:val="24"/>
          <w:szCs w:val="24"/>
        </w:rPr>
        <w:t>victory to Aram…</w:t>
      </w:r>
    </w:p>
    <w:p w:rsidR="004C2C25" w:rsidRDefault="004C2C25" w:rsidP="004C2C25">
      <w:pPr>
        <w:bidi w:val="0"/>
        <w:ind w:left="720" w:firstLine="0"/>
        <w:jc w:val="both"/>
        <w:rPr>
          <w:rFonts w:ascii="Arial" w:hAnsi="Arial"/>
          <w:sz w:val="24"/>
          <w:szCs w:val="24"/>
        </w:rPr>
      </w:pPr>
    </w:p>
    <w:p w:rsidR="00DE137C" w:rsidRPr="00F976B4" w:rsidRDefault="009F7298" w:rsidP="004C2C25">
      <w:pPr>
        <w:bidi w:val="0"/>
        <w:ind w:left="720" w:firstLine="0"/>
        <w:jc w:val="both"/>
        <w:rPr>
          <w:rFonts w:ascii="Arial" w:hAnsi="Arial"/>
          <w:sz w:val="24"/>
          <w:szCs w:val="24"/>
        </w:rPr>
      </w:pPr>
      <w:r w:rsidRPr="00F976B4">
        <w:rPr>
          <w:rFonts w:ascii="Arial" w:hAnsi="Arial"/>
          <w:sz w:val="24"/>
          <w:szCs w:val="24"/>
        </w:rPr>
        <w:t xml:space="preserve">And they captured from the land of Israel </w:t>
      </w:r>
      <w:r w:rsidRPr="00F976B4">
        <w:rPr>
          <w:rFonts w:ascii="Arial" w:hAnsi="Arial"/>
          <w:b/>
          <w:bCs/>
          <w:sz w:val="24"/>
          <w:szCs w:val="24"/>
        </w:rPr>
        <w:t>a small girl</w:t>
      </w:r>
      <w:r w:rsidRPr="00F976B4">
        <w:rPr>
          <w:rFonts w:ascii="Arial" w:hAnsi="Arial"/>
          <w:sz w:val="24"/>
          <w:szCs w:val="24"/>
        </w:rPr>
        <w:t>, and she was before Naaman’s wife</w:t>
      </w:r>
      <w:r w:rsidR="004168D9" w:rsidRPr="00F976B4">
        <w:rPr>
          <w:rFonts w:ascii="Arial" w:hAnsi="Arial"/>
          <w:sz w:val="24"/>
          <w:szCs w:val="24"/>
        </w:rPr>
        <w:t xml:space="preserve">.  </w:t>
      </w:r>
    </w:p>
    <w:p w:rsidR="00AA261C" w:rsidRPr="00F976B4" w:rsidRDefault="00AA261C" w:rsidP="004C2C25">
      <w:pPr>
        <w:bidi w:val="0"/>
        <w:ind w:left="720" w:firstLine="0"/>
        <w:jc w:val="both"/>
        <w:rPr>
          <w:rFonts w:ascii="Arial" w:hAnsi="Arial"/>
          <w:sz w:val="24"/>
          <w:szCs w:val="24"/>
        </w:rPr>
      </w:pPr>
    </w:p>
    <w:p w:rsidR="009F7298" w:rsidRPr="00F976B4" w:rsidRDefault="009F7298" w:rsidP="004C2C25">
      <w:pPr>
        <w:bidi w:val="0"/>
        <w:ind w:firstLine="720"/>
        <w:jc w:val="both"/>
        <w:rPr>
          <w:rFonts w:ascii="Arial" w:hAnsi="Arial"/>
          <w:sz w:val="24"/>
          <w:szCs w:val="24"/>
        </w:rPr>
      </w:pPr>
      <w:r w:rsidRPr="00F976B4">
        <w:rPr>
          <w:rFonts w:ascii="Arial" w:hAnsi="Arial"/>
          <w:sz w:val="24"/>
          <w:szCs w:val="24"/>
        </w:rPr>
        <w:t>This focus brings the reader into an environment of class and hierarchy, and it noticeably influences the continuation of the reading and the meaning of the entire narrative.</w:t>
      </w:r>
      <w:r w:rsidRPr="006477C9">
        <w:rPr>
          <w:rStyle w:val="FootnoteCharacters"/>
          <w:rFonts w:ascii="Arial" w:hAnsi="Arial" w:cs="Arial"/>
          <w:sz w:val="24"/>
          <w:szCs w:val="24"/>
          <w:vertAlign w:val="superscript"/>
        </w:rPr>
        <w:footnoteReference w:id="6"/>
      </w:r>
      <w:r w:rsidRPr="00F976B4">
        <w:rPr>
          <w:rFonts w:ascii="Arial" w:hAnsi="Arial"/>
          <w:sz w:val="24"/>
          <w:szCs w:val="24"/>
        </w:rPr>
        <w:t xml:space="preserve"> </w:t>
      </w:r>
    </w:p>
    <w:p w:rsidR="004C2C25" w:rsidRDefault="004C2C25" w:rsidP="004C2C25">
      <w:pPr>
        <w:pStyle w:val="standardtop"/>
        <w:spacing w:before="0" w:beforeAutospacing="0" w:after="0" w:afterAutospacing="0"/>
        <w:ind w:firstLine="360"/>
        <w:jc w:val="both"/>
        <w:rPr>
          <w:rFonts w:ascii="Arial" w:hAnsi="Arial" w:cs="Arial"/>
        </w:rPr>
      </w:pPr>
    </w:p>
    <w:p w:rsidR="00320514" w:rsidRPr="00F976B4" w:rsidRDefault="009F7298" w:rsidP="004C2C25">
      <w:pPr>
        <w:pStyle w:val="standardtop"/>
        <w:spacing w:before="0" w:beforeAutospacing="0" w:after="0" w:afterAutospacing="0"/>
        <w:ind w:firstLine="720"/>
        <w:jc w:val="both"/>
        <w:rPr>
          <w:rFonts w:ascii="Arial" w:hAnsi="Arial" w:cs="Arial"/>
        </w:rPr>
      </w:pPr>
      <w:r w:rsidRPr="00F976B4">
        <w:rPr>
          <w:rFonts w:ascii="Arial" w:hAnsi="Arial" w:cs="Arial"/>
        </w:rPr>
        <w:t>S</w:t>
      </w:r>
      <w:r w:rsidR="00AA261C" w:rsidRPr="00F976B4">
        <w:rPr>
          <w:rFonts w:ascii="Arial" w:hAnsi="Arial" w:cs="Arial"/>
        </w:rPr>
        <w:t>imilarly</w:t>
      </w:r>
      <w:r w:rsidRPr="00F976B4">
        <w:rPr>
          <w:rFonts w:ascii="Arial" w:hAnsi="Arial" w:cs="Arial"/>
        </w:rPr>
        <w:t xml:space="preserve">, Parashat Vayeshev opens with a description of Yaakov’s settling in the land of Canaan: “And Yaakov dwelled in the land of his father’s </w:t>
      </w:r>
      <w:r w:rsidR="00741978" w:rsidRPr="00F976B4">
        <w:rPr>
          <w:rFonts w:ascii="Arial" w:hAnsi="Arial" w:cs="Arial"/>
        </w:rPr>
        <w:t>sojourning</w:t>
      </w:r>
      <w:r w:rsidRPr="00F976B4">
        <w:rPr>
          <w:rFonts w:ascii="Arial" w:hAnsi="Arial" w:cs="Arial"/>
        </w:rPr>
        <w:t>, in the land of Canaan”</w:t>
      </w:r>
      <w:r w:rsidR="00B37C21" w:rsidRPr="00F976B4">
        <w:rPr>
          <w:rFonts w:ascii="Arial" w:hAnsi="Arial" w:cs="Arial"/>
        </w:rPr>
        <w:t xml:space="preserve"> (</w:t>
      </w:r>
      <w:r w:rsidR="00B37C21" w:rsidRPr="006477C9">
        <w:rPr>
          <w:rFonts w:ascii="Arial" w:hAnsi="Arial" w:cs="Arial"/>
          <w:i/>
          <w:iCs/>
        </w:rPr>
        <w:t>Bereishit</w:t>
      </w:r>
      <w:r w:rsidR="00B37C21" w:rsidRPr="00F976B4">
        <w:rPr>
          <w:rFonts w:ascii="Arial" w:hAnsi="Arial" w:cs="Arial"/>
        </w:rPr>
        <w:t xml:space="preserve"> 37:1)</w:t>
      </w:r>
      <w:r w:rsidR="004168D9" w:rsidRPr="00F976B4">
        <w:rPr>
          <w:rFonts w:ascii="Arial" w:hAnsi="Arial" w:cs="Arial"/>
        </w:rPr>
        <w:t xml:space="preserve">. </w:t>
      </w:r>
      <w:r w:rsidR="006477C9">
        <w:rPr>
          <w:rFonts w:ascii="Arial" w:hAnsi="Arial" w:cs="Arial"/>
        </w:rPr>
        <w:t>I</w:t>
      </w:r>
      <w:r w:rsidR="00B37C21" w:rsidRPr="00F976B4">
        <w:rPr>
          <w:rFonts w:ascii="Arial" w:hAnsi="Arial" w:cs="Arial"/>
        </w:rPr>
        <w:t xml:space="preserve">t would </w:t>
      </w:r>
      <w:r w:rsidR="006477C9">
        <w:rPr>
          <w:rFonts w:ascii="Arial" w:hAnsi="Arial" w:cs="Arial"/>
        </w:rPr>
        <w:t xml:space="preserve">seem to </w:t>
      </w:r>
      <w:r w:rsidR="00B37C21" w:rsidRPr="00F976B4">
        <w:rPr>
          <w:rFonts w:ascii="Arial" w:hAnsi="Arial" w:cs="Arial"/>
        </w:rPr>
        <w:t xml:space="preserve">have been more appropriate to open the next unit (the story of Yosef and his brothers) with </w:t>
      </w:r>
      <w:r w:rsidR="004168D9" w:rsidRPr="00F976B4">
        <w:rPr>
          <w:rFonts w:ascii="Arial" w:hAnsi="Arial" w:cs="Arial"/>
        </w:rPr>
        <w:t xml:space="preserve">v. </w:t>
      </w:r>
      <w:r w:rsidR="00B37C21" w:rsidRPr="00F976B4">
        <w:rPr>
          <w:rFonts w:ascii="Arial" w:hAnsi="Arial" w:cs="Arial"/>
        </w:rPr>
        <w:t xml:space="preserve">2, which features the characteristic opening of the Book of </w:t>
      </w:r>
      <w:r w:rsidR="00B37C21" w:rsidRPr="006477C9">
        <w:rPr>
          <w:rFonts w:ascii="Arial" w:hAnsi="Arial" w:cs="Arial"/>
          <w:i/>
          <w:iCs/>
        </w:rPr>
        <w:t>Bereishit</w:t>
      </w:r>
      <w:r w:rsidR="00B37C21" w:rsidRPr="00F976B4">
        <w:rPr>
          <w:rFonts w:ascii="Arial" w:hAnsi="Arial" w:cs="Arial"/>
        </w:rPr>
        <w:t>: “</w:t>
      </w:r>
      <w:r w:rsidR="00B37C21" w:rsidRPr="00F976B4">
        <w:rPr>
          <w:rFonts w:ascii="Arial" w:hAnsi="Arial" w:cs="Arial"/>
          <w:b/>
          <w:bCs/>
        </w:rPr>
        <w:t>These are the generations of Yaakov…</w:t>
      </w:r>
      <w:r w:rsidR="00B37C21" w:rsidRPr="00F976B4">
        <w:rPr>
          <w:rFonts w:ascii="Arial" w:hAnsi="Arial" w:cs="Arial"/>
        </w:rPr>
        <w:t xml:space="preserve"> </w:t>
      </w:r>
      <w:r w:rsidR="00AA261C" w:rsidRPr="00F976B4">
        <w:rPr>
          <w:rFonts w:ascii="Arial" w:hAnsi="Arial" w:cs="Arial"/>
        </w:rPr>
        <w:t>Y</w:t>
      </w:r>
      <w:r w:rsidR="00B37C21" w:rsidRPr="00F976B4">
        <w:rPr>
          <w:rFonts w:ascii="Arial" w:hAnsi="Arial" w:cs="Arial"/>
        </w:rPr>
        <w:t>ose</w:t>
      </w:r>
      <w:r w:rsidR="00AA261C" w:rsidRPr="00F976B4">
        <w:rPr>
          <w:rFonts w:ascii="Arial" w:hAnsi="Arial" w:cs="Arial"/>
        </w:rPr>
        <w:t>f</w:t>
      </w:r>
      <w:r w:rsidR="00B37C21" w:rsidRPr="00F976B4">
        <w:rPr>
          <w:rFonts w:ascii="Arial" w:hAnsi="Arial" w:cs="Arial"/>
        </w:rPr>
        <w:t xml:space="preserve">, a young man of seventeen, was tending the flocks with his brothers…” </w:t>
      </w:r>
      <w:r w:rsidR="00AA261C" w:rsidRPr="00F976B4">
        <w:rPr>
          <w:rFonts w:ascii="Arial" w:hAnsi="Arial" w:cs="Arial"/>
        </w:rPr>
        <w:t xml:space="preserve"> </w:t>
      </w:r>
      <w:r w:rsidR="00B37C21" w:rsidRPr="00F976B4">
        <w:rPr>
          <w:rFonts w:ascii="Arial" w:hAnsi="Arial" w:cs="Arial"/>
        </w:rPr>
        <w:t xml:space="preserve">Were the new unit to open with the heading “These are the </w:t>
      </w:r>
      <w:r w:rsidR="00741978" w:rsidRPr="00F976B4">
        <w:rPr>
          <w:rFonts w:ascii="Arial" w:hAnsi="Arial" w:cs="Arial"/>
        </w:rPr>
        <w:t>generations</w:t>
      </w:r>
      <w:r w:rsidR="00B37C21" w:rsidRPr="00F976B4">
        <w:rPr>
          <w:rFonts w:ascii="Arial" w:hAnsi="Arial" w:cs="Arial"/>
        </w:rPr>
        <w:t xml:space="preserve"> of Yaakov</w:t>
      </w:r>
      <w:r w:rsidR="006477C9">
        <w:rPr>
          <w:rFonts w:ascii="Arial" w:hAnsi="Arial" w:cs="Arial"/>
        </w:rPr>
        <w:t>,</w:t>
      </w:r>
      <w:r w:rsidR="00B37C21" w:rsidRPr="00F976B4">
        <w:rPr>
          <w:rFonts w:ascii="Arial" w:hAnsi="Arial" w:cs="Arial"/>
        </w:rPr>
        <w:t xml:space="preserve">” the </w:t>
      </w:r>
      <w:r w:rsidR="00741978" w:rsidRPr="00F976B4">
        <w:rPr>
          <w:rFonts w:ascii="Arial" w:hAnsi="Arial" w:cs="Arial"/>
        </w:rPr>
        <w:t>description</w:t>
      </w:r>
      <w:r w:rsidR="00B37C21" w:rsidRPr="00F976B4">
        <w:rPr>
          <w:rFonts w:ascii="Arial" w:hAnsi="Arial" w:cs="Arial"/>
        </w:rPr>
        <w:t xml:space="preserve"> of Yaakov’s </w:t>
      </w:r>
      <w:r w:rsidR="00741978" w:rsidRPr="00F976B4">
        <w:rPr>
          <w:rFonts w:ascii="Arial" w:hAnsi="Arial" w:cs="Arial"/>
        </w:rPr>
        <w:t>residence</w:t>
      </w:r>
      <w:r w:rsidR="00B37C21" w:rsidRPr="00F976B4">
        <w:rPr>
          <w:rFonts w:ascii="Arial" w:hAnsi="Arial" w:cs="Arial"/>
        </w:rPr>
        <w:t xml:space="preserve"> in the land of Canaan, which is mentioned before this, would be interpreted as the conclusion of the previous narrative — the description of the descendants of Esav on Mount Se’ir, </w:t>
      </w:r>
      <w:r w:rsidR="00AA261C" w:rsidRPr="00F976B4">
        <w:rPr>
          <w:rFonts w:ascii="Arial" w:hAnsi="Arial" w:cs="Arial"/>
        </w:rPr>
        <w:t xml:space="preserve">also known as </w:t>
      </w:r>
      <w:r w:rsidR="00B37C21" w:rsidRPr="00F976B4">
        <w:rPr>
          <w:rFonts w:ascii="Arial" w:hAnsi="Arial" w:cs="Arial"/>
        </w:rPr>
        <w:t>Mount Edom</w:t>
      </w:r>
      <w:r w:rsidR="004168D9" w:rsidRPr="00F976B4">
        <w:rPr>
          <w:rFonts w:ascii="Arial" w:hAnsi="Arial" w:cs="Arial"/>
        </w:rPr>
        <w:t xml:space="preserve">.  </w:t>
      </w:r>
      <w:r w:rsidR="00B37C21" w:rsidRPr="00F976B4">
        <w:rPr>
          <w:rFonts w:ascii="Arial" w:hAnsi="Arial" w:cs="Arial"/>
        </w:rPr>
        <w:t>In other words, this</w:t>
      </w:r>
      <w:r w:rsidR="006477C9">
        <w:rPr>
          <w:rFonts w:ascii="Arial" w:hAnsi="Arial" w:cs="Arial"/>
        </w:rPr>
        <w:t xml:space="preserve"> verse</w:t>
      </w:r>
      <w:r w:rsidR="00B37C21" w:rsidRPr="00F976B4">
        <w:rPr>
          <w:rFonts w:ascii="Arial" w:hAnsi="Arial" w:cs="Arial"/>
        </w:rPr>
        <w:t xml:space="preserve"> </w:t>
      </w:r>
      <w:r w:rsidR="00AA261C" w:rsidRPr="00F976B4">
        <w:rPr>
          <w:rFonts w:ascii="Arial" w:hAnsi="Arial" w:cs="Arial"/>
        </w:rPr>
        <w:t>corresponds</w:t>
      </w:r>
      <w:r w:rsidR="00B37C21" w:rsidRPr="00F976B4">
        <w:rPr>
          <w:rFonts w:ascii="Arial" w:hAnsi="Arial" w:cs="Arial"/>
        </w:rPr>
        <w:t xml:space="preserve"> </w:t>
      </w:r>
      <w:r w:rsidR="00AA261C" w:rsidRPr="00F976B4">
        <w:rPr>
          <w:rFonts w:ascii="Arial" w:hAnsi="Arial" w:cs="Arial"/>
        </w:rPr>
        <w:t>to Esav and his sons, who settle in the land of Edom;</w:t>
      </w:r>
      <w:r w:rsidR="00B37C21" w:rsidRPr="00F976B4">
        <w:rPr>
          <w:rFonts w:ascii="Arial" w:hAnsi="Arial" w:cs="Arial"/>
        </w:rPr>
        <w:t xml:space="preserve"> Yaakov</w:t>
      </w:r>
      <w:r w:rsidR="00AA261C" w:rsidRPr="00F976B4">
        <w:rPr>
          <w:rFonts w:ascii="Arial" w:hAnsi="Arial" w:cs="Arial"/>
        </w:rPr>
        <w:t>, by contrast,</w:t>
      </w:r>
      <w:r w:rsidR="00B37C21" w:rsidRPr="00F976B4">
        <w:rPr>
          <w:rFonts w:ascii="Arial" w:hAnsi="Arial" w:cs="Arial"/>
        </w:rPr>
        <w:t xml:space="preserve"> resides in the land of </w:t>
      </w:r>
      <w:r w:rsidR="00AA261C" w:rsidRPr="00F976B4">
        <w:rPr>
          <w:rFonts w:ascii="Arial" w:hAnsi="Arial" w:cs="Arial"/>
        </w:rPr>
        <w:t>t</w:t>
      </w:r>
      <w:r w:rsidR="00B37C21" w:rsidRPr="00F976B4">
        <w:rPr>
          <w:rFonts w:ascii="Arial" w:hAnsi="Arial" w:cs="Arial"/>
        </w:rPr>
        <w:t>h</w:t>
      </w:r>
      <w:r w:rsidR="00AA261C" w:rsidRPr="00F976B4">
        <w:rPr>
          <w:rFonts w:ascii="Arial" w:hAnsi="Arial" w:cs="Arial"/>
        </w:rPr>
        <w:t>eir</w:t>
      </w:r>
      <w:r w:rsidR="00B37C21" w:rsidRPr="00F976B4">
        <w:rPr>
          <w:rFonts w:ascii="Arial" w:hAnsi="Arial" w:cs="Arial"/>
        </w:rPr>
        <w:t xml:space="preserve"> father’s </w:t>
      </w:r>
      <w:r w:rsidR="00AA261C" w:rsidRPr="00F976B4">
        <w:rPr>
          <w:rFonts w:ascii="Arial" w:hAnsi="Arial" w:cs="Arial"/>
        </w:rPr>
        <w:t>peregrinations,</w:t>
      </w:r>
      <w:r w:rsidR="00B37C21" w:rsidRPr="00F976B4">
        <w:rPr>
          <w:rFonts w:ascii="Arial" w:hAnsi="Arial" w:cs="Arial"/>
        </w:rPr>
        <w:t xml:space="preserve"> </w:t>
      </w:r>
      <w:r w:rsidR="00AA261C" w:rsidRPr="00F976B4">
        <w:rPr>
          <w:rFonts w:ascii="Arial" w:hAnsi="Arial" w:cs="Arial"/>
        </w:rPr>
        <w:t xml:space="preserve">the </w:t>
      </w:r>
      <w:r w:rsidR="00B37C21" w:rsidRPr="00F976B4">
        <w:rPr>
          <w:rFonts w:ascii="Arial" w:hAnsi="Arial" w:cs="Arial"/>
        </w:rPr>
        <w:t>land of Canaan</w:t>
      </w:r>
      <w:r w:rsidR="00AA261C" w:rsidRPr="00F976B4">
        <w:rPr>
          <w:rFonts w:ascii="Arial" w:hAnsi="Arial" w:cs="Arial"/>
        </w:rPr>
        <w:t>.</w:t>
      </w:r>
      <w:r w:rsidR="00B37C21" w:rsidRPr="00F976B4">
        <w:rPr>
          <w:rFonts w:ascii="Arial" w:hAnsi="Arial" w:cs="Arial"/>
        </w:rPr>
        <w:t xml:space="preserve"> </w:t>
      </w:r>
      <w:r w:rsidR="00AA261C" w:rsidRPr="00F976B4">
        <w:rPr>
          <w:rFonts w:ascii="Arial" w:hAnsi="Arial" w:cs="Arial"/>
        </w:rPr>
        <w:t xml:space="preserve"> (S</w:t>
      </w:r>
      <w:r w:rsidR="00B37C21" w:rsidRPr="00F976B4">
        <w:rPr>
          <w:rFonts w:ascii="Arial" w:hAnsi="Arial" w:cs="Arial"/>
        </w:rPr>
        <w:t xml:space="preserve">ee the commentaries of Rashi, Rabbi </w:t>
      </w:r>
      <w:r w:rsidR="00741978" w:rsidRPr="00F976B4">
        <w:rPr>
          <w:rFonts w:ascii="Arial" w:hAnsi="Arial" w:cs="Arial"/>
        </w:rPr>
        <w:t>Avraham</w:t>
      </w:r>
      <w:r w:rsidR="00AA261C" w:rsidRPr="00F976B4">
        <w:rPr>
          <w:rFonts w:ascii="Arial" w:hAnsi="Arial" w:cs="Arial"/>
        </w:rPr>
        <w:t xml:space="preserve"> ibn Ezra, Rashbam and</w:t>
      </w:r>
      <w:r w:rsidR="00B37C21" w:rsidRPr="00F976B4">
        <w:rPr>
          <w:rFonts w:ascii="Arial" w:hAnsi="Arial" w:cs="Arial"/>
        </w:rPr>
        <w:t xml:space="preserve"> Ramban</w:t>
      </w:r>
      <w:r w:rsidR="00AA261C" w:rsidRPr="00F976B4">
        <w:rPr>
          <w:rFonts w:ascii="Arial" w:hAnsi="Arial" w:cs="Arial"/>
        </w:rPr>
        <w:t>,</w:t>
      </w:r>
      <w:r w:rsidR="00B37C21" w:rsidRPr="00F976B4">
        <w:rPr>
          <w:rFonts w:ascii="Arial" w:hAnsi="Arial" w:cs="Arial"/>
        </w:rPr>
        <w:t xml:space="preserve"> who all relate to this connection)</w:t>
      </w:r>
      <w:r w:rsidR="004168D9" w:rsidRPr="00F976B4">
        <w:rPr>
          <w:rFonts w:ascii="Arial" w:hAnsi="Arial" w:cs="Arial"/>
        </w:rPr>
        <w:t xml:space="preserve">.  </w:t>
      </w:r>
    </w:p>
    <w:p w:rsidR="004C2C25" w:rsidRDefault="004C2C25" w:rsidP="004C2C25">
      <w:pPr>
        <w:pStyle w:val="standardtop"/>
        <w:spacing w:before="0" w:beforeAutospacing="0" w:after="0" w:afterAutospacing="0"/>
        <w:ind w:firstLine="720"/>
        <w:jc w:val="both"/>
        <w:rPr>
          <w:rFonts w:ascii="Arial" w:hAnsi="Arial" w:cs="Arial"/>
        </w:rPr>
      </w:pPr>
    </w:p>
    <w:p w:rsidR="001F414B" w:rsidRPr="00F976B4" w:rsidRDefault="00320514" w:rsidP="004C2C25">
      <w:pPr>
        <w:pStyle w:val="standardtop"/>
        <w:spacing w:before="0" w:beforeAutospacing="0" w:after="0" w:afterAutospacing="0"/>
        <w:ind w:firstLine="720"/>
        <w:jc w:val="both"/>
        <w:rPr>
          <w:rFonts w:ascii="Arial" w:hAnsi="Arial" w:cs="Arial"/>
        </w:rPr>
      </w:pPr>
      <w:r w:rsidRPr="00F976B4">
        <w:rPr>
          <w:rFonts w:ascii="Arial" w:hAnsi="Arial" w:cs="Arial"/>
        </w:rPr>
        <w:t>Despite</w:t>
      </w:r>
      <w:r w:rsidR="004310E0" w:rsidRPr="00F976B4">
        <w:rPr>
          <w:rFonts w:ascii="Arial" w:hAnsi="Arial" w:cs="Arial"/>
        </w:rPr>
        <w:t xml:space="preserve"> this</w:t>
      </w:r>
      <w:r w:rsidR="00994966" w:rsidRPr="00F976B4">
        <w:rPr>
          <w:rFonts w:ascii="Arial" w:hAnsi="Arial" w:cs="Arial"/>
        </w:rPr>
        <w:t xml:space="preserve"> logical possibility, all of the classic divi</w:t>
      </w:r>
      <w:r w:rsidR="00AA261C" w:rsidRPr="00F976B4">
        <w:rPr>
          <w:rFonts w:ascii="Arial" w:hAnsi="Arial" w:cs="Arial"/>
        </w:rPr>
        <w:t>sions</w:t>
      </w:r>
      <w:r w:rsidR="00994966" w:rsidRPr="00F976B4">
        <w:rPr>
          <w:rFonts w:ascii="Arial" w:hAnsi="Arial" w:cs="Arial"/>
        </w:rPr>
        <w:t xml:space="preserve"> of </w:t>
      </w:r>
      <w:r w:rsidR="00AA261C" w:rsidRPr="006477C9">
        <w:rPr>
          <w:rFonts w:ascii="Arial" w:hAnsi="Arial" w:cs="Arial"/>
          <w:i/>
          <w:iCs/>
        </w:rPr>
        <w:t>Tanakh</w:t>
      </w:r>
      <w:r w:rsidR="00AA261C" w:rsidRPr="00F976B4">
        <w:rPr>
          <w:rFonts w:ascii="Arial" w:hAnsi="Arial" w:cs="Arial"/>
        </w:rPr>
        <w:t xml:space="preserve"> </w:t>
      </w:r>
      <w:r w:rsidR="00994966" w:rsidRPr="00F976B4">
        <w:rPr>
          <w:rFonts w:ascii="Arial" w:hAnsi="Arial" w:cs="Arial"/>
        </w:rPr>
        <w:t>open the story of Yosef and h</w:t>
      </w:r>
      <w:r w:rsidR="00AA261C" w:rsidRPr="00F976B4">
        <w:rPr>
          <w:rFonts w:ascii="Arial" w:hAnsi="Arial" w:cs="Arial"/>
        </w:rPr>
        <w:t>is brothers with the sentence “</w:t>
      </w:r>
      <w:r w:rsidR="00994966" w:rsidRPr="00F976B4">
        <w:rPr>
          <w:rFonts w:ascii="Arial" w:hAnsi="Arial" w:cs="Arial"/>
        </w:rPr>
        <w:t>And Yaakov dwelled</w:t>
      </w:r>
      <w:r w:rsidR="00AA261C" w:rsidRPr="00F976B4">
        <w:rPr>
          <w:rFonts w:ascii="Arial" w:hAnsi="Arial" w:cs="Arial"/>
        </w:rPr>
        <w:t>…”</w:t>
      </w:r>
      <w:r w:rsidR="004168D9" w:rsidRPr="00F976B4">
        <w:rPr>
          <w:rFonts w:ascii="Arial" w:hAnsi="Arial" w:cs="Arial"/>
        </w:rPr>
        <w:t xml:space="preserve">  </w:t>
      </w:r>
      <w:r w:rsidR="00AA261C" w:rsidRPr="00F976B4">
        <w:rPr>
          <w:rFonts w:ascii="Arial" w:hAnsi="Arial" w:cs="Arial"/>
        </w:rPr>
        <w:t>This is how the chapters are divided</w:t>
      </w:r>
      <w:r w:rsidR="006477C9">
        <w:rPr>
          <w:rFonts w:ascii="Arial" w:hAnsi="Arial" w:cs="Arial"/>
        </w:rPr>
        <w:t xml:space="preserve"> (with this verse c</w:t>
      </w:r>
      <w:r w:rsidR="00994966" w:rsidRPr="00F976B4">
        <w:rPr>
          <w:rFonts w:ascii="Arial" w:hAnsi="Arial" w:cs="Arial"/>
        </w:rPr>
        <w:t xml:space="preserve">hapter 37 begins); this is how the </w:t>
      </w:r>
      <w:proofErr w:type="gramStart"/>
      <w:r w:rsidR="00AA261C" w:rsidRPr="00F976B4">
        <w:rPr>
          <w:rFonts w:ascii="Arial" w:hAnsi="Arial" w:cs="Arial"/>
          <w:i/>
          <w:iCs/>
        </w:rPr>
        <w:t>seda</w:t>
      </w:r>
      <w:r w:rsidR="00994966" w:rsidRPr="00F976B4">
        <w:rPr>
          <w:rFonts w:ascii="Arial" w:hAnsi="Arial" w:cs="Arial"/>
          <w:i/>
          <w:iCs/>
        </w:rPr>
        <w:t>r</w:t>
      </w:r>
      <w:r w:rsidR="00AA261C" w:rsidRPr="00F976B4">
        <w:rPr>
          <w:rFonts w:ascii="Arial" w:hAnsi="Arial" w:cs="Arial"/>
          <w:i/>
          <w:iCs/>
        </w:rPr>
        <w:t>im</w:t>
      </w:r>
      <w:proofErr w:type="gramEnd"/>
      <w:r w:rsidR="00AA261C" w:rsidRPr="00F976B4">
        <w:rPr>
          <w:rFonts w:ascii="Arial" w:hAnsi="Arial" w:cs="Arial"/>
        </w:rPr>
        <w:t xml:space="preserve"> of the triennial Torah-readying cycle are divided </w:t>
      </w:r>
      <w:r w:rsidR="00994966" w:rsidRPr="00F976B4">
        <w:rPr>
          <w:rFonts w:ascii="Arial" w:hAnsi="Arial" w:cs="Arial"/>
        </w:rPr>
        <w:t xml:space="preserve">(this verse opens the thirty-third </w:t>
      </w:r>
      <w:r w:rsidR="00994966" w:rsidRPr="00F976B4">
        <w:rPr>
          <w:rFonts w:ascii="Arial" w:hAnsi="Arial" w:cs="Arial"/>
          <w:i/>
          <w:iCs/>
        </w:rPr>
        <w:t>seder</w:t>
      </w:r>
      <w:r w:rsidR="00994966" w:rsidRPr="00F976B4">
        <w:rPr>
          <w:rFonts w:ascii="Arial" w:hAnsi="Arial" w:cs="Arial"/>
        </w:rPr>
        <w:t xml:space="preserve">); </w:t>
      </w:r>
      <w:r w:rsidR="006477C9">
        <w:rPr>
          <w:rFonts w:ascii="Arial" w:hAnsi="Arial" w:cs="Arial"/>
        </w:rPr>
        <w:t xml:space="preserve">and </w:t>
      </w:r>
      <w:r w:rsidR="00994966" w:rsidRPr="00F976B4">
        <w:rPr>
          <w:rFonts w:ascii="Arial" w:hAnsi="Arial" w:cs="Arial"/>
        </w:rPr>
        <w:t>th</w:t>
      </w:r>
      <w:r w:rsidR="00AA261C" w:rsidRPr="00F976B4">
        <w:rPr>
          <w:rFonts w:ascii="Arial" w:hAnsi="Arial" w:cs="Arial"/>
        </w:rPr>
        <w:t>i</w:t>
      </w:r>
      <w:r w:rsidR="00994966" w:rsidRPr="00F976B4">
        <w:rPr>
          <w:rFonts w:ascii="Arial" w:hAnsi="Arial" w:cs="Arial"/>
        </w:rPr>
        <w:t>s</w:t>
      </w:r>
      <w:r w:rsidR="006477C9">
        <w:rPr>
          <w:rFonts w:ascii="Arial" w:hAnsi="Arial" w:cs="Arial"/>
        </w:rPr>
        <w:t xml:space="preserve"> is</w:t>
      </w:r>
      <w:r w:rsidR="00994966" w:rsidRPr="00F976B4">
        <w:rPr>
          <w:rFonts w:ascii="Arial" w:hAnsi="Arial" w:cs="Arial"/>
        </w:rPr>
        <w:t xml:space="preserve">, of course, </w:t>
      </w:r>
      <w:r w:rsidR="00AA261C" w:rsidRPr="00F976B4">
        <w:rPr>
          <w:rFonts w:ascii="Arial" w:hAnsi="Arial" w:cs="Arial"/>
        </w:rPr>
        <w:t xml:space="preserve">how the </w:t>
      </w:r>
      <w:r w:rsidR="00994966" w:rsidRPr="00F976B4">
        <w:rPr>
          <w:rFonts w:ascii="Arial" w:hAnsi="Arial" w:cs="Arial"/>
        </w:rPr>
        <w:t xml:space="preserve">weekly Torah portions </w:t>
      </w:r>
      <w:r w:rsidR="001F414B" w:rsidRPr="00F976B4">
        <w:rPr>
          <w:rFonts w:ascii="Arial" w:hAnsi="Arial" w:cs="Arial"/>
        </w:rPr>
        <w:t xml:space="preserve">of the annual Torah-reading cycle are divided </w:t>
      </w:r>
      <w:r w:rsidR="00994966" w:rsidRPr="00F976B4">
        <w:rPr>
          <w:rFonts w:ascii="Arial" w:hAnsi="Arial" w:cs="Arial"/>
        </w:rPr>
        <w:t>(</w:t>
      </w:r>
      <w:r w:rsidR="00994966" w:rsidRPr="006477C9">
        <w:rPr>
          <w:rFonts w:ascii="Arial" w:hAnsi="Arial" w:cs="Arial"/>
          <w:i/>
          <w:iCs/>
        </w:rPr>
        <w:t>Parashat Vayeshev</w:t>
      </w:r>
      <w:r w:rsidR="00994966" w:rsidRPr="00F976B4">
        <w:rPr>
          <w:rFonts w:ascii="Arial" w:hAnsi="Arial" w:cs="Arial"/>
        </w:rPr>
        <w:t xml:space="preserve"> opens with this verse)</w:t>
      </w:r>
      <w:r w:rsidR="004168D9" w:rsidRPr="00F976B4">
        <w:rPr>
          <w:rFonts w:ascii="Arial" w:hAnsi="Arial" w:cs="Arial"/>
        </w:rPr>
        <w:t xml:space="preserve">.  </w:t>
      </w:r>
    </w:p>
    <w:p w:rsidR="004C2C25" w:rsidRDefault="004C2C25" w:rsidP="004C2C25">
      <w:pPr>
        <w:pStyle w:val="standardtop"/>
        <w:spacing w:before="0" w:beforeAutospacing="0" w:after="0" w:afterAutospacing="0"/>
        <w:ind w:firstLine="720"/>
        <w:jc w:val="both"/>
        <w:rPr>
          <w:rFonts w:ascii="Arial" w:hAnsi="Arial" w:cs="Arial"/>
        </w:rPr>
      </w:pPr>
    </w:p>
    <w:p w:rsidR="006477C9" w:rsidRDefault="00994966" w:rsidP="004C2C25">
      <w:pPr>
        <w:pStyle w:val="standardtop"/>
        <w:spacing w:before="0" w:beforeAutospacing="0" w:after="0" w:afterAutospacing="0"/>
        <w:ind w:firstLine="720"/>
        <w:jc w:val="both"/>
        <w:rPr>
          <w:rFonts w:ascii="Arial" w:hAnsi="Arial" w:cs="Arial"/>
        </w:rPr>
      </w:pPr>
      <w:r w:rsidRPr="00F976B4">
        <w:rPr>
          <w:rFonts w:ascii="Arial" w:hAnsi="Arial" w:cs="Arial"/>
        </w:rPr>
        <w:t xml:space="preserve">Whatever the reason may be for the accepted division </w:t>
      </w:r>
      <w:r w:rsidR="006477C9">
        <w:rPr>
          <w:rFonts w:ascii="Arial" w:hAnsi="Arial" w:cs="Arial"/>
        </w:rPr>
        <w:t>that</w:t>
      </w:r>
      <w:r w:rsidRPr="00F976B4">
        <w:rPr>
          <w:rFonts w:ascii="Arial" w:hAnsi="Arial" w:cs="Arial"/>
        </w:rPr>
        <w:t xml:space="preserve"> opens the story of Yosef with this verse, </w:t>
      </w:r>
      <w:r w:rsidR="006477C9">
        <w:rPr>
          <w:rFonts w:ascii="Arial" w:hAnsi="Arial" w:cs="Arial"/>
        </w:rPr>
        <w:t>let us</w:t>
      </w:r>
      <w:r w:rsidRPr="00F976B4">
        <w:rPr>
          <w:rFonts w:ascii="Arial" w:hAnsi="Arial" w:cs="Arial"/>
        </w:rPr>
        <w:t xml:space="preserve"> focus on the literary effect created </w:t>
      </w:r>
      <w:r w:rsidR="001F414B" w:rsidRPr="00F976B4">
        <w:rPr>
          <w:rFonts w:ascii="Arial" w:hAnsi="Arial" w:cs="Arial"/>
        </w:rPr>
        <w:t>when</w:t>
      </w:r>
      <w:r w:rsidRPr="00F976B4">
        <w:rPr>
          <w:rFonts w:ascii="Arial" w:hAnsi="Arial" w:cs="Arial"/>
        </w:rPr>
        <w:t xml:space="preserve"> we start the narrative with this fact</w:t>
      </w:r>
      <w:r w:rsidR="004168D9" w:rsidRPr="00F976B4">
        <w:rPr>
          <w:rFonts w:ascii="Arial" w:hAnsi="Arial" w:cs="Arial"/>
        </w:rPr>
        <w:t xml:space="preserve">.  </w:t>
      </w:r>
      <w:r w:rsidRPr="00F976B4">
        <w:rPr>
          <w:rFonts w:ascii="Arial" w:hAnsi="Arial" w:cs="Arial"/>
        </w:rPr>
        <w:t>After Yaakov’s long wanderings, he finally merits to dwell “in the land of his father’s so</w:t>
      </w:r>
      <w:r w:rsidR="001F414B" w:rsidRPr="00F976B4">
        <w:rPr>
          <w:rFonts w:ascii="Arial" w:hAnsi="Arial" w:cs="Arial"/>
        </w:rPr>
        <w:t>journing, in the land of Canaan</w:t>
      </w:r>
      <w:r w:rsidR="006477C9">
        <w:rPr>
          <w:rFonts w:ascii="Arial" w:hAnsi="Arial" w:cs="Arial"/>
        </w:rPr>
        <w:t>;</w:t>
      </w:r>
      <w:r w:rsidRPr="00F976B4">
        <w:rPr>
          <w:rFonts w:ascii="Arial" w:hAnsi="Arial" w:cs="Arial"/>
        </w:rPr>
        <w:t>”</w:t>
      </w:r>
      <w:r w:rsidR="001F414B" w:rsidRPr="00F976B4">
        <w:rPr>
          <w:rFonts w:ascii="Arial" w:hAnsi="Arial" w:cs="Arial"/>
        </w:rPr>
        <w:t xml:space="preserve"> Y</w:t>
      </w:r>
      <w:r w:rsidR="005C3DD0" w:rsidRPr="00F976B4">
        <w:rPr>
          <w:rFonts w:ascii="Arial" w:hAnsi="Arial" w:cs="Arial"/>
        </w:rPr>
        <w:t xml:space="preserve">aakov </w:t>
      </w:r>
      <w:r w:rsidR="001F414B" w:rsidRPr="00F976B4">
        <w:rPr>
          <w:rFonts w:ascii="Arial" w:hAnsi="Arial" w:cs="Arial"/>
        </w:rPr>
        <w:t xml:space="preserve">has the privilege of returning to his father’s house and his </w:t>
      </w:r>
      <w:r w:rsidR="005C3DD0" w:rsidRPr="00F976B4">
        <w:rPr>
          <w:rFonts w:ascii="Arial" w:hAnsi="Arial" w:cs="Arial"/>
        </w:rPr>
        <w:t>homeland</w:t>
      </w:r>
      <w:r w:rsidR="004168D9" w:rsidRPr="00F976B4">
        <w:rPr>
          <w:rFonts w:ascii="Arial" w:hAnsi="Arial" w:cs="Arial"/>
        </w:rPr>
        <w:t xml:space="preserve">.  </w:t>
      </w:r>
      <w:r w:rsidR="005C3DD0" w:rsidRPr="00F976B4">
        <w:rPr>
          <w:rFonts w:ascii="Arial" w:hAnsi="Arial" w:cs="Arial"/>
        </w:rPr>
        <w:t xml:space="preserve">An introduction such as this </w:t>
      </w:r>
      <w:r w:rsidR="00741978" w:rsidRPr="00F976B4">
        <w:rPr>
          <w:rFonts w:ascii="Arial" w:hAnsi="Arial" w:cs="Arial"/>
        </w:rPr>
        <w:t>arouses</w:t>
      </w:r>
      <w:r w:rsidR="005C3DD0" w:rsidRPr="00F976B4">
        <w:rPr>
          <w:rFonts w:ascii="Arial" w:hAnsi="Arial" w:cs="Arial"/>
        </w:rPr>
        <w:t xml:space="preserve"> the feeling</w:t>
      </w:r>
      <w:r w:rsidR="001F414B" w:rsidRPr="00F976B4">
        <w:rPr>
          <w:rFonts w:ascii="Arial" w:hAnsi="Arial" w:cs="Arial"/>
        </w:rPr>
        <w:t>s</w:t>
      </w:r>
      <w:r w:rsidR="005C3DD0" w:rsidRPr="00F976B4">
        <w:rPr>
          <w:rFonts w:ascii="Arial" w:hAnsi="Arial" w:cs="Arial"/>
        </w:rPr>
        <w:t xml:space="preserve"> </w:t>
      </w:r>
      <w:r w:rsidR="001F414B" w:rsidRPr="00F976B4">
        <w:rPr>
          <w:rFonts w:ascii="Arial" w:hAnsi="Arial" w:cs="Arial"/>
        </w:rPr>
        <w:t xml:space="preserve">of tranquility and </w:t>
      </w:r>
      <w:r w:rsidR="005C3DD0" w:rsidRPr="00F976B4">
        <w:rPr>
          <w:rFonts w:ascii="Arial" w:hAnsi="Arial" w:cs="Arial"/>
        </w:rPr>
        <w:t>equanimity, certainly in light of the wider context of the stories of Yaako</w:t>
      </w:r>
      <w:r w:rsidR="004168D9" w:rsidRPr="00F976B4">
        <w:rPr>
          <w:rFonts w:ascii="Arial" w:hAnsi="Arial" w:cs="Arial"/>
        </w:rPr>
        <w:t xml:space="preserve">v. </w:t>
      </w:r>
      <w:r w:rsidR="001F414B" w:rsidRPr="00F976B4">
        <w:rPr>
          <w:rFonts w:ascii="Arial" w:hAnsi="Arial" w:cs="Arial"/>
        </w:rPr>
        <w:t xml:space="preserve"> Lo and b</w:t>
      </w:r>
      <w:r w:rsidR="005C3DD0" w:rsidRPr="00F976B4">
        <w:rPr>
          <w:rFonts w:ascii="Arial" w:hAnsi="Arial" w:cs="Arial"/>
        </w:rPr>
        <w:t xml:space="preserve">ehold, to the surprise of the reader, </w:t>
      </w:r>
      <w:r w:rsidR="001F414B" w:rsidRPr="00F976B4">
        <w:rPr>
          <w:rFonts w:ascii="Arial" w:hAnsi="Arial" w:cs="Arial"/>
        </w:rPr>
        <w:t>precisely</w:t>
      </w:r>
      <w:r w:rsidR="005C3DD0" w:rsidRPr="00F976B4">
        <w:rPr>
          <w:rFonts w:ascii="Arial" w:hAnsi="Arial" w:cs="Arial"/>
        </w:rPr>
        <w:t xml:space="preserve"> in the land of Canaan where Yaakov settles, a new tragedy in his life </w:t>
      </w:r>
      <w:r w:rsidR="001F414B" w:rsidRPr="00F976B4">
        <w:rPr>
          <w:rFonts w:ascii="Arial" w:hAnsi="Arial" w:cs="Arial"/>
        </w:rPr>
        <w:t>begins</w:t>
      </w:r>
      <w:r w:rsidR="005C3DD0" w:rsidRPr="00F976B4">
        <w:rPr>
          <w:rFonts w:ascii="Arial" w:hAnsi="Arial" w:cs="Arial"/>
        </w:rPr>
        <w:t xml:space="preserve">, and he is </w:t>
      </w:r>
      <w:r w:rsidR="00741978" w:rsidRPr="00F976B4">
        <w:rPr>
          <w:rFonts w:ascii="Arial" w:hAnsi="Arial" w:cs="Arial"/>
        </w:rPr>
        <w:t>separated</w:t>
      </w:r>
      <w:r w:rsidR="005C3DD0" w:rsidRPr="00F976B4">
        <w:rPr>
          <w:rFonts w:ascii="Arial" w:hAnsi="Arial" w:cs="Arial"/>
        </w:rPr>
        <w:t xml:space="preserve"> for many long years from his beloved son Yosef</w:t>
      </w:r>
      <w:r w:rsidR="004168D9" w:rsidRPr="00F976B4">
        <w:rPr>
          <w:rFonts w:ascii="Arial" w:hAnsi="Arial" w:cs="Arial"/>
        </w:rPr>
        <w:t xml:space="preserve">.  </w:t>
      </w:r>
    </w:p>
    <w:p w:rsidR="004C2C25" w:rsidRDefault="004C2C25" w:rsidP="004C2C25">
      <w:pPr>
        <w:pStyle w:val="standardtop"/>
        <w:spacing w:before="0" w:beforeAutospacing="0" w:after="0" w:afterAutospacing="0"/>
        <w:ind w:firstLine="360"/>
        <w:jc w:val="both"/>
        <w:rPr>
          <w:rFonts w:ascii="Arial" w:hAnsi="Arial" w:cs="Arial"/>
        </w:rPr>
      </w:pPr>
    </w:p>
    <w:p w:rsidR="005C3DD0" w:rsidRPr="00F976B4" w:rsidRDefault="005C3DD0" w:rsidP="004C2C25">
      <w:pPr>
        <w:pStyle w:val="standardtop"/>
        <w:spacing w:before="0" w:beforeAutospacing="0" w:after="0" w:afterAutospacing="0"/>
        <w:ind w:firstLine="720"/>
        <w:jc w:val="both"/>
        <w:rPr>
          <w:rFonts w:ascii="Arial" w:hAnsi="Arial" w:cs="Arial"/>
        </w:rPr>
      </w:pPr>
      <w:r w:rsidRPr="00F976B4">
        <w:rPr>
          <w:rFonts w:ascii="Arial" w:hAnsi="Arial" w:cs="Arial"/>
        </w:rPr>
        <w:t>T</w:t>
      </w:r>
      <w:r w:rsidR="001F414B" w:rsidRPr="00F976B4">
        <w:rPr>
          <w:rFonts w:ascii="Arial" w:hAnsi="Arial" w:cs="Arial"/>
        </w:rPr>
        <w:t xml:space="preserve">he </w:t>
      </w:r>
      <w:proofErr w:type="gramStart"/>
      <w:r w:rsidR="006477C9" w:rsidRPr="006477C9">
        <w:rPr>
          <w:rFonts w:ascii="Arial" w:hAnsi="Arial" w:cs="Arial"/>
          <w:i/>
          <w:iCs/>
        </w:rPr>
        <w:t>m</w:t>
      </w:r>
      <w:r w:rsidRPr="006477C9">
        <w:rPr>
          <w:rFonts w:ascii="Arial" w:hAnsi="Arial" w:cs="Arial"/>
          <w:i/>
          <w:iCs/>
        </w:rPr>
        <w:t>idrash</w:t>
      </w:r>
      <w:proofErr w:type="gramEnd"/>
      <w:r w:rsidRPr="00F976B4">
        <w:rPr>
          <w:rFonts w:ascii="Arial" w:hAnsi="Arial" w:cs="Arial"/>
        </w:rPr>
        <w:t xml:space="preserve"> (</w:t>
      </w:r>
      <w:r w:rsidRPr="006477C9">
        <w:rPr>
          <w:rFonts w:ascii="Arial" w:hAnsi="Arial" w:cs="Arial"/>
          <w:i/>
          <w:iCs/>
        </w:rPr>
        <w:t>Bereishit Rabba</w:t>
      </w:r>
      <w:r w:rsidRPr="00F976B4">
        <w:rPr>
          <w:rFonts w:ascii="Arial" w:hAnsi="Arial" w:cs="Arial"/>
        </w:rPr>
        <w:t xml:space="preserve"> 84:3, et al)</w:t>
      </w:r>
      <w:r w:rsidR="001F414B" w:rsidRPr="00F976B4">
        <w:rPr>
          <w:rFonts w:ascii="Arial" w:hAnsi="Arial" w:cs="Arial"/>
        </w:rPr>
        <w:t xml:space="preserve"> responds to this very point</w:t>
      </w:r>
      <w:r w:rsidRPr="00F976B4">
        <w:rPr>
          <w:rFonts w:ascii="Arial" w:hAnsi="Arial" w:cs="Arial"/>
        </w:rPr>
        <w:t>, as brought by Rashi ad loc</w:t>
      </w:r>
      <w:r w:rsidR="006477C9">
        <w:rPr>
          <w:rFonts w:ascii="Arial" w:hAnsi="Arial" w:cs="Arial"/>
        </w:rPr>
        <w:t>:</w:t>
      </w:r>
      <w:r w:rsidR="004168D9" w:rsidRPr="00F976B4">
        <w:rPr>
          <w:rFonts w:ascii="Arial" w:hAnsi="Arial" w:cs="Arial"/>
        </w:rPr>
        <w:t xml:space="preserve">  </w:t>
      </w:r>
    </w:p>
    <w:p w:rsidR="004C2C25" w:rsidRDefault="004C2C25" w:rsidP="004C2C25">
      <w:pPr>
        <w:pStyle w:val="standardtop"/>
        <w:spacing w:before="0" w:beforeAutospacing="0" w:after="0" w:afterAutospacing="0"/>
        <w:ind w:left="720"/>
        <w:jc w:val="both"/>
        <w:rPr>
          <w:rFonts w:ascii="Arial" w:hAnsi="Arial" w:cs="Arial"/>
        </w:rPr>
      </w:pPr>
    </w:p>
    <w:p w:rsidR="005C3DD0" w:rsidRPr="00F976B4" w:rsidRDefault="005C3DD0" w:rsidP="004C2C25">
      <w:pPr>
        <w:pStyle w:val="standardtop"/>
        <w:spacing w:before="0" w:beforeAutospacing="0" w:after="0" w:afterAutospacing="0"/>
        <w:ind w:left="720"/>
        <w:jc w:val="both"/>
        <w:rPr>
          <w:rFonts w:ascii="Arial" w:hAnsi="Arial" w:cs="Arial"/>
        </w:rPr>
      </w:pPr>
      <w:r w:rsidRPr="00F976B4">
        <w:rPr>
          <w:rFonts w:ascii="Arial" w:hAnsi="Arial" w:cs="Arial"/>
        </w:rPr>
        <w:t>Yaakov sought to dwell in tranquility, but he was confronted by the disquiet of Yosef</w:t>
      </w:r>
      <w:r w:rsidR="004168D9" w:rsidRPr="00F976B4">
        <w:rPr>
          <w:rFonts w:ascii="Arial" w:hAnsi="Arial" w:cs="Arial"/>
        </w:rPr>
        <w:t xml:space="preserve">.  </w:t>
      </w:r>
      <w:r w:rsidRPr="00F976B4">
        <w:rPr>
          <w:rFonts w:ascii="Arial" w:hAnsi="Arial" w:cs="Arial"/>
        </w:rPr>
        <w:t xml:space="preserve">The righteous seek to dwell in tranquility in this world, </w:t>
      </w:r>
      <w:r w:rsidR="001F414B" w:rsidRPr="00F976B4">
        <w:rPr>
          <w:rFonts w:ascii="Arial" w:hAnsi="Arial" w:cs="Arial"/>
        </w:rPr>
        <w:t xml:space="preserve">but </w:t>
      </w:r>
      <w:r w:rsidR="006477C9">
        <w:rPr>
          <w:rFonts w:ascii="Arial" w:hAnsi="Arial" w:cs="Arial"/>
        </w:rPr>
        <w:t>God says,</w:t>
      </w:r>
      <w:r w:rsidRPr="00F976B4">
        <w:rPr>
          <w:rFonts w:ascii="Arial" w:hAnsi="Arial" w:cs="Arial"/>
        </w:rPr>
        <w:t xml:space="preserve"> </w:t>
      </w:r>
      <w:r w:rsidR="001F414B" w:rsidRPr="00F976B4">
        <w:rPr>
          <w:rFonts w:ascii="Arial" w:hAnsi="Arial" w:cs="Arial"/>
        </w:rPr>
        <w:t>“I</w:t>
      </w:r>
      <w:r w:rsidRPr="00F976B4">
        <w:rPr>
          <w:rFonts w:ascii="Arial" w:hAnsi="Arial" w:cs="Arial"/>
        </w:rPr>
        <w:t xml:space="preserve">s it not enough </w:t>
      </w:r>
      <w:r w:rsidR="00741978" w:rsidRPr="00F976B4">
        <w:rPr>
          <w:rFonts w:ascii="Arial" w:hAnsi="Arial" w:cs="Arial"/>
        </w:rPr>
        <w:t>for</w:t>
      </w:r>
      <w:r w:rsidRPr="00F976B4">
        <w:rPr>
          <w:rFonts w:ascii="Arial" w:hAnsi="Arial" w:cs="Arial"/>
        </w:rPr>
        <w:t xml:space="preserve"> the </w:t>
      </w:r>
      <w:r w:rsidR="00741978" w:rsidRPr="00F976B4">
        <w:rPr>
          <w:rFonts w:ascii="Arial" w:hAnsi="Arial" w:cs="Arial"/>
        </w:rPr>
        <w:t>righteous</w:t>
      </w:r>
      <w:r w:rsidRPr="00F976B4">
        <w:rPr>
          <w:rFonts w:ascii="Arial" w:hAnsi="Arial" w:cs="Arial"/>
        </w:rPr>
        <w:t xml:space="preserve"> what is destined for them in the World to Come, that they seek to dwell in tranquility in this world?</w:t>
      </w:r>
      <w:r w:rsidR="001F414B" w:rsidRPr="00F976B4">
        <w:rPr>
          <w:rFonts w:ascii="Arial" w:hAnsi="Arial" w:cs="Arial"/>
        </w:rPr>
        <w:t>”</w:t>
      </w:r>
    </w:p>
    <w:p w:rsidR="005C3DD0" w:rsidRPr="00F976B4" w:rsidRDefault="005C3DD0" w:rsidP="004C2C25">
      <w:pPr>
        <w:pStyle w:val="standardtop"/>
        <w:spacing w:before="0" w:beforeAutospacing="0" w:after="0" w:afterAutospacing="0"/>
        <w:ind w:left="720"/>
        <w:jc w:val="both"/>
        <w:rPr>
          <w:rFonts w:ascii="Arial" w:hAnsi="Arial" w:cs="Arial"/>
        </w:rPr>
      </w:pPr>
    </w:p>
    <w:p w:rsidR="005C3DD0" w:rsidRPr="00F976B4" w:rsidRDefault="005C3DD0" w:rsidP="004C2C25">
      <w:pPr>
        <w:pStyle w:val="standardtop"/>
        <w:spacing w:before="0" w:beforeAutospacing="0" w:after="0" w:afterAutospacing="0"/>
        <w:jc w:val="both"/>
        <w:rPr>
          <w:rFonts w:ascii="Arial" w:hAnsi="Arial" w:cs="Arial"/>
          <w:b/>
          <w:bCs/>
        </w:rPr>
      </w:pPr>
      <w:r w:rsidRPr="00F976B4">
        <w:rPr>
          <w:rFonts w:ascii="Arial" w:hAnsi="Arial" w:cs="Arial"/>
          <w:b/>
          <w:bCs/>
        </w:rPr>
        <w:t>Explanatory Exposition</w:t>
      </w:r>
    </w:p>
    <w:p w:rsidR="004C2C25" w:rsidRDefault="004C2C25" w:rsidP="004C2C25">
      <w:pPr>
        <w:pStyle w:val="standardtop"/>
        <w:spacing w:before="0" w:beforeAutospacing="0" w:after="0" w:afterAutospacing="0"/>
        <w:ind w:firstLine="360"/>
        <w:jc w:val="both"/>
        <w:rPr>
          <w:rFonts w:ascii="Arial" w:hAnsi="Arial" w:cs="Arial"/>
        </w:rPr>
      </w:pPr>
    </w:p>
    <w:p w:rsidR="00C07A93" w:rsidRPr="00F976B4" w:rsidRDefault="005C3DD0" w:rsidP="004C2C25">
      <w:pPr>
        <w:pStyle w:val="standardtop"/>
        <w:spacing w:before="0" w:beforeAutospacing="0" w:after="0" w:afterAutospacing="0"/>
        <w:ind w:firstLine="720"/>
        <w:jc w:val="both"/>
        <w:rPr>
          <w:rFonts w:ascii="Arial" w:hAnsi="Arial" w:cs="Arial"/>
        </w:rPr>
      </w:pPr>
      <w:r w:rsidRPr="00F976B4">
        <w:rPr>
          <w:rFonts w:ascii="Arial" w:hAnsi="Arial" w:cs="Arial"/>
        </w:rPr>
        <w:t>The influence</w:t>
      </w:r>
      <w:r w:rsidR="00C07A93" w:rsidRPr="00F976B4">
        <w:rPr>
          <w:rFonts w:ascii="Arial" w:hAnsi="Arial" w:cs="Arial"/>
        </w:rPr>
        <w:t xml:space="preserve"> of the introduction of a narrative on its meaning </w:t>
      </w:r>
      <w:r w:rsidR="001F414B" w:rsidRPr="00F976B4">
        <w:rPr>
          <w:rFonts w:ascii="Arial" w:hAnsi="Arial" w:cs="Arial"/>
        </w:rPr>
        <w:t>becomes</w:t>
      </w:r>
      <w:r w:rsidR="00C07A93" w:rsidRPr="00F976B4">
        <w:rPr>
          <w:rFonts w:ascii="Arial" w:hAnsi="Arial" w:cs="Arial"/>
        </w:rPr>
        <w:t xml:space="preserve"> most prominent in what may be called </w:t>
      </w:r>
      <w:r w:rsidR="006477C9">
        <w:rPr>
          <w:rFonts w:ascii="Arial" w:hAnsi="Arial" w:cs="Arial"/>
        </w:rPr>
        <w:t>“</w:t>
      </w:r>
      <w:r w:rsidR="00C07A93" w:rsidRPr="00F976B4">
        <w:rPr>
          <w:rFonts w:ascii="Arial" w:hAnsi="Arial" w:cs="Arial"/>
        </w:rPr>
        <w:t>explanatory exposition</w:t>
      </w:r>
      <w:r w:rsidR="001F414B" w:rsidRPr="00F976B4">
        <w:rPr>
          <w:rFonts w:ascii="Arial" w:hAnsi="Arial" w:cs="Arial"/>
        </w:rPr>
        <w:t>.</w:t>
      </w:r>
      <w:r w:rsidR="006477C9">
        <w:rPr>
          <w:rFonts w:ascii="Arial" w:hAnsi="Arial" w:cs="Arial"/>
        </w:rPr>
        <w:t>”</w:t>
      </w:r>
      <w:r w:rsidR="001F414B" w:rsidRPr="00F976B4">
        <w:rPr>
          <w:rFonts w:ascii="Arial" w:hAnsi="Arial" w:cs="Arial"/>
        </w:rPr>
        <w:t xml:space="preserve">  This phenomenon consists of the narrator’s inclusion of a fact, at the outset, of</w:t>
      </w:r>
      <w:r w:rsidR="00C07A93" w:rsidRPr="00F976B4">
        <w:rPr>
          <w:rFonts w:ascii="Arial" w:hAnsi="Arial" w:cs="Arial"/>
        </w:rPr>
        <w:t xml:space="preserve"> which the characters are unaware and which becomes clear to the</w:t>
      </w:r>
      <w:r w:rsidR="001F414B" w:rsidRPr="00F976B4">
        <w:rPr>
          <w:rFonts w:ascii="Arial" w:hAnsi="Arial" w:cs="Arial"/>
        </w:rPr>
        <w:t>m</w:t>
      </w:r>
      <w:r w:rsidR="00C07A93" w:rsidRPr="00F976B4">
        <w:rPr>
          <w:rFonts w:ascii="Arial" w:hAnsi="Arial" w:cs="Arial"/>
        </w:rPr>
        <w:t xml:space="preserve"> only in the midst of the story</w:t>
      </w:r>
      <w:r w:rsidR="001F414B" w:rsidRPr="00F976B4">
        <w:rPr>
          <w:rFonts w:ascii="Arial" w:hAnsi="Arial" w:cs="Arial"/>
        </w:rPr>
        <w:t>.</w:t>
      </w:r>
      <w:r w:rsidR="00C07A93" w:rsidRPr="00F976B4">
        <w:rPr>
          <w:rFonts w:ascii="Arial" w:hAnsi="Arial" w:cs="Arial"/>
        </w:rPr>
        <w:t xml:space="preserve"> </w:t>
      </w:r>
      <w:r w:rsidR="001F414B" w:rsidRPr="00F976B4">
        <w:rPr>
          <w:rFonts w:ascii="Arial" w:hAnsi="Arial" w:cs="Arial"/>
        </w:rPr>
        <w:t xml:space="preserve"> </w:t>
      </w:r>
      <w:r w:rsidR="00C07A93" w:rsidRPr="00F976B4">
        <w:rPr>
          <w:rFonts w:ascii="Arial" w:hAnsi="Arial" w:cs="Arial"/>
        </w:rPr>
        <w:t>(Tzohar calls this an expositive exposé</w:t>
      </w:r>
      <w:r w:rsidR="001F414B" w:rsidRPr="00F976B4">
        <w:rPr>
          <w:rFonts w:ascii="Arial" w:hAnsi="Arial" w:cs="Arial"/>
        </w:rPr>
        <w:t>.</w:t>
      </w:r>
      <w:r w:rsidR="006477C9" w:rsidRPr="006477C9">
        <w:rPr>
          <w:rFonts w:ascii="Arial" w:hAnsi="Arial" w:cs="Arial"/>
          <w:vertAlign w:val="superscript"/>
        </w:rPr>
        <w:footnoteReference w:id="7"/>
      </w:r>
      <w:r w:rsidR="00C07A93" w:rsidRPr="00F976B4">
        <w:rPr>
          <w:rFonts w:ascii="Arial" w:hAnsi="Arial" w:cs="Arial"/>
        </w:rPr>
        <w:t xml:space="preserve">) </w:t>
      </w:r>
      <w:r w:rsidR="001F414B" w:rsidRPr="00F976B4">
        <w:rPr>
          <w:rFonts w:ascii="Arial" w:hAnsi="Arial" w:cs="Arial"/>
        </w:rPr>
        <w:t xml:space="preserve"> </w:t>
      </w:r>
      <w:r w:rsidR="00C07A93" w:rsidRPr="00F976B4">
        <w:rPr>
          <w:rFonts w:ascii="Arial" w:hAnsi="Arial" w:cs="Arial"/>
        </w:rPr>
        <w:t>In many case</w:t>
      </w:r>
      <w:r w:rsidR="001F414B" w:rsidRPr="00F976B4">
        <w:rPr>
          <w:rFonts w:ascii="Arial" w:hAnsi="Arial" w:cs="Arial"/>
        </w:rPr>
        <w:t>s</w:t>
      </w:r>
      <w:r w:rsidR="00C07A93" w:rsidRPr="00F976B4">
        <w:rPr>
          <w:rFonts w:ascii="Arial" w:hAnsi="Arial" w:cs="Arial"/>
        </w:rPr>
        <w:t xml:space="preserve">, a significant part of the tension of the narrative is lost in such an exposition, but </w:t>
      </w:r>
      <w:r w:rsidR="001F414B" w:rsidRPr="00F976B4">
        <w:rPr>
          <w:rFonts w:ascii="Arial" w:hAnsi="Arial" w:cs="Arial"/>
        </w:rPr>
        <w:t>this is merely t</w:t>
      </w:r>
      <w:r w:rsidR="00C07A93" w:rsidRPr="00F976B4">
        <w:rPr>
          <w:rFonts w:ascii="Arial" w:hAnsi="Arial" w:cs="Arial"/>
        </w:rPr>
        <w:t>he focus of the reading moving to another p</w:t>
      </w:r>
      <w:r w:rsidR="001F414B" w:rsidRPr="00F976B4">
        <w:rPr>
          <w:rFonts w:ascii="Arial" w:hAnsi="Arial" w:cs="Arial"/>
        </w:rPr>
        <w:t>oint</w:t>
      </w:r>
      <w:r w:rsidR="004168D9" w:rsidRPr="00F976B4">
        <w:rPr>
          <w:rFonts w:ascii="Arial" w:hAnsi="Arial" w:cs="Arial"/>
        </w:rPr>
        <w:t xml:space="preserve">.  </w:t>
      </w:r>
      <w:r w:rsidR="00C07A93" w:rsidRPr="00F976B4">
        <w:rPr>
          <w:rFonts w:ascii="Arial" w:hAnsi="Arial" w:cs="Arial"/>
        </w:rPr>
        <w:t xml:space="preserve">Talmon </w:t>
      </w:r>
      <w:r w:rsidR="001F414B" w:rsidRPr="00F976B4">
        <w:rPr>
          <w:rFonts w:ascii="Arial" w:hAnsi="Arial" w:cs="Arial"/>
        </w:rPr>
        <w:t>notes</w:t>
      </w:r>
      <w:r w:rsidR="00C07A93" w:rsidRPr="00F976B4">
        <w:rPr>
          <w:rFonts w:ascii="Arial" w:hAnsi="Arial" w:cs="Arial"/>
        </w:rPr>
        <w:t xml:space="preserve"> </w:t>
      </w:r>
      <w:r w:rsidR="001F414B" w:rsidRPr="00F976B4">
        <w:rPr>
          <w:rFonts w:ascii="Arial" w:hAnsi="Arial" w:cs="Arial"/>
        </w:rPr>
        <w:t xml:space="preserve">perceptively </w:t>
      </w:r>
      <w:r w:rsidR="00C07A93" w:rsidRPr="00F976B4">
        <w:rPr>
          <w:rFonts w:ascii="Arial" w:hAnsi="Arial" w:cs="Arial"/>
        </w:rPr>
        <w:t xml:space="preserve">that with the </w:t>
      </w:r>
      <w:r w:rsidR="001F414B" w:rsidRPr="00F976B4">
        <w:rPr>
          <w:rFonts w:ascii="Arial" w:hAnsi="Arial" w:cs="Arial"/>
        </w:rPr>
        <w:t>help</w:t>
      </w:r>
      <w:r w:rsidR="00C07A93" w:rsidRPr="00F976B4">
        <w:rPr>
          <w:rFonts w:ascii="Arial" w:hAnsi="Arial" w:cs="Arial"/>
        </w:rPr>
        <w:t xml:space="preserve"> of the </w:t>
      </w:r>
      <w:r w:rsidR="00741978" w:rsidRPr="00F976B4">
        <w:rPr>
          <w:rFonts w:ascii="Arial" w:hAnsi="Arial" w:cs="Arial"/>
        </w:rPr>
        <w:t>exposition</w:t>
      </w:r>
      <w:r w:rsidR="00C07A93" w:rsidRPr="00F976B4">
        <w:rPr>
          <w:rFonts w:ascii="Arial" w:hAnsi="Arial" w:cs="Arial"/>
        </w:rPr>
        <w:t xml:space="preserve"> (in a unique way, in my view, mainly </w:t>
      </w:r>
      <w:r w:rsidR="001F414B" w:rsidRPr="00F976B4">
        <w:rPr>
          <w:rFonts w:ascii="Arial" w:hAnsi="Arial" w:cs="Arial"/>
        </w:rPr>
        <w:t>with</w:t>
      </w:r>
      <w:r w:rsidR="00C07A93" w:rsidRPr="00F976B4">
        <w:rPr>
          <w:rFonts w:ascii="Arial" w:hAnsi="Arial" w:cs="Arial"/>
        </w:rPr>
        <w:t xml:space="preserve"> the </w:t>
      </w:r>
      <w:r w:rsidR="001F414B" w:rsidRPr="00F976B4">
        <w:rPr>
          <w:rFonts w:ascii="Arial" w:hAnsi="Arial" w:cs="Arial"/>
        </w:rPr>
        <w:t xml:space="preserve">help of </w:t>
      </w:r>
      <w:r w:rsidR="00C07A93" w:rsidRPr="00F976B4">
        <w:rPr>
          <w:rFonts w:ascii="Arial" w:hAnsi="Arial" w:cs="Arial"/>
        </w:rPr>
        <w:t>explanatory exposition)</w:t>
      </w:r>
      <w:r w:rsidR="006477C9">
        <w:rPr>
          <w:rFonts w:ascii="Arial" w:hAnsi="Arial" w:cs="Arial"/>
        </w:rPr>
        <w:t>,</w:t>
      </w:r>
      <w:r w:rsidR="00C07A93" w:rsidRPr="00F976B4">
        <w:rPr>
          <w:rFonts w:ascii="Arial" w:hAnsi="Arial" w:cs="Arial"/>
        </w:rPr>
        <w:t xml:space="preserve"> the reader who knows more than the protagonists “as it were, supersedes them and become a partner with their creator, the author of the narrative.”</w:t>
      </w:r>
      <w:r w:rsidR="00C07A93" w:rsidRPr="006477C9">
        <w:rPr>
          <w:rStyle w:val="FootnoteCharacters"/>
          <w:rFonts w:ascii="Arial" w:hAnsi="Arial" w:cs="Arial"/>
          <w:sz w:val="24"/>
          <w:szCs w:val="24"/>
          <w:vertAlign w:val="superscript"/>
        </w:rPr>
        <w:footnoteReference w:id="8"/>
      </w:r>
    </w:p>
    <w:p w:rsidR="004C2C25" w:rsidRDefault="004C2C25" w:rsidP="004C2C25">
      <w:pPr>
        <w:pStyle w:val="standardtop"/>
        <w:spacing w:before="0" w:beforeAutospacing="0" w:after="0" w:afterAutospacing="0"/>
        <w:ind w:firstLine="720"/>
        <w:jc w:val="both"/>
        <w:rPr>
          <w:rFonts w:ascii="Arial" w:hAnsi="Arial" w:cs="Arial"/>
        </w:rPr>
      </w:pPr>
    </w:p>
    <w:p w:rsidR="00D7666A" w:rsidRPr="00F976B4" w:rsidRDefault="001F414B" w:rsidP="004C2C25">
      <w:pPr>
        <w:pStyle w:val="standardtop"/>
        <w:spacing w:before="0" w:beforeAutospacing="0" w:after="0" w:afterAutospacing="0"/>
        <w:ind w:firstLine="720"/>
        <w:jc w:val="both"/>
        <w:rPr>
          <w:rFonts w:ascii="Arial" w:hAnsi="Arial" w:cs="Arial"/>
        </w:rPr>
      </w:pPr>
      <w:r w:rsidRPr="00F976B4">
        <w:rPr>
          <w:rFonts w:ascii="Arial" w:hAnsi="Arial" w:cs="Arial"/>
        </w:rPr>
        <w:t>F</w:t>
      </w:r>
      <w:r w:rsidR="00C07A93" w:rsidRPr="00F976B4">
        <w:rPr>
          <w:rFonts w:ascii="Arial" w:hAnsi="Arial" w:cs="Arial"/>
        </w:rPr>
        <w:t>or example, at the beginning of the story of the Binding of Yitzchak, the reader is made aware that this is only a test</w:t>
      </w:r>
      <w:r w:rsidRPr="00F976B4">
        <w:rPr>
          <w:rFonts w:ascii="Arial" w:hAnsi="Arial" w:cs="Arial"/>
        </w:rPr>
        <w:t>:</w:t>
      </w:r>
      <w:r w:rsidR="00C07A93" w:rsidRPr="00F976B4">
        <w:rPr>
          <w:rFonts w:ascii="Arial" w:hAnsi="Arial" w:cs="Arial"/>
        </w:rPr>
        <w:t xml:space="preserve"> “After these things, God tested Avraham” (</w:t>
      </w:r>
      <w:r w:rsidR="00C07A93" w:rsidRPr="006477C9">
        <w:rPr>
          <w:rFonts w:ascii="Arial" w:hAnsi="Arial" w:cs="Arial"/>
          <w:i/>
          <w:iCs/>
        </w:rPr>
        <w:t>Bereishit</w:t>
      </w:r>
      <w:r w:rsidR="00C07A93" w:rsidRPr="00F976B4">
        <w:rPr>
          <w:rFonts w:ascii="Arial" w:hAnsi="Arial" w:cs="Arial"/>
        </w:rPr>
        <w:t xml:space="preserve"> 22:1)</w:t>
      </w:r>
      <w:r w:rsidR="004168D9" w:rsidRPr="00F976B4">
        <w:rPr>
          <w:rFonts w:ascii="Arial" w:hAnsi="Arial" w:cs="Arial"/>
        </w:rPr>
        <w:t xml:space="preserve">.  </w:t>
      </w:r>
      <w:r w:rsidR="00D7666A" w:rsidRPr="00F976B4">
        <w:rPr>
          <w:rFonts w:ascii="Arial" w:hAnsi="Arial" w:cs="Arial"/>
        </w:rPr>
        <w:t xml:space="preserve">In other words, already at the </w:t>
      </w:r>
      <w:r w:rsidRPr="00F976B4">
        <w:rPr>
          <w:rFonts w:ascii="Arial" w:hAnsi="Arial" w:cs="Arial"/>
        </w:rPr>
        <w:t>outset o</w:t>
      </w:r>
      <w:r w:rsidR="00D7666A" w:rsidRPr="00F976B4">
        <w:rPr>
          <w:rFonts w:ascii="Arial" w:hAnsi="Arial" w:cs="Arial"/>
        </w:rPr>
        <w:t xml:space="preserve">f the narrative, the reader knows that God is not </w:t>
      </w:r>
      <w:r w:rsidR="00741978" w:rsidRPr="00F976B4">
        <w:rPr>
          <w:rFonts w:ascii="Arial" w:hAnsi="Arial" w:cs="Arial"/>
        </w:rPr>
        <w:t>truly</w:t>
      </w:r>
      <w:r w:rsidR="00D7666A" w:rsidRPr="00F976B4">
        <w:rPr>
          <w:rFonts w:ascii="Arial" w:hAnsi="Arial" w:cs="Arial"/>
        </w:rPr>
        <w:t xml:space="preserve"> interested in child sacrifice (as was the prevailing custom in the ancient pagan world)</w:t>
      </w:r>
      <w:r w:rsidR="004168D9" w:rsidRPr="00F976B4">
        <w:rPr>
          <w:rFonts w:ascii="Arial" w:hAnsi="Arial" w:cs="Arial"/>
        </w:rPr>
        <w:t xml:space="preserve">.  </w:t>
      </w:r>
      <w:r w:rsidR="00D7666A" w:rsidRPr="00F976B4">
        <w:rPr>
          <w:rFonts w:ascii="Arial" w:hAnsi="Arial" w:cs="Arial"/>
        </w:rPr>
        <w:t>In this case, the tension remains</w:t>
      </w:r>
      <w:r w:rsidRPr="00F976B4">
        <w:rPr>
          <w:rFonts w:ascii="Arial" w:hAnsi="Arial" w:cs="Arial"/>
        </w:rPr>
        <w:t>,</w:t>
      </w:r>
      <w:r w:rsidR="00D7666A" w:rsidRPr="00F976B4">
        <w:rPr>
          <w:rFonts w:ascii="Arial" w:hAnsi="Arial" w:cs="Arial"/>
        </w:rPr>
        <w:t xml:space="preserve"> because it may still be that </w:t>
      </w:r>
      <w:r w:rsidR="00741978" w:rsidRPr="00F976B4">
        <w:rPr>
          <w:rFonts w:ascii="Arial" w:hAnsi="Arial" w:cs="Arial"/>
        </w:rPr>
        <w:t>Avraham</w:t>
      </w:r>
      <w:r w:rsidR="00D7666A" w:rsidRPr="00F976B4">
        <w:rPr>
          <w:rFonts w:ascii="Arial" w:hAnsi="Arial" w:cs="Arial"/>
        </w:rPr>
        <w:t xml:space="preserve"> will be required to </w:t>
      </w:r>
      <w:r w:rsidR="00741978" w:rsidRPr="00F976B4">
        <w:rPr>
          <w:rFonts w:ascii="Arial" w:hAnsi="Arial" w:cs="Arial"/>
        </w:rPr>
        <w:t>sacrifice</w:t>
      </w:r>
      <w:r w:rsidR="00D7666A" w:rsidRPr="00F976B4">
        <w:rPr>
          <w:rFonts w:ascii="Arial" w:hAnsi="Arial" w:cs="Arial"/>
        </w:rPr>
        <w:t xml:space="preserve"> his son</w:t>
      </w:r>
      <w:r w:rsidRPr="00F976B4">
        <w:rPr>
          <w:rFonts w:ascii="Arial" w:hAnsi="Arial" w:cs="Arial"/>
        </w:rPr>
        <w:t>;</w:t>
      </w:r>
      <w:r w:rsidR="00D7666A" w:rsidRPr="00F976B4">
        <w:rPr>
          <w:rFonts w:ascii="Arial" w:hAnsi="Arial" w:cs="Arial"/>
        </w:rPr>
        <w:t xml:space="preserve"> but from a theological </w:t>
      </w:r>
      <w:r w:rsidRPr="00F976B4">
        <w:rPr>
          <w:rFonts w:ascii="Arial" w:hAnsi="Arial" w:cs="Arial"/>
        </w:rPr>
        <w:t>viewpoin</w:t>
      </w:r>
      <w:r w:rsidR="00D7666A" w:rsidRPr="00F976B4">
        <w:rPr>
          <w:rFonts w:ascii="Arial" w:hAnsi="Arial" w:cs="Arial"/>
        </w:rPr>
        <w:t xml:space="preserve">t, it appears that it </w:t>
      </w:r>
      <w:r w:rsidRPr="00F976B4">
        <w:rPr>
          <w:rFonts w:ascii="Arial" w:hAnsi="Arial" w:cs="Arial"/>
        </w:rPr>
        <w:t>is worthwhile to state</w:t>
      </w:r>
      <w:r w:rsidR="00D7666A" w:rsidRPr="00F976B4">
        <w:rPr>
          <w:rFonts w:ascii="Arial" w:hAnsi="Arial" w:cs="Arial"/>
        </w:rPr>
        <w:t xml:space="preserve"> this </w:t>
      </w:r>
      <w:r w:rsidRPr="00F976B4">
        <w:rPr>
          <w:rFonts w:ascii="Arial" w:hAnsi="Arial" w:cs="Arial"/>
        </w:rPr>
        <w:t xml:space="preserve">at </w:t>
      </w:r>
      <w:r w:rsidR="00D7666A" w:rsidRPr="00F976B4">
        <w:rPr>
          <w:rFonts w:ascii="Arial" w:hAnsi="Arial" w:cs="Arial"/>
        </w:rPr>
        <w:t>the beginning</w:t>
      </w:r>
      <w:r w:rsidR="006477C9">
        <w:rPr>
          <w:rFonts w:ascii="Arial" w:hAnsi="Arial" w:cs="Arial"/>
        </w:rPr>
        <w:t>.</w:t>
      </w:r>
      <w:r w:rsidR="00D7666A" w:rsidRPr="00F976B4">
        <w:rPr>
          <w:rFonts w:ascii="Arial" w:hAnsi="Arial" w:cs="Arial"/>
        </w:rPr>
        <w:t xml:space="preserve"> </w:t>
      </w:r>
      <w:r w:rsidR="006477C9">
        <w:rPr>
          <w:rFonts w:ascii="Arial" w:hAnsi="Arial" w:cs="Arial"/>
        </w:rPr>
        <w:t>W</w:t>
      </w:r>
      <w:r w:rsidR="00D7666A" w:rsidRPr="00F976B4">
        <w:rPr>
          <w:rFonts w:ascii="Arial" w:hAnsi="Arial" w:cs="Arial"/>
        </w:rPr>
        <w:t xml:space="preserve">hether Yitzchak will </w:t>
      </w:r>
      <w:r w:rsidRPr="00F976B4">
        <w:rPr>
          <w:rFonts w:ascii="Arial" w:hAnsi="Arial" w:cs="Arial"/>
        </w:rPr>
        <w:t xml:space="preserve">ultimately </w:t>
      </w:r>
      <w:r w:rsidR="00D7666A" w:rsidRPr="00F976B4">
        <w:rPr>
          <w:rFonts w:ascii="Arial" w:hAnsi="Arial" w:cs="Arial"/>
        </w:rPr>
        <w:t xml:space="preserve">be sacrificed or not, this is only a test for </w:t>
      </w:r>
      <w:r w:rsidR="00741978" w:rsidRPr="00F976B4">
        <w:rPr>
          <w:rFonts w:ascii="Arial" w:hAnsi="Arial" w:cs="Arial"/>
        </w:rPr>
        <w:t>Avraham</w:t>
      </w:r>
      <w:r w:rsidRPr="00F976B4">
        <w:rPr>
          <w:rFonts w:ascii="Arial" w:hAnsi="Arial" w:cs="Arial"/>
        </w:rPr>
        <w:t xml:space="preserve">, </w:t>
      </w:r>
      <w:r w:rsidR="00D7666A" w:rsidRPr="00F976B4">
        <w:rPr>
          <w:rFonts w:ascii="Arial" w:hAnsi="Arial" w:cs="Arial"/>
        </w:rPr>
        <w:t xml:space="preserve">not a true </w:t>
      </w:r>
      <w:r w:rsidR="00741978" w:rsidRPr="00F976B4">
        <w:rPr>
          <w:rFonts w:ascii="Arial" w:hAnsi="Arial" w:cs="Arial"/>
        </w:rPr>
        <w:t>divine</w:t>
      </w:r>
      <w:r w:rsidR="00D7666A" w:rsidRPr="00F976B4">
        <w:rPr>
          <w:rFonts w:ascii="Arial" w:hAnsi="Arial" w:cs="Arial"/>
        </w:rPr>
        <w:t xml:space="preserve"> </w:t>
      </w:r>
      <w:r w:rsidRPr="00F976B4">
        <w:rPr>
          <w:rFonts w:ascii="Arial" w:hAnsi="Arial" w:cs="Arial"/>
        </w:rPr>
        <w:t>desire</w:t>
      </w:r>
      <w:r w:rsidR="00D7666A" w:rsidRPr="00F976B4">
        <w:rPr>
          <w:rFonts w:ascii="Arial" w:hAnsi="Arial" w:cs="Arial"/>
        </w:rPr>
        <w:t xml:space="preserve"> for human sacrifice.</w:t>
      </w:r>
      <w:r w:rsidR="00D7666A" w:rsidRPr="006477C9">
        <w:rPr>
          <w:rStyle w:val="FootnoteCharacters"/>
          <w:rFonts w:ascii="Arial" w:hAnsi="Arial" w:cs="Arial"/>
          <w:sz w:val="24"/>
          <w:szCs w:val="24"/>
          <w:vertAlign w:val="superscript"/>
        </w:rPr>
        <w:footnoteReference w:id="9"/>
      </w:r>
      <w:r w:rsidR="00D7666A" w:rsidRPr="00F976B4">
        <w:rPr>
          <w:rFonts w:ascii="Arial" w:hAnsi="Arial" w:cs="Arial"/>
        </w:rPr>
        <w:t xml:space="preserve"> </w:t>
      </w:r>
    </w:p>
    <w:p w:rsidR="004C2C25" w:rsidRDefault="004C2C25" w:rsidP="004C2C25">
      <w:pPr>
        <w:pStyle w:val="standardtop"/>
        <w:spacing w:before="0" w:beforeAutospacing="0" w:after="0" w:afterAutospacing="0"/>
        <w:ind w:firstLine="720"/>
        <w:jc w:val="both"/>
        <w:rPr>
          <w:rFonts w:ascii="Arial" w:hAnsi="Arial" w:cs="Arial"/>
        </w:rPr>
      </w:pPr>
    </w:p>
    <w:p w:rsidR="00447378" w:rsidRPr="00F976B4" w:rsidRDefault="006346F0" w:rsidP="004C2C25">
      <w:pPr>
        <w:pStyle w:val="standardtop"/>
        <w:spacing w:before="0" w:beforeAutospacing="0" w:after="0" w:afterAutospacing="0"/>
        <w:ind w:firstLine="720"/>
        <w:jc w:val="both"/>
        <w:rPr>
          <w:rFonts w:ascii="Arial" w:hAnsi="Arial" w:cs="Arial"/>
        </w:rPr>
      </w:pPr>
      <w:r w:rsidRPr="00F976B4">
        <w:rPr>
          <w:rFonts w:ascii="Arial" w:hAnsi="Arial" w:cs="Arial"/>
        </w:rPr>
        <w:t>An even better example may be found in the e</w:t>
      </w:r>
      <w:r w:rsidR="00441DA9" w:rsidRPr="00F976B4">
        <w:rPr>
          <w:rFonts w:ascii="Arial" w:hAnsi="Arial" w:cs="Arial"/>
        </w:rPr>
        <w:t>ncounter of Rut and Boaz in the field (</w:t>
      </w:r>
      <w:r w:rsidR="00441DA9" w:rsidRPr="006477C9">
        <w:rPr>
          <w:rFonts w:ascii="Arial" w:hAnsi="Arial" w:cs="Arial"/>
          <w:i/>
          <w:iCs/>
        </w:rPr>
        <w:t>Ruth</w:t>
      </w:r>
      <w:r w:rsidR="00441DA9" w:rsidRPr="00F976B4">
        <w:rPr>
          <w:rFonts w:ascii="Arial" w:hAnsi="Arial" w:cs="Arial"/>
        </w:rPr>
        <w:t xml:space="preserve"> 2)</w:t>
      </w:r>
      <w:r w:rsidRPr="00F976B4">
        <w:rPr>
          <w:rFonts w:ascii="Arial" w:hAnsi="Arial" w:cs="Arial"/>
        </w:rPr>
        <w:t>.</w:t>
      </w:r>
      <w:r w:rsidR="00441DA9" w:rsidRPr="00F976B4">
        <w:rPr>
          <w:rFonts w:ascii="Arial" w:hAnsi="Arial" w:cs="Arial"/>
        </w:rPr>
        <w:t xml:space="preserve"> </w:t>
      </w:r>
      <w:r w:rsidRPr="00F976B4">
        <w:rPr>
          <w:rFonts w:ascii="Arial" w:hAnsi="Arial" w:cs="Arial"/>
        </w:rPr>
        <w:t>The narrator informs</w:t>
      </w:r>
      <w:r w:rsidR="00441DA9" w:rsidRPr="00F976B4">
        <w:rPr>
          <w:rFonts w:ascii="Arial" w:hAnsi="Arial" w:cs="Arial"/>
        </w:rPr>
        <w:t xml:space="preserve"> the reader</w:t>
      </w:r>
      <w:r w:rsidRPr="00F976B4">
        <w:rPr>
          <w:rFonts w:ascii="Arial" w:hAnsi="Arial" w:cs="Arial"/>
        </w:rPr>
        <w:t xml:space="preserve"> of </w:t>
      </w:r>
      <w:r w:rsidR="00441DA9" w:rsidRPr="00F976B4">
        <w:rPr>
          <w:rFonts w:ascii="Arial" w:hAnsi="Arial" w:cs="Arial"/>
        </w:rPr>
        <w:t xml:space="preserve">the </w:t>
      </w:r>
      <w:r w:rsidR="006477C9">
        <w:rPr>
          <w:rFonts w:ascii="Arial" w:hAnsi="Arial" w:cs="Arial"/>
        </w:rPr>
        <w:t>family connection of Boaz to Nao</w:t>
      </w:r>
      <w:r w:rsidR="00441DA9" w:rsidRPr="00F976B4">
        <w:rPr>
          <w:rFonts w:ascii="Arial" w:hAnsi="Arial" w:cs="Arial"/>
        </w:rPr>
        <w:t>mi’s family: “Now Naomi had a relative on her husband’s side, from the family of Elimelekh, a mighty man of valor, whose name was Boaz” (2:1)</w:t>
      </w:r>
      <w:r w:rsidR="004168D9" w:rsidRPr="00F976B4">
        <w:rPr>
          <w:rFonts w:ascii="Arial" w:hAnsi="Arial" w:cs="Arial"/>
        </w:rPr>
        <w:t xml:space="preserve">.  </w:t>
      </w:r>
      <w:r w:rsidRPr="00F976B4">
        <w:rPr>
          <w:rFonts w:ascii="Arial" w:hAnsi="Arial" w:cs="Arial"/>
        </w:rPr>
        <w:t xml:space="preserve">At this stage </w:t>
      </w:r>
      <w:r w:rsidR="00441DA9" w:rsidRPr="00F976B4">
        <w:rPr>
          <w:rFonts w:ascii="Arial" w:hAnsi="Arial" w:cs="Arial"/>
        </w:rPr>
        <w:t>of reading, the</w:t>
      </w:r>
      <w:r w:rsidRPr="00F976B4">
        <w:rPr>
          <w:rFonts w:ascii="Arial" w:hAnsi="Arial" w:cs="Arial"/>
        </w:rPr>
        <w:t xml:space="preserve"> reader knows what Rut does not:</w:t>
      </w:r>
      <w:r w:rsidR="00441DA9" w:rsidRPr="00F976B4">
        <w:rPr>
          <w:rFonts w:ascii="Arial" w:hAnsi="Arial" w:cs="Arial"/>
        </w:rPr>
        <w:t xml:space="preserve"> the </w:t>
      </w:r>
      <w:r w:rsidR="006477C9">
        <w:rPr>
          <w:rFonts w:ascii="Arial" w:hAnsi="Arial" w:cs="Arial"/>
        </w:rPr>
        <w:t>field which Rut has arrived at “coincidentally”</w:t>
      </w:r>
      <w:r w:rsidR="00441DA9" w:rsidRPr="00F976B4">
        <w:rPr>
          <w:rFonts w:ascii="Arial" w:hAnsi="Arial" w:cs="Arial"/>
        </w:rPr>
        <w:t xml:space="preserve"> is </w:t>
      </w:r>
      <w:r w:rsidRPr="00F976B4">
        <w:rPr>
          <w:rFonts w:ascii="Arial" w:hAnsi="Arial" w:cs="Arial"/>
        </w:rPr>
        <w:t xml:space="preserve">that of </w:t>
      </w:r>
      <w:r w:rsidR="00441DA9" w:rsidRPr="00F976B4">
        <w:rPr>
          <w:rFonts w:ascii="Arial" w:hAnsi="Arial" w:cs="Arial"/>
        </w:rPr>
        <w:t>a kinsman</w:t>
      </w:r>
      <w:r w:rsidR="004168D9" w:rsidRPr="00F976B4">
        <w:rPr>
          <w:rFonts w:ascii="Arial" w:hAnsi="Arial" w:cs="Arial"/>
        </w:rPr>
        <w:t xml:space="preserve">.  </w:t>
      </w:r>
      <w:r w:rsidRPr="00F976B4">
        <w:rPr>
          <w:rFonts w:ascii="Arial" w:hAnsi="Arial" w:cs="Arial"/>
        </w:rPr>
        <w:t>Ostensib</w:t>
      </w:r>
      <w:r w:rsidR="00441DA9" w:rsidRPr="00F976B4">
        <w:rPr>
          <w:rFonts w:ascii="Arial" w:hAnsi="Arial" w:cs="Arial"/>
        </w:rPr>
        <w:t xml:space="preserve">ly, the narrative </w:t>
      </w:r>
      <w:r w:rsidR="006477C9">
        <w:rPr>
          <w:rFonts w:ascii="Arial" w:hAnsi="Arial" w:cs="Arial"/>
        </w:rPr>
        <w:t xml:space="preserve">thus </w:t>
      </w:r>
      <w:r w:rsidR="00441DA9" w:rsidRPr="00F976B4">
        <w:rPr>
          <w:rFonts w:ascii="Arial" w:hAnsi="Arial" w:cs="Arial"/>
        </w:rPr>
        <w:t>loses part of the element of surprise which could have been realized in it</w:t>
      </w:r>
      <w:r w:rsidR="006477C9">
        <w:rPr>
          <w:rFonts w:ascii="Arial" w:hAnsi="Arial" w:cs="Arial"/>
        </w:rPr>
        <w:t>;</w:t>
      </w:r>
      <w:r w:rsidR="00441DA9" w:rsidRPr="00F976B4">
        <w:rPr>
          <w:rFonts w:ascii="Arial" w:hAnsi="Arial" w:cs="Arial"/>
        </w:rPr>
        <w:t xml:space="preserve"> were the reader</w:t>
      </w:r>
      <w:r w:rsidR="0089471B" w:rsidRPr="00F976B4">
        <w:rPr>
          <w:rFonts w:ascii="Arial" w:hAnsi="Arial" w:cs="Arial"/>
        </w:rPr>
        <w:t xml:space="preserve"> to hear that Boaz is a relative only at the stage at which the character in the story (Rut) hears about this (when she returns from the field to Naomi’s house)</w:t>
      </w:r>
      <w:r w:rsidRPr="00F976B4">
        <w:rPr>
          <w:rFonts w:ascii="Arial" w:hAnsi="Arial" w:cs="Arial"/>
        </w:rPr>
        <w:t xml:space="preserve">, </w:t>
      </w:r>
      <w:r w:rsidR="0089471B" w:rsidRPr="00F976B4">
        <w:rPr>
          <w:rFonts w:ascii="Arial" w:hAnsi="Arial" w:cs="Arial"/>
        </w:rPr>
        <w:t>the identification with Rut would grow and the revelation of the family link would receive its proper place</w:t>
      </w:r>
      <w:r w:rsidR="004168D9" w:rsidRPr="00F976B4">
        <w:rPr>
          <w:rFonts w:ascii="Arial" w:hAnsi="Arial" w:cs="Arial"/>
        </w:rPr>
        <w:t xml:space="preserve">.  </w:t>
      </w:r>
      <w:r w:rsidR="0089471B" w:rsidRPr="00F976B4">
        <w:rPr>
          <w:rFonts w:ascii="Arial" w:hAnsi="Arial" w:cs="Arial"/>
        </w:rPr>
        <w:t xml:space="preserve">Why does the narrator </w:t>
      </w:r>
      <w:r w:rsidRPr="00F976B4">
        <w:rPr>
          <w:rFonts w:ascii="Arial" w:hAnsi="Arial" w:cs="Arial"/>
        </w:rPr>
        <w:t>reveal this datum</w:t>
      </w:r>
      <w:r w:rsidR="0089471B" w:rsidRPr="00F976B4">
        <w:rPr>
          <w:rFonts w:ascii="Arial" w:hAnsi="Arial" w:cs="Arial"/>
        </w:rPr>
        <w:t xml:space="preserve"> before Rut learns of it? </w:t>
      </w:r>
      <w:r w:rsidRPr="00F976B4">
        <w:rPr>
          <w:rFonts w:ascii="Arial" w:hAnsi="Arial" w:cs="Arial"/>
        </w:rPr>
        <w:t xml:space="preserve"> </w:t>
      </w:r>
      <w:r w:rsidR="0089471B" w:rsidRPr="00F976B4">
        <w:rPr>
          <w:rFonts w:ascii="Arial" w:hAnsi="Arial" w:cs="Arial"/>
        </w:rPr>
        <w:t>It ap</w:t>
      </w:r>
      <w:r w:rsidR="00741978" w:rsidRPr="00F976B4">
        <w:rPr>
          <w:rFonts w:ascii="Arial" w:hAnsi="Arial" w:cs="Arial"/>
        </w:rPr>
        <w:t>pears that my friend Yoshi Farju</w:t>
      </w:r>
      <w:r w:rsidR="0089471B" w:rsidRPr="00F976B4">
        <w:rPr>
          <w:rFonts w:ascii="Arial" w:hAnsi="Arial" w:cs="Arial"/>
        </w:rPr>
        <w:t xml:space="preserve">n </w:t>
      </w:r>
      <w:r w:rsidRPr="00F976B4">
        <w:rPr>
          <w:rFonts w:ascii="Arial" w:hAnsi="Arial" w:cs="Arial"/>
        </w:rPr>
        <w:t xml:space="preserve">is </w:t>
      </w:r>
      <w:r w:rsidR="006477C9">
        <w:rPr>
          <w:rFonts w:ascii="Arial" w:hAnsi="Arial" w:cs="Arial"/>
        </w:rPr>
        <w:t>right.</w:t>
      </w:r>
      <w:r w:rsidRPr="00F976B4">
        <w:rPr>
          <w:rFonts w:ascii="Arial" w:hAnsi="Arial" w:cs="Arial"/>
        </w:rPr>
        <w:t xml:space="preserve"> </w:t>
      </w:r>
      <w:r w:rsidR="006477C9">
        <w:rPr>
          <w:rFonts w:ascii="Arial" w:hAnsi="Arial" w:cs="Arial"/>
        </w:rPr>
        <w:t>H</w:t>
      </w:r>
      <w:r w:rsidRPr="00F976B4">
        <w:rPr>
          <w:rFonts w:ascii="Arial" w:hAnsi="Arial" w:cs="Arial"/>
        </w:rPr>
        <w:t>e</w:t>
      </w:r>
      <w:r w:rsidR="0089471B" w:rsidRPr="00F976B4">
        <w:rPr>
          <w:rFonts w:ascii="Arial" w:hAnsi="Arial" w:cs="Arial"/>
        </w:rPr>
        <w:t xml:space="preserve"> claims that the fact that the family </w:t>
      </w:r>
      <w:r w:rsidRPr="00F976B4">
        <w:rPr>
          <w:rFonts w:ascii="Arial" w:hAnsi="Arial" w:cs="Arial"/>
        </w:rPr>
        <w:t>connection</w:t>
      </w:r>
      <w:r w:rsidR="0089471B" w:rsidRPr="00F976B4">
        <w:rPr>
          <w:rFonts w:ascii="Arial" w:hAnsi="Arial" w:cs="Arial"/>
        </w:rPr>
        <w:t xml:space="preserve"> already arises at the beginning of the narrative causes the reader to anticipate hearing about it </w:t>
      </w:r>
      <w:r w:rsidRPr="00F976B4">
        <w:rPr>
          <w:rFonts w:ascii="Arial" w:hAnsi="Arial" w:cs="Arial"/>
        </w:rPr>
        <w:t>throughout</w:t>
      </w:r>
      <w:r w:rsidR="0089471B" w:rsidRPr="00F976B4">
        <w:rPr>
          <w:rFonts w:ascii="Arial" w:hAnsi="Arial" w:cs="Arial"/>
        </w:rPr>
        <w:t xml:space="preserve"> the encounter in the f</w:t>
      </w:r>
      <w:r w:rsidRPr="00F976B4">
        <w:rPr>
          <w:rFonts w:ascii="Arial" w:hAnsi="Arial" w:cs="Arial"/>
        </w:rPr>
        <w:t>ield, and naturally</w:t>
      </w:r>
      <w:r w:rsidR="006477C9">
        <w:rPr>
          <w:rFonts w:ascii="Arial" w:hAnsi="Arial" w:cs="Arial"/>
        </w:rPr>
        <w:t>,</w:t>
      </w:r>
      <w:r w:rsidRPr="00F976B4">
        <w:rPr>
          <w:rFonts w:ascii="Arial" w:hAnsi="Arial" w:cs="Arial"/>
        </w:rPr>
        <w:t xml:space="preserve"> the fact </w:t>
      </w:r>
      <w:r w:rsidR="0089471B" w:rsidRPr="00F976B4">
        <w:rPr>
          <w:rFonts w:ascii="Arial" w:hAnsi="Arial" w:cs="Arial"/>
        </w:rPr>
        <w:t xml:space="preserve">that this </w:t>
      </w:r>
      <w:r w:rsidRPr="00F976B4">
        <w:rPr>
          <w:rFonts w:ascii="Arial" w:hAnsi="Arial" w:cs="Arial"/>
        </w:rPr>
        <w:t>relationship</w:t>
      </w:r>
      <w:r w:rsidR="0089471B" w:rsidRPr="00F976B4">
        <w:rPr>
          <w:rFonts w:ascii="Arial" w:hAnsi="Arial" w:cs="Arial"/>
        </w:rPr>
        <w:t xml:space="preserve"> is kept secret until Rut returns to the house of Naomi is very </w:t>
      </w:r>
      <w:r w:rsidR="00741978" w:rsidRPr="00F976B4">
        <w:rPr>
          <w:rFonts w:ascii="Arial" w:hAnsi="Arial" w:cs="Arial"/>
        </w:rPr>
        <w:t>surprising</w:t>
      </w:r>
      <w:r w:rsidR="0089471B" w:rsidRPr="00F976B4">
        <w:rPr>
          <w:rFonts w:ascii="Arial" w:hAnsi="Arial" w:cs="Arial"/>
        </w:rPr>
        <w:t xml:space="preserve"> and demands an </w:t>
      </w:r>
      <w:r w:rsidR="00741978" w:rsidRPr="00F976B4">
        <w:rPr>
          <w:rFonts w:ascii="Arial" w:hAnsi="Arial" w:cs="Arial"/>
        </w:rPr>
        <w:t>explanation</w:t>
      </w:r>
      <w:r w:rsidR="004168D9" w:rsidRPr="00F976B4">
        <w:rPr>
          <w:rFonts w:ascii="Arial" w:hAnsi="Arial" w:cs="Arial"/>
        </w:rPr>
        <w:t xml:space="preserve">.  </w:t>
      </w:r>
    </w:p>
    <w:p w:rsidR="004C2C25" w:rsidRDefault="004C2C25" w:rsidP="004C2C25">
      <w:pPr>
        <w:pStyle w:val="npst"/>
        <w:spacing w:before="0" w:beforeAutospacing="0" w:after="0" w:afterAutospacing="0"/>
        <w:ind w:firstLine="720"/>
        <w:jc w:val="both"/>
        <w:rPr>
          <w:rFonts w:ascii="Arial" w:hAnsi="Arial" w:cs="Arial"/>
        </w:rPr>
      </w:pPr>
    </w:p>
    <w:p w:rsidR="00743685" w:rsidRPr="00F976B4" w:rsidRDefault="00447378" w:rsidP="004C2C25">
      <w:pPr>
        <w:pStyle w:val="npst"/>
        <w:spacing w:before="0" w:beforeAutospacing="0" w:after="0" w:afterAutospacing="0"/>
        <w:ind w:firstLine="720"/>
        <w:jc w:val="both"/>
        <w:rPr>
          <w:rFonts w:ascii="Arial" w:hAnsi="Arial" w:cs="Arial"/>
        </w:rPr>
      </w:pPr>
      <w:r w:rsidRPr="00F976B4">
        <w:rPr>
          <w:rFonts w:ascii="Arial" w:hAnsi="Arial" w:cs="Arial"/>
        </w:rPr>
        <w:t>In order to clarify this point, let us turn to the brief dialogue between Rut and Boaz at the time of their encounter in the field</w:t>
      </w:r>
      <w:r w:rsidR="004168D9" w:rsidRPr="00F976B4">
        <w:rPr>
          <w:rFonts w:ascii="Arial" w:hAnsi="Arial" w:cs="Arial"/>
        </w:rPr>
        <w:t xml:space="preserve">.  </w:t>
      </w:r>
      <w:r w:rsidRPr="00F976B4">
        <w:rPr>
          <w:rFonts w:ascii="Arial" w:hAnsi="Arial" w:cs="Arial"/>
        </w:rPr>
        <w:t>After Boaz learns the identity of the girl in his field from the foreman, he approaches her and says (</w:t>
      </w:r>
      <w:r w:rsidR="004168D9" w:rsidRPr="00F976B4">
        <w:rPr>
          <w:rFonts w:ascii="Arial" w:hAnsi="Arial" w:cs="Arial"/>
        </w:rPr>
        <w:t xml:space="preserve">v. </w:t>
      </w:r>
      <w:r w:rsidR="006477C9">
        <w:rPr>
          <w:rFonts w:ascii="Arial" w:hAnsi="Arial" w:cs="Arial"/>
        </w:rPr>
        <w:t>8): “</w:t>
      </w:r>
      <w:r w:rsidRPr="00F976B4">
        <w:rPr>
          <w:rFonts w:ascii="Arial" w:hAnsi="Arial" w:cs="Arial"/>
        </w:rPr>
        <w:t xml:space="preserve">My daughter, will you not listen to me? </w:t>
      </w:r>
      <w:r w:rsidR="006346F0" w:rsidRPr="00F976B4">
        <w:rPr>
          <w:rFonts w:ascii="Arial" w:hAnsi="Arial" w:cs="Arial"/>
        </w:rPr>
        <w:t xml:space="preserve"> </w:t>
      </w:r>
      <w:r w:rsidRPr="00F976B4">
        <w:rPr>
          <w:rFonts w:ascii="Arial" w:hAnsi="Arial" w:cs="Arial"/>
        </w:rPr>
        <w:t>Do not go and glean in another field, and do not pass away from here</w:t>
      </w:r>
      <w:r w:rsidR="004168D9" w:rsidRPr="00F976B4">
        <w:rPr>
          <w:rFonts w:ascii="Arial" w:hAnsi="Arial" w:cs="Arial"/>
        </w:rPr>
        <w:t xml:space="preserve">.  </w:t>
      </w:r>
      <w:r w:rsidR="006477C9">
        <w:rPr>
          <w:rFonts w:ascii="Arial" w:hAnsi="Arial" w:cs="Arial"/>
        </w:rPr>
        <w:t>Stay close to my maidservants…</w:t>
      </w:r>
      <w:r w:rsidRPr="00F976B4">
        <w:rPr>
          <w:rFonts w:ascii="Arial" w:hAnsi="Arial" w:cs="Arial"/>
        </w:rPr>
        <w:t>”</w:t>
      </w:r>
      <w:r w:rsidR="006346F0" w:rsidRPr="00F976B4">
        <w:rPr>
          <w:rFonts w:ascii="Arial" w:hAnsi="Arial" w:cs="Arial"/>
        </w:rPr>
        <w:t xml:space="preserve"> </w:t>
      </w:r>
      <w:r w:rsidRPr="00F976B4">
        <w:rPr>
          <w:rFonts w:ascii="Arial" w:hAnsi="Arial" w:cs="Arial"/>
        </w:rPr>
        <w:t xml:space="preserve"> Rut is very surprised </w:t>
      </w:r>
      <w:r w:rsidR="006346F0" w:rsidRPr="00F976B4">
        <w:rPr>
          <w:rFonts w:ascii="Arial" w:hAnsi="Arial" w:cs="Arial"/>
        </w:rPr>
        <w:t>by</w:t>
      </w:r>
      <w:r w:rsidRPr="00F976B4">
        <w:rPr>
          <w:rFonts w:ascii="Arial" w:hAnsi="Arial" w:cs="Arial"/>
        </w:rPr>
        <w:t xml:space="preserve"> this great act of kindness </w:t>
      </w:r>
      <w:r w:rsidR="006346F0" w:rsidRPr="00F976B4">
        <w:rPr>
          <w:rFonts w:ascii="Arial" w:hAnsi="Arial" w:cs="Arial"/>
        </w:rPr>
        <w:t>bestowed</w:t>
      </w:r>
      <w:r w:rsidRPr="00F976B4">
        <w:rPr>
          <w:rFonts w:ascii="Arial" w:hAnsi="Arial" w:cs="Arial"/>
        </w:rPr>
        <w:t xml:space="preserve"> upon her, and she expresses her surprise with a reveal</w:t>
      </w:r>
      <w:r w:rsidR="006346F0" w:rsidRPr="00F976B4">
        <w:rPr>
          <w:rFonts w:ascii="Arial" w:hAnsi="Arial" w:cs="Arial"/>
        </w:rPr>
        <w:t>ing</w:t>
      </w:r>
      <w:r w:rsidRPr="00F976B4">
        <w:rPr>
          <w:rFonts w:ascii="Arial" w:hAnsi="Arial" w:cs="Arial"/>
        </w:rPr>
        <w:t xml:space="preserve"> question (</w:t>
      </w:r>
      <w:r w:rsidR="004168D9" w:rsidRPr="00F976B4">
        <w:rPr>
          <w:rFonts w:ascii="Arial" w:hAnsi="Arial" w:cs="Arial"/>
        </w:rPr>
        <w:t xml:space="preserve">v. </w:t>
      </w:r>
      <w:r w:rsidRPr="00F976B4">
        <w:rPr>
          <w:rFonts w:ascii="Arial" w:hAnsi="Arial" w:cs="Arial"/>
        </w:rPr>
        <w:t>10): “</w:t>
      </w:r>
      <w:r w:rsidR="00743685" w:rsidRPr="00F976B4">
        <w:rPr>
          <w:rFonts w:ascii="Arial" w:hAnsi="Arial" w:cs="Arial"/>
        </w:rPr>
        <w:t xml:space="preserve">She fell on her face and bowed to the ground, and she said to him, ‘Why have I found such favor in your eyes that you notice me, </w:t>
      </w:r>
      <w:r w:rsidR="006346F0" w:rsidRPr="00F976B4">
        <w:rPr>
          <w:rFonts w:ascii="Arial" w:hAnsi="Arial" w:cs="Arial"/>
        </w:rPr>
        <w:t>when</w:t>
      </w:r>
      <w:r w:rsidR="00743685" w:rsidRPr="00F976B4">
        <w:rPr>
          <w:rFonts w:ascii="Arial" w:hAnsi="Arial" w:cs="Arial"/>
        </w:rPr>
        <w:t xml:space="preserve"> I am a foreigner?’”  </w:t>
      </w:r>
    </w:p>
    <w:p w:rsidR="004C2C25" w:rsidRDefault="004C2C25" w:rsidP="004C2C25">
      <w:pPr>
        <w:pStyle w:val="npst"/>
        <w:spacing w:before="0" w:beforeAutospacing="0" w:after="0" w:afterAutospacing="0"/>
        <w:ind w:firstLine="360"/>
        <w:jc w:val="both"/>
        <w:rPr>
          <w:rFonts w:ascii="Arial" w:hAnsi="Arial" w:cs="Arial"/>
        </w:rPr>
      </w:pPr>
    </w:p>
    <w:p w:rsidR="00743685" w:rsidRPr="00F976B4" w:rsidRDefault="00743685" w:rsidP="004C2C25">
      <w:pPr>
        <w:pStyle w:val="npst"/>
        <w:spacing w:before="0" w:beforeAutospacing="0" w:after="0" w:afterAutospacing="0"/>
        <w:ind w:firstLine="720"/>
        <w:jc w:val="both"/>
        <w:rPr>
          <w:rFonts w:ascii="Arial" w:hAnsi="Arial" w:cs="Arial"/>
        </w:rPr>
      </w:pPr>
      <w:r w:rsidRPr="00F976B4">
        <w:rPr>
          <w:rFonts w:ascii="Arial" w:hAnsi="Arial" w:cs="Arial"/>
        </w:rPr>
        <w:t xml:space="preserve">At this stage, the reader is certain that the secret is about to revealed, and after Rut </w:t>
      </w:r>
      <w:r w:rsidR="006346F0" w:rsidRPr="00F976B4">
        <w:rPr>
          <w:rFonts w:ascii="Arial" w:hAnsi="Arial" w:cs="Arial"/>
        </w:rPr>
        <w:t>asks her poignant question</w:t>
      </w:r>
      <w:r w:rsidRPr="00F976B4">
        <w:rPr>
          <w:rFonts w:ascii="Arial" w:hAnsi="Arial" w:cs="Arial"/>
        </w:rPr>
        <w:t>, “</w:t>
      </w:r>
      <w:proofErr w:type="gramStart"/>
      <w:r w:rsidRPr="00F976B4">
        <w:rPr>
          <w:rFonts w:ascii="Arial" w:hAnsi="Arial" w:cs="Arial"/>
        </w:rPr>
        <w:t>‘Why</w:t>
      </w:r>
      <w:proofErr w:type="gramEnd"/>
      <w:r w:rsidR="006346F0" w:rsidRPr="00F976B4">
        <w:rPr>
          <w:rFonts w:ascii="Arial" w:hAnsi="Arial" w:cs="Arial"/>
        </w:rPr>
        <w:t>…</w:t>
      </w:r>
      <w:r w:rsidRPr="00F976B4">
        <w:rPr>
          <w:rFonts w:ascii="Arial" w:hAnsi="Arial" w:cs="Arial"/>
        </w:rPr>
        <w:t xml:space="preserve"> </w:t>
      </w:r>
      <w:r w:rsidR="006346F0" w:rsidRPr="00F976B4">
        <w:rPr>
          <w:rFonts w:ascii="Arial" w:hAnsi="Arial" w:cs="Arial"/>
        </w:rPr>
        <w:t>when</w:t>
      </w:r>
      <w:r w:rsidRPr="00F976B4">
        <w:rPr>
          <w:rFonts w:ascii="Arial" w:hAnsi="Arial" w:cs="Arial"/>
        </w:rPr>
        <w:t xml:space="preserve"> I am a foreigner?’”, we expect Boaz to respond: You are no foreigner at all; we are related, and of course I am concerned about the misfortune of my kin</w:t>
      </w:r>
      <w:r w:rsidR="004168D9" w:rsidRPr="00F976B4">
        <w:rPr>
          <w:rFonts w:ascii="Arial" w:hAnsi="Arial" w:cs="Arial"/>
        </w:rPr>
        <w:t xml:space="preserve">.  </w:t>
      </w:r>
      <w:r w:rsidRPr="00F976B4">
        <w:rPr>
          <w:rFonts w:ascii="Arial" w:hAnsi="Arial" w:cs="Arial"/>
        </w:rPr>
        <w:t>We should remember that the meaning of the phrase “foreign” in Tanakh is “outside the family</w:t>
      </w:r>
      <w:r w:rsidR="006477C9">
        <w:rPr>
          <w:rFonts w:ascii="Arial" w:hAnsi="Arial" w:cs="Arial"/>
        </w:rPr>
        <w:t>.</w:t>
      </w:r>
      <w:r w:rsidRPr="00F976B4">
        <w:rPr>
          <w:rFonts w:ascii="Arial" w:hAnsi="Arial" w:cs="Arial"/>
        </w:rPr>
        <w:t xml:space="preserve">” </w:t>
      </w:r>
      <w:r w:rsidR="006346F0" w:rsidRPr="00F976B4">
        <w:rPr>
          <w:rFonts w:ascii="Arial" w:hAnsi="Arial" w:cs="Arial"/>
        </w:rPr>
        <w:t xml:space="preserve"> This,</w:t>
      </w:r>
      <w:r w:rsidRPr="00F976B4">
        <w:rPr>
          <w:rFonts w:ascii="Arial" w:hAnsi="Arial" w:cs="Arial"/>
        </w:rPr>
        <w:t xml:space="preserve"> according to the Sages, </w:t>
      </w:r>
      <w:r w:rsidR="006346F0" w:rsidRPr="00F976B4">
        <w:rPr>
          <w:rFonts w:ascii="Arial" w:hAnsi="Arial" w:cs="Arial"/>
        </w:rPr>
        <w:t xml:space="preserve">is </w:t>
      </w:r>
      <w:r w:rsidRPr="00F976B4">
        <w:rPr>
          <w:rFonts w:ascii="Arial" w:hAnsi="Arial" w:cs="Arial"/>
        </w:rPr>
        <w:t>the intent of the verse</w:t>
      </w:r>
      <w:r w:rsidR="006477C9">
        <w:rPr>
          <w:rFonts w:ascii="Arial" w:hAnsi="Arial" w:cs="Arial"/>
        </w:rPr>
        <w:t>,</w:t>
      </w:r>
      <w:r w:rsidRPr="00F976B4">
        <w:rPr>
          <w:rFonts w:ascii="Arial" w:hAnsi="Arial" w:cs="Arial"/>
        </w:rPr>
        <w:t xml:space="preserve"> “To a foreign people he has no authority to sell her, as he has betrayed her” (</w:t>
      </w:r>
      <w:r w:rsidRPr="006477C9">
        <w:rPr>
          <w:rFonts w:ascii="Arial" w:hAnsi="Arial" w:cs="Arial"/>
          <w:i/>
          <w:iCs/>
        </w:rPr>
        <w:t>Shemot</w:t>
      </w:r>
      <w:r w:rsidRPr="00F976B4">
        <w:rPr>
          <w:rFonts w:ascii="Arial" w:hAnsi="Arial" w:cs="Arial"/>
        </w:rPr>
        <w:t xml:space="preserve"> 21:8), as Onkelos renders: “To a</w:t>
      </w:r>
      <w:r w:rsidR="006346F0" w:rsidRPr="00F976B4">
        <w:rPr>
          <w:rFonts w:ascii="Arial" w:hAnsi="Arial" w:cs="Arial"/>
        </w:rPr>
        <w:t>nother man</w:t>
      </w:r>
      <w:r w:rsidR="006477C9">
        <w:rPr>
          <w:rFonts w:ascii="Arial" w:hAnsi="Arial" w:cs="Arial"/>
        </w:rPr>
        <w:t>.</w:t>
      </w:r>
      <w:r w:rsidR="006346F0" w:rsidRPr="00F976B4">
        <w:rPr>
          <w:rFonts w:ascii="Arial" w:hAnsi="Arial" w:cs="Arial"/>
        </w:rPr>
        <w:t>”</w:t>
      </w:r>
      <w:r w:rsidRPr="006477C9">
        <w:rPr>
          <w:rStyle w:val="FootnoteCharacters"/>
          <w:rFonts w:ascii="Arial" w:hAnsi="Arial" w:cs="Arial"/>
          <w:sz w:val="24"/>
          <w:szCs w:val="24"/>
          <w:vertAlign w:val="superscript"/>
        </w:rPr>
        <w:footnoteReference w:id="10"/>
      </w:r>
      <w:r w:rsidR="006346F0" w:rsidRPr="00F976B4">
        <w:rPr>
          <w:rFonts w:ascii="Arial" w:hAnsi="Arial" w:cs="Arial"/>
        </w:rPr>
        <w:t xml:space="preserve">  </w:t>
      </w:r>
      <w:r w:rsidRPr="00F976B4">
        <w:rPr>
          <w:rFonts w:ascii="Arial" w:hAnsi="Arial" w:cs="Arial"/>
        </w:rPr>
        <w:t>Natural</w:t>
      </w:r>
      <w:r w:rsidR="006477C9">
        <w:rPr>
          <w:rFonts w:ascii="Arial" w:hAnsi="Arial" w:cs="Arial"/>
        </w:rPr>
        <w:t xml:space="preserve">ly, after Rut uses this </w:t>
      </w:r>
      <w:proofErr w:type="gramStart"/>
      <w:r w:rsidR="006477C9">
        <w:rPr>
          <w:rFonts w:ascii="Arial" w:hAnsi="Arial" w:cs="Arial"/>
        </w:rPr>
        <w:t xml:space="preserve">phrase </w:t>
      </w:r>
      <w:r w:rsidRPr="00F976B4">
        <w:rPr>
          <w:rFonts w:ascii="Arial" w:hAnsi="Arial" w:cs="Arial"/>
        </w:rPr>
        <w:t xml:space="preserve"> “</w:t>
      </w:r>
      <w:proofErr w:type="gramEnd"/>
      <w:r w:rsidRPr="00F976B4">
        <w:rPr>
          <w:rFonts w:ascii="Arial" w:hAnsi="Arial" w:cs="Arial"/>
        </w:rPr>
        <w:t>I am a foreigner</w:t>
      </w:r>
      <w:r w:rsidR="006477C9">
        <w:rPr>
          <w:rFonts w:ascii="Arial" w:hAnsi="Arial" w:cs="Arial"/>
        </w:rPr>
        <w:t>,</w:t>
      </w:r>
      <w:r w:rsidRPr="00F976B4">
        <w:rPr>
          <w:rFonts w:ascii="Arial" w:hAnsi="Arial" w:cs="Arial"/>
        </w:rPr>
        <w:t xml:space="preserve">” it is expected that </w:t>
      </w:r>
      <w:r w:rsidR="00741978" w:rsidRPr="00F976B4">
        <w:rPr>
          <w:rFonts w:ascii="Arial" w:hAnsi="Arial" w:cs="Arial"/>
        </w:rPr>
        <w:t>Boaz</w:t>
      </w:r>
      <w:r w:rsidRPr="00F976B4">
        <w:rPr>
          <w:rFonts w:ascii="Arial" w:hAnsi="Arial" w:cs="Arial"/>
        </w:rPr>
        <w:t xml:space="preserve"> will correct her and explain to her that he is showing her kindness because of the familial obligation </w:t>
      </w:r>
      <w:r w:rsidR="006346F0" w:rsidRPr="00F976B4">
        <w:rPr>
          <w:rFonts w:ascii="Arial" w:hAnsi="Arial" w:cs="Arial"/>
        </w:rPr>
        <w:t xml:space="preserve">incumbent </w:t>
      </w:r>
      <w:r w:rsidRPr="00F976B4">
        <w:rPr>
          <w:rFonts w:ascii="Arial" w:hAnsi="Arial" w:cs="Arial"/>
        </w:rPr>
        <w:t>upon him.</w:t>
      </w:r>
    </w:p>
    <w:p w:rsidR="004C2C25" w:rsidRDefault="004C2C25" w:rsidP="004C2C25">
      <w:pPr>
        <w:pStyle w:val="subatop"/>
        <w:spacing w:before="0" w:beforeAutospacing="0" w:after="0" w:afterAutospacing="0"/>
        <w:ind w:firstLine="720"/>
        <w:jc w:val="both"/>
        <w:rPr>
          <w:rFonts w:ascii="Arial" w:hAnsi="Arial" w:cs="Arial"/>
        </w:rPr>
      </w:pPr>
    </w:p>
    <w:p w:rsidR="006346F0" w:rsidRPr="00F976B4" w:rsidRDefault="00743685" w:rsidP="004C2C25">
      <w:pPr>
        <w:pStyle w:val="subatop"/>
        <w:spacing w:before="0" w:beforeAutospacing="0" w:after="0" w:afterAutospacing="0"/>
        <w:ind w:firstLine="720"/>
        <w:jc w:val="both"/>
        <w:rPr>
          <w:rFonts w:ascii="Arial" w:hAnsi="Arial" w:cs="Arial"/>
        </w:rPr>
      </w:pPr>
      <w:r w:rsidRPr="00F976B4">
        <w:rPr>
          <w:rFonts w:ascii="Arial" w:hAnsi="Arial" w:cs="Arial"/>
        </w:rPr>
        <w:t>To the great surprise of the reader, Boaz in his response totally ignores the family context and bases his action on the impressive kindness of Rut to</w:t>
      </w:r>
      <w:r w:rsidR="006346F0" w:rsidRPr="00F976B4">
        <w:rPr>
          <w:rFonts w:ascii="Arial" w:hAnsi="Arial" w:cs="Arial"/>
        </w:rPr>
        <w:t>wards</w:t>
      </w:r>
      <w:r w:rsidRPr="00F976B4">
        <w:rPr>
          <w:rFonts w:ascii="Arial" w:hAnsi="Arial" w:cs="Arial"/>
        </w:rPr>
        <w:t xml:space="preserve"> Naomi</w:t>
      </w:r>
      <w:r w:rsidR="006346F0" w:rsidRPr="00F976B4">
        <w:rPr>
          <w:rFonts w:ascii="Arial" w:hAnsi="Arial" w:cs="Arial"/>
        </w:rPr>
        <w:t>,</w:t>
      </w:r>
      <w:r w:rsidRPr="00F976B4">
        <w:rPr>
          <w:rFonts w:ascii="Arial" w:hAnsi="Arial" w:cs="Arial"/>
        </w:rPr>
        <w:t xml:space="preserve"> her mother-in-law (</w:t>
      </w:r>
      <w:r w:rsidR="004168D9" w:rsidRPr="00F976B4">
        <w:rPr>
          <w:rFonts w:ascii="Arial" w:hAnsi="Arial" w:cs="Arial"/>
        </w:rPr>
        <w:t xml:space="preserve">v. </w:t>
      </w:r>
      <w:r w:rsidRPr="00F976B4">
        <w:rPr>
          <w:rFonts w:ascii="Arial" w:hAnsi="Arial" w:cs="Arial"/>
        </w:rPr>
        <w:t>11):</w:t>
      </w:r>
    </w:p>
    <w:p w:rsidR="004C2C25" w:rsidRDefault="004C2C25" w:rsidP="004C2C25">
      <w:pPr>
        <w:pStyle w:val="subatop"/>
        <w:spacing w:before="0" w:beforeAutospacing="0" w:after="0" w:afterAutospacing="0"/>
        <w:ind w:left="720"/>
        <w:jc w:val="both"/>
        <w:rPr>
          <w:rFonts w:ascii="Arial" w:hAnsi="Arial" w:cs="Arial"/>
        </w:rPr>
      </w:pPr>
    </w:p>
    <w:p w:rsidR="006346F0" w:rsidRPr="00F976B4" w:rsidRDefault="0031234C" w:rsidP="004C2C25">
      <w:pPr>
        <w:pStyle w:val="subatop"/>
        <w:spacing w:before="0" w:beforeAutospacing="0" w:after="0" w:afterAutospacing="0"/>
        <w:ind w:left="720"/>
        <w:jc w:val="both"/>
        <w:rPr>
          <w:rFonts w:ascii="Arial" w:hAnsi="Arial" w:cs="Arial"/>
        </w:rPr>
      </w:pPr>
      <w:r w:rsidRPr="00F976B4">
        <w:rPr>
          <w:rFonts w:ascii="Arial" w:hAnsi="Arial" w:cs="Arial"/>
        </w:rPr>
        <w:t xml:space="preserve">Boaz answered and said to her, “I have been told about </w:t>
      </w:r>
      <w:r w:rsidR="006346F0" w:rsidRPr="00F976B4">
        <w:rPr>
          <w:rFonts w:ascii="Arial" w:hAnsi="Arial" w:cs="Arial"/>
        </w:rPr>
        <w:t>all t</w:t>
      </w:r>
      <w:r w:rsidRPr="00F976B4">
        <w:rPr>
          <w:rFonts w:ascii="Arial" w:hAnsi="Arial" w:cs="Arial"/>
        </w:rPr>
        <w:t>hat you have done for your mother-in-law since the death of your husband</w:t>
      </w:r>
      <w:r w:rsidR="006346F0" w:rsidRPr="00F976B4">
        <w:rPr>
          <w:rFonts w:ascii="Arial" w:hAnsi="Arial" w:cs="Arial"/>
        </w:rPr>
        <w:t xml:space="preserve">: </w:t>
      </w:r>
      <w:r w:rsidRPr="00F976B4">
        <w:rPr>
          <w:rFonts w:ascii="Arial" w:hAnsi="Arial" w:cs="Arial"/>
        </w:rPr>
        <w:t>how you left your father and mother and your homeland</w:t>
      </w:r>
      <w:r w:rsidR="006346F0" w:rsidRPr="00F976B4">
        <w:rPr>
          <w:rFonts w:ascii="Arial" w:hAnsi="Arial" w:cs="Arial"/>
        </w:rPr>
        <w:t>,</w:t>
      </w:r>
      <w:r w:rsidRPr="00F976B4">
        <w:rPr>
          <w:rFonts w:ascii="Arial" w:hAnsi="Arial" w:cs="Arial"/>
        </w:rPr>
        <w:t xml:space="preserve"> and you went to a people you had not known yesterday or the day before.” </w:t>
      </w:r>
    </w:p>
    <w:p w:rsidR="006346F0" w:rsidRPr="00F976B4" w:rsidRDefault="006346F0" w:rsidP="004C2C25">
      <w:pPr>
        <w:pStyle w:val="subatop"/>
        <w:spacing w:before="0" w:beforeAutospacing="0" w:after="0" w:afterAutospacing="0"/>
        <w:ind w:left="720"/>
        <w:jc w:val="both"/>
        <w:rPr>
          <w:rFonts w:ascii="Arial" w:hAnsi="Arial" w:cs="Arial"/>
        </w:rPr>
      </w:pPr>
    </w:p>
    <w:p w:rsidR="0031234C" w:rsidRPr="00F976B4" w:rsidRDefault="0031234C" w:rsidP="004C2C25">
      <w:pPr>
        <w:pStyle w:val="subatop"/>
        <w:spacing w:before="0" w:beforeAutospacing="0" w:after="0" w:afterAutospacing="0"/>
        <w:ind w:firstLine="720"/>
        <w:jc w:val="both"/>
        <w:rPr>
          <w:rFonts w:ascii="Arial" w:hAnsi="Arial" w:cs="Arial"/>
        </w:rPr>
      </w:pPr>
      <w:r w:rsidRPr="00F976B4">
        <w:rPr>
          <w:rFonts w:ascii="Arial" w:hAnsi="Arial" w:cs="Arial"/>
        </w:rPr>
        <w:t>At this stage of the narrative, the c</w:t>
      </w:r>
      <w:r w:rsidR="006346F0" w:rsidRPr="00F976B4">
        <w:rPr>
          <w:rFonts w:ascii="Arial" w:hAnsi="Arial" w:cs="Arial"/>
        </w:rPr>
        <w:t>lash</w:t>
      </w:r>
      <w:r w:rsidRPr="00F976B4">
        <w:rPr>
          <w:rFonts w:ascii="Arial" w:hAnsi="Arial" w:cs="Arial"/>
        </w:rPr>
        <w:t xml:space="preserve"> between the reader’s knowledge — which relies on the fact which the narrator gives over at the opening of the scene — and </w:t>
      </w:r>
      <w:r w:rsidR="006346F0" w:rsidRPr="00F976B4">
        <w:rPr>
          <w:rFonts w:ascii="Arial" w:hAnsi="Arial" w:cs="Arial"/>
        </w:rPr>
        <w:t>Rut’s</w:t>
      </w:r>
      <w:r w:rsidRPr="00F976B4">
        <w:rPr>
          <w:rFonts w:ascii="Arial" w:hAnsi="Arial" w:cs="Arial"/>
        </w:rPr>
        <w:t xml:space="preserve"> knowledge becomes oppressive</w:t>
      </w:r>
      <w:r w:rsidR="004168D9" w:rsidRPr="00F976B4">
        <w:rPr>
          <w:rFonts w:ascii="Arial" w:hAnsi="Arial" w:cs="Arial"/>
        </w:rPr>
        <w:t>.</w:t>
      </w:r>
      <w:r w:rsidR="006346F0" w:rsidRPr="00F976B4">
        <w:rPr>
          <w:rFonts w:ascii="Arial" w:hAnsi="Arial" w:cs="Arial"/>
        </w:rPr>
        <w:t xml:space="preserve">  </w:t>
      </w:r>
      <w:r w:rsidRPr="00F976B4">
        <w:rPr>
          <w:rFonts w:ascii="Arial" w:hAnsi="Arial" w:cs="Arial"/>
        </w:rPr>
        <w:t xml:space="preserve">Why, even at this point, does the family </w:t>
      </w:r>
      <w:r w:rsidR="00325628" w:rsidRPr="00F976B4">
        <w:rPr>
          <w:rFonts w:ascii="Arial" w:hAnsi="Arial" w:cs="Arial"/>
        </w:rPr>
        <w:t xml:space="preserve">connection remain a secret?  </w:t>
      </w:r>
      <w:r w:rsidRPr="00F976B4">
        <w:rPr>
          <w:rFonts w:ascii="Arial" w:hAnsi="Arial" w:cs="Arial"/>
        </w:rPr>
        <w:t xml:space="preserve">Why does Boaz not </w:t>
      </w:r>
      <w:r w:rsidR="00741978" w:rsidRPr="00F976B4">
        <w:rPr>
          <w:rFonts w:ascii="Arial" w:hAnsi="Arial" w:cs="Arial"/>
        </w:rPr>
        <w:t>reveal</w:t>
      </w:r>
      <w:r w:rsidRPr="00F976B4">
        <w:rPr>
          <w:rFonts w:ascii="Arial" w:hAnsi="Arial" w:cs="Arial"/>
        </w:rPr>
        <w:t xml:space="preserve"> to Rut the truth about their relationship, which is closer than Rut knows?</w:t>
      </w:r>
    </w:p>
    <w:p w:rsidR="004C2C25" w:rsidRDefault="004C2C25" w:rsidP="004C2C25">
      <w:pPr>
        <w:pStyle w:val="subatop"/>
        <w:spacing w:before="0" w:beforeAutospacing="0" w:after="0" w:afterAutospacing="0"/>
        <w:ind w:firstLine="720"/>
        <w:jc w:val="both"/>
        <w:rPr>
          <w:rFonts w:ascii="Arial" w:hAnsi="Arial" w:cs="Arial"/>
        </w:rPr>
      </w:pPr>
    </w:p>
    <w:p w:rsidR="009665A6" w:rsidRDefault="0031234C" w:rsidP="004C2C25">
      <w:pPr>
        <w:pStyle w:val="subatop"/>
        <w:spacing w:before="0" w:beforeAutospacing="0" w:after="0" w:afterAutospacing="0"/>
        <w:ind w:firstLine="720"/>
        <w:jc w:val="both"/>
        <w:rPr>
          <w:rFonts w:ascii="Arial" w:hAnsi="Arial" w:cs="Arial"/>
        </w:rPr>
      </w:pPr>
      <w:r w:rsidRPr="00F976B4">
        <w:rPr>
          <w:rFonts w:ascii="Arial" w:hAnsi="Arial" w:cs="Arial"/>
        </w:rPr>
        <w:t xml:space="preserve">In fact, </w:t>
      </w:r>
      <w:r w:rsidR="00325628" w:rsidRPr="00F976B4">
        <w:rPr>
          <w:rFonts w:ascii="Arial" w:hAnsi="Arial" w:cs="Arial"/>
        </w:rPr>
        <w:t xml:space="preserve">what we have here is not the </w:t>
      </w:r>
      <w:r w:rsidR="002F6F45" w:rsidRPr="00F976B4">
        <w:rPr>
          <w:rFonts w:ascii="Arial" w:hAnsi="Arial" w:cs="Arial"/>
        </w:rPr>
        <w:t>co</w:t>
      </w:r>
      <w:r w:rsidR="006477C9">
        <w:rPr>
          <w:rFonts w:ascii="Arial" w:hAnsi="Arial" w:cs="Arial"/>
        </w:rPr>
        <w:t>ncealment of the truth from Rut. On the contrary,</w:t>
      </w:r>
      <w:r w:rsidR="002F6F45" w:rsidRPr="00F976B4">
        <w:rPr>
          <w:rFonts w:ascii="Arial" w:hAnsi="Arial" w:cs="Arial"/>
        </w:rPr>
        <w:t xml:space="preserve"> th</w:t>
      </w:r>
      <w:r w:rsidR="00325628" w:rsidRPr="00F976B4">
        <w:rPr>
          <w:rFonts w:ascii="Arial" w:hAnsi="Arial" w:cs="Arial"/>
        </w:rPr>
        <w:t xml:space="preserve">is scene highlights </w:t>
      </w:r>
      <w:r w:rsidR="002F6F45" w:rsidRPr="00F976B4">
        <w:rPr>
          <w:rFonts w:ascii="Arial" w:hAnsi="Arial" w:cs="Arial"/>
        </w:rPr>
        <w:t xml:space="preserve">the deeper truth </w:t>
      </w:r>
      <w:r w:rsidR="00325628" w:rsidRPr="00F976B4">
        <w:rPr>
          <w:rFonts w:ascii="Arial" w:hAnsi="Arial" w:cs="Arial"/>
        </w:rPr>
        <w:t xml:space="preserve">even </w:t>
      </w:r>
      <w:r w:rsidR="002F6F45" w:rsidRPr="00F976B4">
        <w:rPr>
          <w:rFonts w:ascii="Arial" w:hAnsi="Arial" w:cs="Arial"/>
        </w:rPr>
        <w:t xml:space="preserve">more </w:t>
      </w:r>
      <w:r w:rsidR="00325628" w:rsidRPr="00F976B4">
        <w:rPr>
          <w:rFonts w:ascii="Arial" w:hAnsi="Arial" w:cs="Arial"/>
        </w:rPr>
        <w:t xml:space="preserve">in </w:t>
      </w:r>
      <w:r w:rsidR="002F6F45" w:rsidRPr="00F976B4">
        <w:rPr>
          <w:rFonts w:ascii="Arial" w:hAnsi="Arial" w:cs="Arial"/>
        </w:rPr>
        <w:t>the e</w:t>
      </w:r>
      <w:r w:rsidR="00325628" w:rsidRPr="00F976B4">
        <w:rPr>
          <w:rFonts w:ascii="Arial" w:hAnsi="Arial" w:cs="Arial"/>
        </w:rPr>
        <w:t>yes</w:t>
      </w:r>
      <w:r w:rsidR="002F6F45" w:rsidRPr="00F976B4">
        <w:rPr>
          <w:rFonts w:ascii="Arial" w:hAnsi="Arial" w:cs="Arial"/>
        </w:rPr>
        <w:t xml:space="preserve"> of the reader</w:t>
      </w:r>
      <w:r w:rsidR="004168D9" w:rsidRPr="00F976B4">
        <w:rPr>
          <w:rFonts w:ascii="Arial" w:hAnsi="Arial" w:cs="Arial"/>
        </w:rPr>
        <w:t xml:space="preserve">.  </w:t>
      </w:r>
      <w:r w:rsidR="00741978" w:rsidRPr="00F976B4">
        <w:rPr>
          <w:rFonts w:ascii="Arial" w:hAnsi="Arial" w:cs="Arial"/>
        </w:rPr>
        <w:t>Specifically</w:t>
      </w:r>
      <w:r w:rsidR="002F6F45" w:rsidRPr="00F976B4">
        <w:rPr>
          <w:rFonts w:ascii="Arial" w:hAnsi="Arial" w:cs="Arial"/>
        </w:rPr>
        <w:t xml:space="preserve"> because the narrator raises the family issue at the opening of the scene, the reader feels that it is not the family link </w:t>
      </w:r>
      <w:r w:rsidR="006477C9">
        <w:rPr>
          <w:rFonts w:ascii="Arial" w:hAnsi="Arial" w:cs="Arial"/>
        </w:rPr>
        <w:t>that</w:t>
      </w:r>
      <w:r w:rsidR="002F6F45" w:rsidRPr="00F976B4">
        <w:rPr>
          <w:rFonts w:ascii="Arial" w:hAnsi="Arial" w:cs="Arial"/>
        </w:rPr>
        <w:t xml:space="preserve"> motivates the characters</w:t>
      </w:r>
      <w:r w:rsidR="004168D9" w:rsidRPr="00F976B4">
        <w:rPr>
          <w:rFonts w:ascii="Arial" w:hAnsi="Arial" w:cs="Arial"/>
        </w:rPr>
        <w:t xml:space="preserve">.  </w:t>
      </w:r>
      <w:r w:rsidR="002F6F45" w:rsidRPr="00F976B4">
        <w:rPr>
          <w:rFonts w:ascii="Arial" w:hAnsi="Arial" w:cs="Arial"/>
        </w:rPr>
        <w:t>Boaz does not show kindness to Rut because of the family obligations he has, but as a response to the great kindness show</w:t>
      </w:r>
      <w:r w:rsidR="00325628" w:rsidRPr="00F976B4">
        <w:rPr>
          <w:rFonts w:ascii="Arial" w:hAnsi="Arial" w:cs="Arial"/>
        </w:rPr>
        <w:t>n</w:t>
      </w:r>
      <w:r w:rsidR="002F6F45" w:rsidRPr="00F976B4">
        <w:rPr>
          <w:rFonts w:ascii="Arial" w:hAnsi="Arial" w:cs="Arial"/>
        </w:rPr>
        <w:t xml:space="preserve"> by Rut to Naomi previously</w:t>
      </w:r>
      <w:r w:rsidR="004168D9" w:rsidRPr="00F976B4">
        <w:rPr>
          <w:rFonts w:ascii="Arial" w:hAnsi="Arial" w:cs="Arial"/>
        </w:rPr>
        <w:t xml:space="preserve">.  </w:t>
      </w:r>
      <w:r w:rsidR="002F6F45" w:rsidRPr="00F976B4">
        <w:rPr>
          <w:rFonts w:ascii="Arial" w:hAnsi="Arial" w:cs="Arial"/>
        </w:rPr>
        <w:t xml:space="preserve">The characters in the narrative do not act from an obligation to the </w:t>
      </w:r>
      <w:r w:rsidR="00325628" w:rsidRPr="00F976B4">
        <w:rPr>
          <w:rFonts w:ascii="Arial" w:hAnsi="Arial" w:cs="Arial"/>
        </w:rPr>
        <w:t>greater community</w:t>
      </w:r>
      <w:r w:rsidR="002F6F45" w:rsidRPr="00F976B4">
        <w:rPr>
          <w:rFonts w:ascii="Arial" w:hAnsi="Arial" w:cs="Arial"/>
        </w:rPr>
        <w:t xml:space="preserve"> — n</w:t>
      </w:r>
      <w:r w:rsidR="00325628" w:rsidRPr="00F976B4">
        <w:rPr>
          <w:rFonts w:ascii="Arial" w:hAnsi="Arial" w:cs="Arial"/>
        </w:rPr>
        <w:t>either</w:t>
      </w:r>
      <w:r w:rsidR="002F6F45" w:rsidRPr="00F976B4">
        <w:rPr>
          <w:rFonts w:ascii="Arial" w:hAnsi="Arial" w:cs="Arial"/>
        </w:rPr>
        <w:t xml:space="preserve"> a legal obligation (as Orpa and the anonymous redeemer prove) </w:t>
      </w:r>
      <w:r w:rsidR="00325628" w:rsidRPr="00F976B4">
        <w:rPr>
          <w:rFonts w:ascii="Arial" w:hAnsi="Arial" w:cs="Arial"/>
        </w:rPr>
        <w:t>nor a</w:t>
      </w:r>
      <w:r w:rsidR="002F6F45" w:rsidRPr="00F976B4">
        <w:rPr>
          <w:rFonts w:ascii="Arial" w:hAnsi="Arial" w:cs="Arial"/>
        </w:rPr>
        <w:t xml:space="preserve">n obligation which relies on cultural </w:t>
      </w:r>
      <w:r w:rsidR="00325628" w:rsidRPr="00F976B4">
        <w:rPr>
          <w:rFonts w:ascii="Arial" w:hAnsi="Arial" w:cs="Arial"/>
        </w:rPr>
        <w:t>mores</w:t>
      </w:r>
      <w:r w:rsidR="002F6F45" w:rsidRPr="00F976B4">
        <w:rPr>
          <w:rFonts w:ascii="Arial" w:hAnsi="Arial" w:cs="Arial"/>
        </w:rPr>
        <w:t xml:space="preserve"> or family connections</w:t>
      </w:r>
      <w:r w:rsidR="006477C9">
        <w:rPr>
          <w:rFonts w:ascii="Arial" w:hAnsi="Arial" w:cs="Arial"/>
        </w:rPr>
        <w:t xml:space="preserve">. </w:t>
      </w:r>
      <w:r w:rsidR="002F6F45" w:rsidRPr="00F976B4">
        <w:rPr>
          <w:rFonts w:ascii="Arial" w:hAnsi="Arial" w:cs="Arial"/>
        </w:rPr>
        <w:t>Their activity is based on the attribute of free</w:t>
      </w:r>
      <w:r w:rsidR="00325628" w:rsidRPr="00F976B4">
        <w:rPr>
          <w:rFonts w:ascii="Arial" w:hAnsi="Arial" w:cs="Arial"/>
        </w:rPr>
        <w:t>ly-given</w:t>
      </w:r>
      <w:r w:rsidR="002F6F45" w:rsidRPr="00F976B4">
        <w:rPr>
          <w:rFonts w:ascii="Arial" w:hAnsi="Arial" w:cs="Arial"/>
        </w:rPr>
        <w:t xml:space="preserve"> kindness and on the intimate encounter with the other, an encounter which </w:t>
      </w:r>
      <w:r w:rsidR="00325628" w:rsidRPr="00F976B4">
        <w:rPr>
          <w:rFonts w:ascii="Arial" w:hAnsi="Arial" w:cs="Arial"/>
        </w:rPr>
        <w:t>leads</w:t>
      </w:r>
      <w:r w:rsidR="002F6F45" w:rsidRPr="00F976B4">
        <w:rPr>
          <w:rFonts w:ascii="Arial" w:hAnsi="Arial" w:cs="Arial"/>
        </w:rPr>
        <w:t xml:space="preserve"> to compassion</w:t>
      </w:r>
      <w:r w:rsidR="004168D9" w:rsidRPr="00F976B4">
        <w:rPr>
          <w:rFonts w:ascii="Arial" w:hAnsi="Arial" w:cs="Arial"/>
        </w:rPr>
        <w:t xml:space="preserve">.  </w:t>
      </w:r>
    </w:p>
    <w:p w:rsidR="004C2C25" w:rsidRDefault="004C2C25" w:rsidP="004C2C25">
      <w:pPr>
        <w:pStyle w:val="subatop"/>
        <w:spacing w:before="0" w:beforeAutospacing="0" w:after="0" w:afterAutospacing="0"/>
        <w:ind w:firstLine="360"/>
        <w:jc w:val="both"/>
        <w:rPr>
          <w:rFonts w:ascii="Arial" w:hAnsi="Arial" w:cs="Arial"/>
        </w:rPr>
      </w:pPr>
    </w:p>
    <w:p w:rsidR="002F6F45" w:rsidRPr="00F976B4" w:rsidRDefault="002F6F45" w:rsidP="004C2C25">
      <w:pPr>
        <w:pStyle w:val="subatop"/>
        <w:spacing w:before="0" w:beforeAutospacing="0" w:after="0" w:afterAutospacing="0"/>
        <w:ind w:firstLine="720"/>
        <w:jc w:val="both"/>
        <w:rPr>
          <w:rFonts w:ascii="Arial" w:hAnsi="Arial" w:cs="Arial"/>
        </w:rPr>
      </w:pPr>
      <w:r w:rsidRPr="00F976B4">
        <w:rPr>
          <w:rFonts w:ascii="Arial" w:hAnsi="Arial" w:cs="Arial"/>
        </w:rPr>
        <w:t xml:space="preserve">This idea is stressed in the narrative specifically because of the narrator’s </w:t>
      </w:r>
      <w:r w:rsidR="00325628" w:rsidRPr="00F976B4">
        <w:rPr>
          <w:rFonts w:ascii="Arial" w:hAnsi="Arial" w:cs="Arial"/>
        </w:rPr>
        <w:t>preemptive aside</w:t>
      </w:r>
      <w:r w:rsidRPr="00F976B4">
        <w:rPr>
          <w:rFonts w:ascii="Arial" w:hAnsi="Arial" w:cs="Arial"/>
        </w:rPr>
        <w:t xml:space="preserve"> that Boaz is a relative of Naomi (and Rut)</w:t>
      </w:r>
      <w:r w:rsidR="004168D9" w:rsidRPr="00F976B4">
        <w:rPr>
          <w:rFonts w:ascii="Arial" w:hAnsi="Arial" w:cs="Arial"/>
        </w:rPr>
        <w:t xml:space="preserve">.  </w:t>
      </w:r>
      <w:r w:rsidRPr="00F976B4">
        <w:rPr>
          <w:rFonts w:ascii="Arial" w:hAnsi="Arial" w:cs="Arial"/>
        </w:rPr>
        <w:t xml:space="preserve">This datum waits for its practical </w:t>
      </w:r>
      <w:r w:rsidR="00325628" w:rsidRPr="00F976B4">
        <w:rPr>
          <w:rFonts w:ascii="Arial" w:hAnsi="Arial" w:cs="Arial"/>
        </w:rPr>
        <w:t>application</w:t>
      </w:r>
      <w:r w:rsidRPr="00F976B4">
        <w:rPr>
          <w:rFonts w:ascii="Arial" w:hAnsi="Arial" w:cs="Arial"/>
        </w:rPr>
        <w:t xml:space="preserve">, and its lack of realization </w:t>
      </w:r>
      <w:r w:rsidR="00AA0D0D" w:rsidRPr="00F976B4">
        <w:rPr>
          <w:rFonts w:ascii="Arial" w:hAnsi="Arial" w:cs="Arial"/>
        </w:rPr>
        <w:t>at this point makes its ultimate fulfillment at</w:t>
      </w:r>
      <w:r w:rsidRPr="00F976B4">
        <w:rPr>
          <w:rFonts w:ascii="Arial" w:hAnsi="Arial" w:cs="Arial"/>
        </w:rPr>
        <w:t xml:space="preserve"> the end of the narrative</w:t>
      </w:r>
      <w:r w:rsidR="00AA0D0D" w:rsidRPr="00F976B4">
        <w:rPr>
          <w:rFonts w:ascii="Arial" w:hAnsi="Arial" w:cs="Arial"/>
        </w:rPr>
        <w:t xml:space="preserve"> all the more powerful</w:t>
      </w:r>
      <w:r w:rsidRPr="00F976B4">
        <w:rPr>
          <w:rFonts w:ascii="Arial" w:hAnsi="Arial" w:cs="Arial"/>
        </w:rPr>
        <w:t>.</w:t>
      </w:r>
    </w:p>
    <w:p w:rsidR="002F6F45" w:rsidRPr="00F976B4" w:rsidRDefault="00AA0D0D" w:rsidP="004C2C25">
      <w:pPr>
        <w:pStyle w:val="subatop"/>
        <w:spacing w:before="0" w:beforeAutospacing="0" w:after="0" w:afterAutospacing="0"/>
        <w:ind w:firstLine="360"/>
        <w:jc w:val="both"/>
        <w:rPr>
          <w:rFonts w:ascii="Arial" w:hAnsi="Arial" w:cs="Arial"/>
        </w:rPr>
      </w:pPr>
      <w:r w:rsidRPr="00F976B4">
        <w:rPr>
          <w:rFonts w:ascii="Arial" w:hAnsi="Arial" w:cs="Arial"/>
        </w:rPr>
        <w:t xml:space="preserve"> </w:t>
      </w:r>
    </w:p>
    <w:p w:rsidR="002F6F45" w:rsidRPr="00F976B4" w:rsidRDefault="002F6F45" w:rsidP="004C2C25">
      <w:pPr>
        <w:pStyle w:val="subatop"/>
        <w:spacing w:before="0" w:beforeAutospacing="0" w:after="0" w:afterAutospacing="0"/>
        <w:jc w:val="both"/>
        <w:rPr>
          <w:rFonts w:ascii="Arial" w:hAnsi="Arial" w:cs="Arial"/>
          <w:b/>
          <w:bCs/>
        </w:rPr>
      </w:pPr>
      <w:r w:rsidRPr="00F976B4">
        <w:rPr>
          <w:rFonts w:ascii="Arial" w:hAnsi="Arial" w:cs="Arial"/>
          <w:b/>
          <w:bCs/>
        </w:rPr>
        <w:t>Delayed Exposition</w:t>
      </w:r>
    </w:p>
    <w:p w:rsidR="004C2C25" w:rsidRDefault="004C2C25" w:rsidP="004C2C25">
      <w:pPr>
        <w:pStyle w:val="subatop"/>
        <w:spacing w:before="0" w:beforeAutospacing="0" w:after="0" w:afterAutospacing="0"/>
        <w:ind w:firstLine="360"/>
        <w:jc w:val="both"/>
        <w:rPr>
          <w:rFonts w:ascii="Arial" w:hAnsi="Arial" w:cs="Arial"/>
        </w:rPr>
      </w:pPr>
    </w:p>
    <w:p w:rsidR="009E2607" w:rsidRPr="00F976B4" w:rsidRDefault="002F6F45" w:rsidP="004C2C25">
      <w:pPr>
        <w:pStyle w:val="subatop"/>
        <w:spacing w:before="0" w:beforeAutospacing="0" w:after="0" w:afterAutospacing="0"/>
        <w:ind w:firstLine="720"/>
        <w:jc w:val="both"/>
        <w:rPr>
          <w:rFonts w:ascii="Arial" w:hAnsi="Arial" w:cs="Arial"/>
        </w:rPr>
      </w:pPr>
      <w:r w:rsidRPr="00F976B4">
        <w:rPr>
          <w:rFonts w:ascii="Arial" w:hAnsi="Arial" w:cs="Arial"/>
        </w:rPr>
        <w:t xml:space="preserve">Naturally, </w:t>
      </w:r>
      <w:r w:rsidR="00AA0D0D" w:rsidRPr="00F976B4">
        <w:rPr>
          <w:rFonts w:ascii="Arial" w:hAnsi="Arial" w:cs="Arial"/>
        </w:rPr>
        <w:t>if</w:t>
      </w:r>
      <w:r w:rsidR="004D3429" w:rsidRPr="00F976B4">
        <w:rPr>
          <w:rFonts w:ascii="Arial" w:hAnsi="Arial" w:cs="Arial"/>
        </w:rPr>
        <w:t xml:space="preserve"> the exposition </w:t>
      </w:r>
      <w:r w:rsidR="00AA0D0D" w:rsidRPr="00F976B4">
        <w:rPr>
          <w:rFonts w:ascii="Arial" w:hAnsi="Arial" w:cs="Arial"/>
        </w:rPr>
        <w:t xml:space="preserve">is </w:t>
      </w:r>
      <w:r w:rsidR="004D3429" w:rsidRPr="00F976B4">
        <w:rPr>
          <w:rFonts w:ascii="Arial" w:hAnsi="Arial" w:cs="Arial"/>
        </w:rPr>
        <w:t xml:space="preserve">pushed off from its natural </w:t>
      </w:r>
      <w:r w:rsidR="00741978" w:rsidRPr="00F976B4">
        <w:rPr>
          <w:rFonts w:ascii="Arial" w:hAnsi="Arial" w:cs="Arial"/>
        </w:rPr>
        <w:t>place</w:t>
      </w:r>
      <w:r w:rsidR="004D3429" w:rsidRPr="00F976B4">
        <w:rPr>
          <w:rFonts w:ascii="Arial" w:hAnsi="Arial" w:cs="Arial"/>
        </w:rPr>
        <w:t xml:space="preserve"> — at the beginning of the story — and it appears </w:t>
      </w:r>
      <w:r w:rsidR="00AA0D0D" w:rsidRPr="00F976B4">
        <w:rPr>
          <w:rFonts w:ascii="Arial" w:hAnsi="Arial" w:cs="Arial"/>
        </w:rPr>
        <w:t>at some point later in the narrativ</w:t>
      </w:r>
      <w:r w:rsidR="004D3429" w:rsidRPr="00F976B4">
        <w:rPr>
          <w:rFonts w:ascii="Arial" w:hAnsi="Arial" w:cs="Arial"/>
        </w:rPr>
        <w:t>e, after the reader is already awar</w:t>
      </w:r>
      <w:r w:rsidR="00AA0D0D" w:rsidRPr="00F976B4">
        <w:rPr>
          <w:rFonts w:ascii="Arial" w:hAnsi="Arial" w:cs="Arial"/>
        </w:rPr>
        <w:t xml:space="preserve">e of the events of the plot, </w:t>
      </w:r>
      <w:r w:rsidR="004D3429" w:rsidRPr="00F976B4">
        <w:rPr>
          <w:rFonts w:ascii="Arial" w:hAnsi="Arial" w:cs="Arial"/>
        </w:rPr>
        <w:t>this has a great influence on the reading</w:t>
      </w:r>
      <w:r w:rsidR="004168D9" w:rsidRPr="00F976B4">
        <w:rPr>
          <w:rFonts w:ascii="Arial" w:hAnsi="Arial" w:cs="Arial"/>
        </w:rPr>
        <w:t xml:space="preserve">.  </w:t>
      </w:r>
      <w:r w:rsidR="004D3429" w:rsidRPr="00F976B4">
        <w:rPr>
          <w:rFonts w:ascii="Arial" w:hAnsi="Arial" w:cs="Arial"/>
        </w:rPr>
        <w:t xml:space="preserve">The </w:t>
      </w:r>
      <w:r w:rsidR="00741978" w:rsidRPr="00F976B4">
        <w:rPr>
          <w:rFonts w:ascii="Arial" w:hAnsi="Arial" w:cs="Arial"/>
        </w:rPr>
        <w:t>specific</w:t>
      </w:r>
      <w:r w:rsidR="004D3429" w:rsidRPr="00F976B4">
        <w:rPr>
          <w:rFonts w:ascii="Arial" w:hAnsi="Arial" w:cs="Arial"/>
        </w:rPr>
        <w:t xml:space="preserve"> place in which th</w:t>
      </w:r>
      <w:r w:rsidR="00AA0D0D" w:rsidRPr="00F976B4">
        <w:rPr>
          <w:rFonts w:ascii="Arial" w:hAnsi="Arial" w:cs="Arial"/>
        </w:rPr>
        <w:t>e narrator wants to present the protagonists</w:t>
      </w:r>
      <w:r w:rsidR="004D3429" w:rsidRPr="00F976B4">
        <w:rPr>
          <w:rFonts w:ascii="Arial" w:hAnsi="Arial" w:cs="Arial"/>
        </w:rPr>
        <w:t xml:space="preserve"> receives a certain significance if this is not done at the beginning </w:t>
      </w:r>
      <w:r w:rsidR="00741978" w:rsidRPr="00F976B4">
        <w:rPr>
          <w:rFonts w:ascii="Arial" w:hAnsi="Arial" w:cs="Arial"/>
        </w:rPr>
        <w:t>of</w:t>
      </w:r>
      <w:r w:rsidR="004D3429" w:rsidRPr="00F976B4">
        <w:rPr>
          <w:rFonts w:ascii="Arial" w:hAnsi="Arial" w:cs="Arial"/>
        </w:rPr>
        <w:t xml:space="preserve"> the narrative</w:t>
      </w:r>
      <w:r w:rsidR="004168D9" w:rsidRPr="00F976B4">
        <w:rPr>
          <w:rFonts w:ascii="Arial" w:hAnsi="Arial" w:cs="Arial"/>
        </w:rPr>
        <w:t xml:space="preserve">.  </w:t>
      </w:r>
      <w:r w:rsidR="00AA0D0D" w:rsidRPr="00F976B4">
        <w:rPr>
          <w:rFonts w:ascii="Arial" w:hAnsi="Arial" w:cs="Arial"/>
        </w:rPr>
        <w:t xml:space="preserve">We can term this phenomenon </w:t>
      </w:r>
      <w:r w:rsidR="009665A6">
        <w:rPr>
          <w:rFonts w:ascii="Arial" w:hAnsi="Arial" w:cs="Arial"/>
        </w:rPr>
        <w:t>a “</w:t>
      </w:r>
      <w:r w:rsidR="00EE5319" w:rsidRPr="00F976B4">
        <w:rPr>
          <w:rFonts w:ascii="Arial" w:hAnsi="Arial" w:cs="Arial"/>
        </w:rPr>
        <w:t>late</w:t>
      </w:r>
      <w:r w:rsidR="004D3429" w:rsidRPr="00F976B4">
        <w:rPr>
          <w:rFonts w:ascii="Arial" w:hAnsi="Arial" w:cs="Arial"/>
        </w:rPr>
        <w:t xml:space="preserve"> exposit</w:t>
      </w:r>
      <w:r w:rsidR="009665A6">
        <w:rPr>
          <w:rFonts w:ascii="Arial" w:hAnsi="Arial" w:cs="Arial"/>
        </w:rPr>
        <w:t>ion”</w:t>
      </w:r>
      <w:r w:rsidR="00EE5319" w:rsidRPr="00F976B4">
        <w:rPr>
          <w:rFonts w:ascii="Arial" w:hAnsi="Arial" w:cs="Arial"/>
        </w:rPr>
        <w:t xml:space="preserve"> (Frank Polak </w:t>
      </w:r>
      <w:r w:rsidR="00AA0D0D" w:rsidRPr="00F976B4">
        <w:rPr>
          <w:rFonts w:ascii="Arial" w:hAnsi="Arial" w:cs="Arial"/>
        </w:rPr>
        <w:t xml:space="preserve">suggests </w:t>
      </w:r>
      <w:r w:rsidR="009665A6">
        <w:rPr>
          <w:rFonts w:ascii="Arial" w:hAnsi="Arial" w:cs="Arial"/>
        </w:rPr>
        <w:t>“delayed exposition”</w:t>
      </w:r>
      <w:r w:rsidR="009665A6" w:rsidRPr="009665A6">
        <w:rPr>
          <w:rFonts w:ascii="Arial" w:hAnsi="Arial" w:cs="Arial"/>
          <w:vertAlign w:val="superscript"/>
        </w:rPr>
        <w:footnoteReference w:id="11"/>
      </w:r>
      <w:r w:rsidR="00EE5319" w:rsidRPr="00F976B4">
        <w:rPr>
          <w:rFonts w:ascii="Arial" w:hAnsi="Arial" w:cs="Arial"/>
        </w:rPr>
        <w:t>)</w:t>
      </w:r>
      <w:r w:rsidR="00741978" w:rsidRPr="00F976B4">
        <w:rPr>
          <w:rFonts w:ascii="Arial" w:hAnsi="Arial" w:cs="Arial"/>
        </w:rPr>
        <w:t xml:space="preserve"> — a present</w:t>
      </w:r>
      <w:r w:rsidR="00EE5319" w:rsidRPr="00F976B4">
        <w:rPr>
          <w:rFonts w:ascii="Arial" w:hAnsi="Arial" w:cs="Arial"/>
        </w:rPr>
        <w:t>ation of charact</w:t>
      </w:r>
      <w:r w:rsidR="00741978" w:rsidRPr="00F976B4">
        <w:rPr>
          <w:rFonts w:ascii="Arial" w:hAnsi="Arial" w:cs="Arial"/>
        </w:rPr>
        <w:t>e</w:t>
      </w:r>
      <w:r w:rsidR="00EE5319" w:rsidRPr="00F976B4">
        <w:rPr>
          <w:rFonts w:ascii="Arial" w:hAnsi="Arial" w:cs="Arial"/>
        </w:rPr>
        <w:t>rs or anoth</w:t>
      </w:r>
      <w:r w:rsidR="00AA0D0D" w:rsidRPr="00F976B4">
        <w:rPr>
          <w:rFonts w:ascii="Arial" w:hAnsi="Arial" w:cs="Arial"/>
        </w:rPr>
        <w:t>er integral element of the plot</w:t>
      </w:r>
      <w:r w:rsidR="00EE5319" w:rsidRPr="00F976B4">
        <w:rPr>
          <w:rFonts w:ascii="Arial" w:hAnsi="Arial" w:cs="Arial"/>
        </w:rPr>
        <w:t xml:space="preserve"> in the </w:t>
      </w:r>
      <w:r w:rsidR="00AA0D0D" w:rsidRPr="00F976B4">
        <w:rPr>
          <w:rFonts w:ascii="Arial" w:hAnsi="Arial" w:cs="Arial"/>
        </w:rPr>
        <w:t>thick</w:t>
      </w:r>
      <w:r w:rsidR="00EE5319" w:rsidRPr="00F976B4">
        <w:rPr>
          <w:rFonts w:ascii="Arial" w:hAnsi="Arial" w:cs="Arial"/>
        </w:rPr>
        <w:t xml:space="preserve"> of the story and not in its opening</w:t>
      </w:r>
      <w:r w:rsidR="004168D9" w:rsidRPr="00F976B4">
        <w:rPr>
          <w:rFonts w:ascii="Arial" w:hAnsi="Arial" w:cs="Arial"/>
        </w:rPr>
        <w:t xml:space="preserve">.  </w:t>
      </w:r>
      <w:r w:rsidR="009E2607" w:rsidRPr="00F976B4">
        <w:rPr>
          <w:rFonts w:ascii="Arial" w:hAnsi="Arial" w:cs="Arial"/>
        </w:rPr>
        <w:t>A</w:t>
      </w:r>
      <w:r w:rsidR="00EE5319" w:rsidRPr="00F976B4">
        <w:rPr>
          <w:rFonts w:ascii="Arial" w:hAnsi="Arial" w:cs="Arial"/>
        </w:rPr>
        <w:t xml:space="preserve">ttention </w:t>
      </w:r>
      <w:r w:rsidR="009E2607" w:rsidRPr="00F976B4">
        <w:rPr>
          <w:rFonts w:ascii="Arial" w:hAnsi="Arial" w:cs="Arial"/>
        </w:rPr>
        <w:t xml:space="preserve">is drawn </w:t>
      </w:r>
      <w:r w:rsidR="00EE5319" w:rsidRPr="00F976B4">
        <w:rPr>
          <w:rFonts w:ascii="Arial" w:hAnsi="Arial" w:cs="Arial"/>
        </w:rPr>
        <w:t xml:space="preserve">to the </w:t>
      </w:r>
      <w:r w:rsidR="00741978" w:rsidRPr="00F976B4">
        <w:rPr>
          <w:rFonts w:ascii="Arial" w:hAnsi="Arial" w:cs="Arial"/>
        </w:rPr>
        <w:t>delay</w:t>
      </w:r>
      <w:r w:rsidR="009E2607" w:rsidRPr="00F976B4">
        <w:rPr>
          <w:rFonts w:ascii="Arial" w:hAnsi="Arial" w:cs="Arial"/>
        </w:rPr>
        <w:t xml:space="preserve"> of the exposition</w:t>
      </w:r>
      <w:r w:rsidR="00EE5319" w:rsidRPr="00F976B4">
        <w:rPr>
          <w:rFonts w:ascii="Arial" w:hAnsi="Arial" w:cs="Arial"/>
        </w:rPr>
        <w:t>, since the common way of biblical writing is to present the characters at the beginning of the narrative</w:t>
      </w:r>
      <w:r w:rsidR="004168D9" w:rsidRPr="00F976B4">
        <w:rPr>
          <w:rFonts w:ascii="Arial" w:hAnsi="Arial" w:cs="Arial"/>
        </w:rPr>
        <w:t xml:space="preserve">.  </w:t>
      </w:r>
      <w:r w:rsidR="009665A6">
        <w:rPr>
          <w:rFonts w:ascii="Arial" w:hAnsi="Arial" w:cs="Arial"/>
        </w:rPr>
        <w:t>T</w:t>
      </w:r>
      <w:r w:rsidR="00EE5319" w:rsidRPr="00F976B4">
        <w:rPr>
          <w:rFonts w:ascii="Arial" w:hAnsi="Arial" w:cs="Arial"/>
        </w:rPr>
        <w:t xml:space="preserve">his reminds us of the flashback </w:t>
      </w:r>
      <w:r w:rsidR="00741978" w:rsidRPr="00F976B4">
        <w:rPr>
          <w:rFonts w:ascii="Arial" w:hAnsi="Arial" w:cs="Arial"/>
        </w:rPr>
        <w:t>phenomenon</w:t>
      </w:r>
      <w:r w:rsidR="00EE5319" w:rsidRPr="00F976B4">
        <w:rPr>
          <w:rFonts w:ascii="Arial" w:hAnsi="Arial" w:cs="Arial"/>
        </w:rPr>
        <w:t xml:space="preserve"> which we discussed </w:t>
      </w:r>
      <w:r w:rsidR="00741978" w:rsidRPr="00F976B4">
        <w:rPr>
          <w:rFonts w:ascii="Arial" w:hAnsi="Arial" w:cs="Arial"/>
        </w:rPr>
        <w:t>earlier</w:t>
      </w:r>
      <w:r w:rsidR="00EE5319" w:rsidRPr="00F976B4">
        <w:rPr>
          <w:rFonts w:ascii="Arial" w:hAnsi="Arial" w:cs="Arial"/>
        </w:rPr>
        <w:t xml:space="preserve">, but here we are not talking about completing the plot </w:t>
      </w:r>
      <w:r w:rsidR="00741978" w:rsidRPr="00F976B4">
        <w:rPr>
          <w:rFonts w:ascii="Arial" w:hAnsi="Arial" w:cs="Arial"/>
        </w:rPr>
        <w:t>elements</w:t>
      </w:r>
      <w:r w:rsidR="00EE5319" w:rsidRPr="00F976B4">
        <w:rPr>
          <w:rFonts w:ascii="Arial" w:hAnsi="Arial" w:cs="Arial"/>
        </w:rPr>
        <w:t xml:space="preserve">, but rather the shattering of a literary </w:t>
      </w:r>
      <w:r w:rsidR="00741978" w:rsidRPr="00F976B4">
        <w:rPr>
          <w:rFonts w:ascii="Arial" w:hAnsi="Arial" w:cs="Arial"/>
        </w:rPr>
        <w:t>convention</w:t>
      </w:r>
      <w:r w:rsidR="004168D9" w:rsidRPr="00F976B4">
        <w:rPr>
          <w:rFonts w:ascii="Arial" w:hAnsi="Arial" w:cs="Arial"/>
        </w:rPr>
        <w:t xml:space="preserve">. </w:t>
      </w:r>
    </w:p>
    <w:p w:rsidR="004C2C25" w:rsidRDefault="004C2C25" w:rsidP="004C2C25">
      <w:pPr>
        <w:pStyle w:val="subatop"/>
        <w:spacing w:before="0" w:beforeAutospacing="0" w:after="0" w:afterAutospacing="0"/>
        <w:ind w:firstLine="720"/>
        <w:jc w:val="both"/>
        <w:rPr>
          <w:rFonts w:ascii="Arial" w:hAnsi="Arial" w:cs="Arial"/>
        </w:rPr>
      </w:pPr>
    </w:p>
    <w:p w:rsidR="009E2607" w:rsidRPr="00F976B4" w:rsidRDefault="009665A6" w:rsidP="004C2C25">
      <w:pPr>
        <w:pStyle w:val="subatop"/>
        <w:spacing w:before="0" w:beforeAutospacing="0" w:after="0" w:afterAutospacing="0"/>
        <w:ind w:firstLine="720"/>
        <w:jc w:val="both"/>
        <w:rPr>
          <w:rFonts w:ascii="Arial" w:hAnsi="Arial" w:cs="Arial"/>
        </w:rPr>
      </w:pPr>
      <w:r>
        <w:rPr>
          <w:rFonts w:ascii="Arial" w:hAnsi="Arial" w:cs="Arial"/>
        </w:rPr>
        <w:t>I</w:t>
      </w:r>
      <w:r w:rsidR="009E2607" w:rsidRPr="00F976B4">
        <w:rPr>
          <w:rFonts w:ascii="Arial" w:hAnsi="Arial" w:cs="Arial"/>
        </w:rPr>
        <w:t xml:space="preserve">t sometimes appears that the fact </w:t>
      </w:r>
      <w:r>
        <w:rPr>
          <w:rFonts w:ascii="Arial" w:hAnsi="Arial" w:cs="Arial"/>
        </w:rPr>
        <w:t>that</w:t>
      </w:r>
      <w:r w:rsidR="009E2607" w:rsidRPr="00F976B4">
        <w:rPr>
          <w:rFonts w:ascii="Arial" w:hAnsi="Arial" w:cs="Arial"/>
        </w:rPr>
        <w:t xml:space="preserve"> is brought late in the exposition is cited in a place </w:t>
      </w:r>
      <w:r>
        <w:rPr>
          <w:rFonts w:ascii="Arial" w:hAnsi="Arial" w:cs="Arial"/>
        </w:rPr>
        <w:t>in which it is relevant</w:t>
      </w:r>
      <w:r w:rsidR="00AA0D0D" w:rsidRPr="00F976B4">
        <w:rPr>
          <w:rFonts w:ascii="Arial" w:hAnsi="Arial" w:cs="Arial"/>
        </w:rPr>
        <w:t>;</w:t>
      </w:r>
      <w:r w:rsidR="009E2607" w:rsidRPr="00F976B4">
        <w:rPr>
          <w:rFonts w:ascii="Arial" w:hAnsi="Arial" w:cs="Arial"/>
        </w:rPr>
        <w:t xml:space="preserve"> until this</w:t>
      </w:r>
      <w:r>
        <w:rPr>
          <w:rFonts w:ascii="Arial" w:hAnsi="Arial" w:cs="Arial"/>
        </w:rPr>
        <w:t xml:space="preserve"> point</w:t>
      </w:r>
      <w:r w:rsidR="00AA0D0D" w:rsidRPr="00F976B4">
        <w:rPr>
          <w:rFonts w:ascii="Arial" w:hAnsi="Arial" w:cs="Arial"/>
        </w:rPr>
        <w:t>,</w:t>
      </w:r>
      <w:r>
        <w:rPr>
          <w:rFonts w:ascii="Arial" w:hAnsi="Arial" w:cs="Arial"/>
        </w:rPr>
        <w:t xml:space="preserve"> there wa</w:t>
      </w:r>
      <w:r w:rsidR="009E2607" w:rsidRPr="00F976B4">
        <w:rPr>
          <w:rFonts w:ascii="Arial" w:hAnsi="Arial" w:cs="Arial"/>
        </w:rPr>
        <w:t xml:space="preserve">s no need </w:t>
      </w:r>
      <w:r w:rsidR="00AA0D0D" w:rsidRPr="00F976B4">
        <w:rPr>
          <w:rFonts w:ascii="Arial" w:hAnsi="Arial" w:cs="Arial"/>
        </w:rPr>
        <w:t>to</w:t>
      </w:r>
      <w:r w:rsidR="009E2607" w:rsidRPr="00F976B4">
        <w:rPr>
          <w:rFonts w:ascii="Arial" w:hAnsi="Arial" w:cs="Arial"/>
        </w:rPr>
        <w:t xml:space="preserve"> mention it.</w:t>
      </w:r>
      <w:r w:rsidR="009E2607" w:rsidRPr="009665A6">
        <w:rPr>
          <w:rStyle w:val="FootnoteCharacters"/>
          <w:rFonts w:ascii="Arial" w:hAnsi="Arial" w:cs="Arial"/>
          <w:sz w:val="24"/>
          <w:szCs w:val="24"/>
          <w:vertAlign w:val="superscript"/>
        </w:rPr>
        <w:footnoteReference w:id="12"/>
      </w:r>
      <w:r w:rsidR="009E2607" w:rsidRPr="00F976B4">
        <w:rPr>
          <w:rFonts w:ascii="Arial" w:hAnsi="Arial" w:cs="Arial"/>
        </w:rPr>
        <w:t xml:space="preserve"> </w:t>
      </w:r>
      <w:r w:rsidR="00AA0D0D" w:rsidRPr="00F976B4">
        <w:rPr>
          <w:rFonts w:ascii="Arial" w:hAnsi="Arial" w:cs="Arial"/>
        </w:rPr>
        <w:t xml:space="preserve"> Nevertheless, even</w:t>
      </w:r>
      <w:r w:rsidR="009E2607" w:rsidRPr="00F976B4">
        <w:rPr>
          <w:rFonts w:ascii="Arial" w:hAnsi="Arial" w:cs="Arial"/>
        </w:rPr>
        <w:t xml:space="preserve"> in these places, the reader responds to the </w:t>
      </w:r>
      <w:r w:rsidR="00AA0D0D" w:rsidRPr="00F976B4">
        <w:rPr>
          <w:rFonts w:ascii="Arial" w:hAnsi="Arial" w:cs="Arial"/>
        </w:rPr>
        <w:t>detail</w:t>
      </w:r>
      <w:r w:rsidR="009E2607" w:rsidRPr="00F976B4">
        <w:rPr>
          <w:rFonts w:ascii="Arial" w:hAnsi="Arial" w:cs="Arial"/>
        </w:rPr>
        <w:t xml:space="preserve"> </w:t>
      </w:r>
      <w:r>
        <w:rPr>
          <w:rFonts w:ascii="Arial" w:hAnsi="Arial" w:cs="Arial"/>
        </w:rPr>
        <w:t xml:space="preserve">that is </w:t>
      </w:r>
      <w:r w:rsidR="00AA0D0D" w:rsidRPr="00F976B4">
        <w:rPr>
          <w:rFonts w:ascii="Arial" w:hAnsi="Arial" w:cs="Arial"/>
        </w:rPr>
        <w:t>note</w:t>
      </w:r>
      <w:r w:rsidR="009E2607" w:rsidRPr="00F976B4">
        <w:rPr>
          <w:rFonts w:ascii="Arial" w:hAnsi="Arial" w:cs="Arial"/>
        </w:rPr>
        <w:t>d i</w:t>
      </w:r>
      <w:r w:rsidR="00AA0D0D" w:rsidRPr="00F976B4">
        <w:rPr>
          <w:rFonts w:ascii="Arial" w:hAnsi="Arial" w:cs="Arial"/>
        </w:rPr>
        <w:t>n light of its textual location,</w:t>
      </w:r>
      <w:r w:rsidR="009E2607" w:rsidRPr="00F976B4">
        <w:rPr>
          <w:rFonts w:ascii="Arial" w:hAnsi="Arial" w:cs="Arial"/>
        </w:rPr>
        <w:t xml:space="preserve"> on the basis of what one knows until this point and in light of the context in which the exposition under discussion is first mentioned.</w:t>
      </w:r>
    </w:p>
    <w:p w:rsidR="004C2C25" w:rsidRDefault="004C2C25" w:rsidP="004C2C25">
      <w:pPr>
        <w:pStyle w:val="subatop"/>
        <w:spacing w:before="0" w:beforeAutospacing="0" w:after="0" w:afterAutospacing="0"/>
        <w:ind w:firstLine="720"/>
        <w:jc w:val="both"/>
        <w:rPr>
          <w:rFonts w:ascii="Arial" w:hAnsi="Arial" w:cs="Arial"/>
        </w:rPr>
      </w:pPr>
    </w:p>
    <w:p w:rsidR="002B071A" w:rsidRPr="00F976B4" w:rsidRDefault="00AA0D0D" w:rsidP="004C2C25">
      <w:pPr>
        <w:pStyle w:val="subatop"/>
        <w:spacing w:before="0" w:beforeAutospacing="0" w:after="0" w:afterAutospacing="0"/>
        <w:ind w:firstLine="720"/>
        <w:jc w:val="both"/>
        <w:rPr>
          <w:rFonts w:ascii="Arial" w:hAnsi="Arial" w:cs="Arial"/>
        </w:rPr>
      </w:pPr>
      <w:r w:rsidRPr="00F976B4">
        <w:rPr>
          <w:rFonts w:ascii="Arial" w:hAnsi="Arial" w:cs="Arial"/>
        </w:rPr>
        <w:t>Let us take the story of Ehud ben Gera (</w:t>
      </w:r>
      <w:r w:rsidR="001E7DD3" w:rsidRPr="009665A6">
        <w:rPr>
          <w:rFonts w:ascii="Arial" w:hAnsi="Arial" w:cs="Arial"/>
          <w:i/>
          <w:iCs/>
        </w:rPr>
        <w:t>Shofetim</w:t>
      </w:r>
      <w:r w:rsidR="009665A6">
        <w:rPr>
          <w:rFonts w:ascii="Arial" w:hAnsi="Arial" w:cs="Arial"/>
        </w:rPr>
        <w:t xml:space="preserve"> 3). </w:t>
      </w:r>
      <w:r w:rsidRPr="00F976B4">
        <w:rPr>
          <w:rFonts w:ascii="Arial" w:hAnsi="Arial" w:cs="Arial"/>
        </w:rPr>
        <w:t>T</w:t>
      </w:r>
      <w:r w:rsidR="009E2607" w:rsidRPr="00F976B4">
        <w:rPr>
          <w:rFonts w:ascii="Arial" w:hAnsi="Arial" w:cs="Arial"/>
        </w:rPr>
        <w:t xml:space="preserve">he fact that </w:t>
      </w:r>
      <w:r w:rsidRPr="00F976B4">
        <w:rPr>
          <w:rFonts w:ascii="Arial" w:hAnsi="Arial" w:cs="Arial"/>
        </w:rPr>
        <w:t xml:space="preserve">his antagonist, </w:t>
      </w:r>
      <w:r w:rsidR="009E2607" w:rsidRPr="00F976B4">
        <w:rPr>
          <w:rFonts w:ascii="Arial" w:hAnsi="Arial" w:cs="Arial"/>
        </w:rPr>
        <w:t xml:space="preserve">Eglon, King of Moab, is fat is not mentioned </w:t>
      </w:r>
      <w:r w:rsidRPr="00F976B4">
        <w:rPr>
          <w:rFonts w:ascii="Arial" w:hAnsi="Arial" w:cs="Arial"/>
        </w:rPr>
        <w:t>i</w:t>
      </w:r>
      <w:r w:rsidR="009E2607" w:rsidRPr="00F976B4">
        <w:rPr>
          <w:rFonts w:ascii="Arial" w:hAnsi="Arial" w:cs="Arial"/>
        </w:rPr>
        <w:t xml:space="preserve">n the opening of the narrative, but only within the description of the presentation of </w:t>
      </w:r>
      <w:r w:rsidR="001E7DD3" w:rsidRPr="00F976B4">
        <w:rPr>
          <w:rFonts w:ascii="Arial" w:hAnsi="Arial" w:cs="Arial"/>
        </w:rPr>
        <w:t>his tribute</w:t>
      </w:r>
      <w:r w:rsidR="009E2607" w:rsidRPr="00F976B4">
        <w:rPr>
          <w:rFonts w:ascii="Arial" w:hAnsi="Arial" w:cs="Arial"/>
        </w:rPr>
        <w:t xml:space="preserve">: “And he brought the gift to Eglon, King of Moab, and Eglon was </w:t>
      </w:r>
      <w:r w:rsidR="001E7DD3" w:rsidRPr="00F976B4">
        <w:rPr>
          <w:rFonts w:ascii="Arial" w:hAnsi="Arial" w:cs="Arial"/>
        </w:rPr>
        <w:t xml:space="preserve">a very fat man” (v. </w:t>
      </w:r>
      <w:r w:rsidR="009E2607" w:rsidRPr="00F976B4">
        <w:rPr>
          <w:rFonts w:ascii="Arial" w:hAnsi="Arial" w:cs="Arial"/>
        </w:rPr>
        <w:t>17)</w:t>
      </w:r>
      <w:r w:rsidR="004168D9" w:rsidRPr="00F976B4">
        <w:rPr>
          <w:rFonts w:ascii="Arial" w:hAnsi="Arial" w:cs="Arial"/>
        </w:rPr>
        <w:t xml:space="preserve">.  </w:t>
      </w:r>
      <w:r w:rsidR="009E2607" w:rsidRPr="00F976B4">
        <w:rPr>
          <w:rFonts w:ascii="Arial" w:hAnsi="Arial" w:cs="Arial"/>
        </w:rPr>
        <w:t>One may claim that only at this stage of the narrative is this detail relevant</w:t>
      </w:r>
      <w:r w:rsidR="001E7DD3" w:rsidRPr="00F976B4">
        <w:rPr>
          <w:rFonts w:ascii="Arial" w:hAnsi="Arial" w:cs="Arial"/>
        </w:rPr>
        <w:t>; how else can we understand</w:t>
      </w:r>
      <w:r w:rsidR="009E2607" w:rsidRPr="00F976B4">
        <w:rPr>
          <w:rFonts w:ascii="Arial" w:hAnsi="Arial" w:cs="Arial"/>
        </w:rPr>
        <w:t xml:space="preserve"> Ehud’s attack</w:t>
      </w:r>
      <w:r w:rsidR="001E7DD3" w:rsidRPr="00F976B4">
        <w:rPr>
          <w:rFonts w:ascii="Arial" w:hAnsi="Arial" w:cs="Arial"/>
        </w:rPr>
        <w:t>ing</w:t>
      </w:r>
      <w:r w:rsidR="009E2607" w:rsidRPr="00F976B4">
        <w:rPr>
          <w:rFonts w:ascii="Arial" w:hAnsi="Arial" w:cs="Arial"/>
        </w:rPr>
        <w:t xml:space="preserve"> the king without his servants noticing</w:t>
      </w:r>
      <w:r w:rsidR="001E7DD3" w:rsidRPr="00F976B4">
        <w:rPr>
          <w:rFonts w:ascii="Arial" w:hAnsi="Arial" w:cs="Arial"/>
        </w:rPr>
        <w:t>?</w:t>
      </w:r>
      <w:r w:rsidR="009E2607" w:rsidRPr="009665A6">
        <w:rPr>
          <w:rStyle w:val="FootnoteCharacters"/>
          <w:rFonts w:ascii="Arial" w:hAnsi="Arial" w:cs="Arial"/>
          <w:sz w:val="24"/>
          <w:szCs w:val="24"/>
          <w:vertAlign w:val="superscript"/>
        </w:rPr>
        <w:footnoteReference w:id="13"/>
      </w:r>
      <w:r w:rsidR="009E2607" w:rsidRPr="00F976B4">
        <w:rPr>
          <w:rFonts w:ascii="Arial" w:hAnsi="Arial" w:cs="Arial"/>
        </w:rPr>
        <w:t xml:space="preserve"> </w:t>
      </w:r>
      <w:r w:rsidR="001E7DD3" w:rsidRPr="00F976B4">
        <w:rPr>
          <w:rFonts w:ascii="Arial" w:hAnsi="Arial" w:cs="Arial"/>
        </w:rPr>
        <w:t xml:space="preserve"> </w:t>
      </w:r>
      <w:r w:rsidR="009E2607" w:rsidRPr="00F976B4">
        <w:rPr>
          <w:rFonts w:ascii="Arial" w:hAnsi="Arial" w:cs="Arial"/>
        </w:rPr>
        <w:t>However, at the end of the day, the reader responds to the entire sentenc</w:t>
      </w:r>
      <w:r w:rsidR="001E7DD3" w:rsidRPr="00F976B4">
        <w:rPr>
          <w:rFonts w:ascii="Arial" w:hAnsi="Arial" w:cs="Arial"/>
        </w:rPr>
        <w:t xml:space="preserve">e: Ehud brings the gift to </w:t>
      </w:r>
      <w:r w:rsidR="009E2607" w:rsidRPr="00F976B4">
        <w:rPr>
          <w:rFonts w:ascii="Arial" w:hAnsi="Arial" w:cs="Arial"/>
        </w:rPr>
        <w:t xml:space="preserve">Eglon, and </w:t>
      </w:r>
      <w:r w:rsidR="001E7DD3" w:rsidRPr="00F976B4">
        <w:rPr>
          <w:rFonts w:ascii="Arial" w:hAnsi="Arial" w:cs="Arial"/>
        </w:rPr>
        <w:t>t</w:t>
      </w:r>
      <w:r w:rsidR="009E2607" w:rsidRPr="00F976B4">
        <w:rPr>
          <w:rFonts w:ascii="Arial" w:hAnsi="Arial" w:cs="Arial"/>
        </w:rPr>
        <w:t xml:space="preserve">he </w:t>
      </w:r>
      <w:r w:rsidR="001E7DD3" w:rsidRPr="00F976B4">
        <w:rPr>
          <w:rFonts w:ascii="Arial" w:hAnsi="Arial" w:cs="Arial"/>
        </w:rPr>
        <w:t xml:space="preserve">king </w:t>
      </w:r>
      <w:r w:rsidR="009E2607" w:rsidRPr="00F976B4">
        <w:rPr>
          <w:rFonts w:ascii="Arial" w:hAnsi="Arial" w:cs="Arial"/>
        </w:rPr>
        <w:t>is a very corpulent man</w:t>
      </w:r>
      <w:r w:rsidR="004168D9" w:rsidRPr="00F976B4">
        <w:rPr>
          <w:rFonts w:ascii="Arial" w:hAnsi="Arial" w:cs="Arial"/>
        </w:rPr>
        <w:t xml:space="preserve">.  </w:t>
      </w:r>
      <w:r w:rsidR="009E2607" w:rsidRPr="00F976B4">
        <w:rPr>
          <w:rFonts w:ascii="Arial" w:hAnsi="Arial" w:cs="Arial"/>
        </w:rPr>
        <w:t>In light of the context, it appears that the verse want</w:t>
      </w:r>
      <w:r w:rsidR="009665A6">
        <w:rPr>
          <w:rFonts w:ascii="Arial" w:hAnsi="Arial" w:cs="Arial"/>
        </w:rPr>
        <w:t>s</w:t>
      </w:r>
      <w:r w:rsidR="009E2607" w:rsidRPr="00F976B4">
        <w:rPr>
          <w:rFonts w:ascii="Arial" w:hAnsi="Arial" w:cs="Arial"/>
        </w:rPr>
        <w:t xml:space="preserve"> to mock the obese king</w:t>
      </w:r>
      <w:r w:rsidR="001E7DD3" w:rsidRPr="00F976B4">
        <w:rPr>
          <w:rFonts w:ascii="Arial" w:hAnsi="Arial" w:cs="Arial"/>
        </w:rPr>
        <w:t>,</w:t>
      </w:r>
      <w:r w:rsidR="002B071A" w:rsidRPr="00F976B4">
        <w:rPr>
          <w:rFonts w:ascii="Arial" w:hAnsi="Arial" w:cs="Arial"/>
        </w:rPr>
        <w:t xml:space="preserve"> who is presented as one before whom a</w:t>
      </w:r>
      <w:r w:rsidR="001E7DD3" w:rsidRPr="00F976B4">
        <w:rPr>
          <w:rFonts w:ascii="Arial" w:hAnsi="Arial" w:cs="Arial"/>
        </w:rPr>
        <w:t xml:space="preserve"> large tribute is being brought; indeed, </w:t>
      </w:r>
      <w:r w:rsidR="002B071A" w:rsidRPr="00F976B4">
        <w:rPr>
          <w:rFonts w:ascii="Arial" w:hAnsi="Arial" w:cs="Arial"/>
        </w:rPr>
        <w:t>the monarch requires many tributes such as these, as Eglon (recalling “</w:t>
      </w:r>
      <w:r w:rsidR="002B071A" w:rsidRPr="00F976B4">
        <w:rPr>
          <w:rFonts w:ascii="Arial" w:hAnsi="Arial" w:cs="Arial"/>
          <w:i/>
          <w:iCs/>
        </w:rPr>
        <w:t>egel</w:t>
      </w:r>
      <w:r w:rsidR="002B071A" w:rsidRPr="00F976B4">
        <w:rPr>
          <w:rFonts w:ascii="Arial" w:hAnsi="Arial" w:cs="Arial"/>
        </w:rPr>
        <w:t>”, a [fatted] calf?) likes to eat a lot</w:t>
      </w:r>
      <w:r w:rsidR="009665A6">
        <w:rPr>
          <w:rFonts w:ascii="Arial" w:hAnsi="Arial" w:cs="Arial"/>
        </w:rPr>
        <w:t>.</w:t>
      </w:r>
      <w:r w:rsidR="004168D9" w:rsidRPr="00F976B4">
        <w:rPr>
          <w:rFonts w:ascii="Arial" w:hAnsi="Arial" w:cs="Arial"/>
        </w:rPr>
        <w:t xml:space="preserve"> </w:t>
      </w:r>
      <w:r w:rsidR="002B071A" w:rsidRPr="00F976B4">
        <w:rPr>
          <w:rFonts w:ascii="Arial" w:hAnsi="Arial" w:cs="Arial"/>
        </w:rPr>
        <w:t xml:space="preserve">Delaying the presentation of the king until this stage of the narrative </w:t>
      </w:r>
      <w:r w:rsidR="003C1EC2" w:rsidRPr="00F976B4">
        <w:rPr>
          <w:rFonts w:ascii="Arial" w:hAnsi="Arial" w:cs="Arial"/>
        </w:rPr>
        <w:t>implies</w:t>
      </w:r>
      <w:r w:rsidR="002B071A" w:rsidRPr="00F976B4">
        <w:rPr>
          <w:rFonts w:ascii="Arial" w:hAnsi="Arial" w:cs="Arial"/>
        </w:rPr>
        <w:t xml:space="preserve"> an additional </w:t>
      </w:r>
      <w:r w:rsidR="003C1EC2" w:rsidRPr="00F976B4">
        <w:rPr>
          <w:rFonts w:ascii="Arial" w:hAnsi="Arial" w:cs="Arial"/>
        </w:rPr>
        <w:t xml:space="preserve">layer of </w:t>
      </w:r>
      <w:r w:rsidR="002B071A" w:rsidRPr="00F976B4">
        <w:rPr>
          <w:rFonts w:ascii="Arial" w:hAnsi="Arial" w:cs="Arial"/>
        </w:rPr>
        <w:t xml:space="preserve">reading, allusive and </w:t>
      </w:r>
      <w:r w:rsidR="003C1EC2" w:rsidRPr="00F976B4">
        <w:rPr>
          <w:rFonts w:ascii="Arial" w:hAnsi="Arial" w:cs="Arial"/>
        </w:rPr>
        <w:t>biti</w:t>
      </w:r>
      <w:r w:rsidR="002B071A" w:rsidRPr="00F976B4">
        <w:rPr>
          <w:rFonts w:ascii="Arial" w:hAnsi="Arial" w:cs="Arial"/>
        </w:rPr>
        <w:t xml:space="preserve">ng, that </w:t>
      </w:r>
      <w:r w:rsidR="003C1EC2" w:rsidRPr="00F976B4">
        <w:rPr>
          <w:rFonts w:ascii="Arial" w:hAnsi="Arial" w:cs="Arial"/>
        </w:rPr>
        <w:t>would</w:t>
      </w:r>
      <w:r w:rsidR="002B071A" w:rsidRPr="00F976B4">
        <w:rPr>
          <w:rFonts w:ascii="Arial" w:hAnsi="Arial" w:cs="Arial"/>
        </w:rPr>
        <w:t xml:space="preserve"> not be realized if this expositional detail were mentioned in the introduction of the narrative.</w:t>
      </w:r>
      <w:r w:rsidR="002B071A" w:rsidRPr="009665A6">
        <w:rPr>
          <w:rStyle w:val="FootnoteCharacters"/>
          <w:rFonts w:ascii="Arial" w:hAnsi="Arial" w:cs="Arial"/>
          <w:sz w:val="24"/>
          <w:szCs w:val="24"/>
          <w:vertAlign w:val="superscript"/>
        </w:rPr>
        <w:footnoteReference w:id="14"/>
      </w:r>
      <w:r w:rsidR="002B071A" w:rsidRPr="00F976B4">
        <w:rPr>
          <w:rFonts w:ascii="Arial" w:hAnsi="Arial" w:cs="Arial"/>
        </w:rPr>
        <w:t xml:space="preserve">  </w:t>
      </w:r>
    </w:p>
    <w:p w:rsidR="004C2C25" w:rsidRDefault="004C2C25" w:rsidP="004C2C25">
      <w:pPr>
        <w:pStyle w:val="subatop"/>
        <w:spacing w:before="0" w:beforeAutospacing="0" w:after="0" w:afterAutospacing="0"/>
        <w:ind w:firstLine="360"/>
        <w:jc w:val="both"/>
        <w:rPr>
          <w:rFonts w:ascii="Arial" w:hAnsi="Arial" w:cs="Arial"/>
        </w:rPr>
      </w:pPr>
    </w:p>
    <w:p w:rsidR="002B071A" w:rsidRPr="00F976B4" w:rsidRDefault="002B071A" w:rsidP="004C2C25">
      <w:pPr>
        <w:pStyle w:val="subatop"/>
        <w:spacing w:before="0" w:beforeAutospacing="0" w:after="0" w:afterAutospacing="0"/>
        <w:ind w:firstLine="720"/>
        <w:jc w:val="both"/>
        <w:rPr>
          <w:rFonts w:ascii="Arial" w:hAnsi="Arial" w:cs="Arial"/>
        </w:rPr>
      </w:pPr>
      <w:r w:rsidRPr="00F976B4">
        <w:rPr>
          <w:rFonts w:ascii="Arial" w:hAnsi="Arial" w:cs="Arial"/>
        </w:rPr>
        <w:t xml:space="preserve">In </w:t>
      </w:r>
      <w:r w:rsidR="003C1EC2" w:rsidRPr="00F976B4">
        <w:rPr>
          <w:rFonts w:ascii="Arial" w:hAnsi="Arial" w:cs="Arial"/>
        </w:rPr>
        <w:t>my</w:t>
      </w:r>
      <w:r w:rsidRPr="00F976B4">
        <w:rPr>
          <w:rFonts w:ascii="Arial" w:hAnsi="Arial" w:cs="Arial"/>
        </w:rPr>
        <w:t xml:space="preserve"> series of lectures on the Book of Esther </w:t>
      </w:r>
      <w:r w:rsidR="003C1EC2" w:rsidRPr="00F976B4">
        <w:rPr>
          <w:rFonts w:ascii="Arial" w:hAnsi="Arial" w:cs="Arial"/>
        </w:rPr>
        <w:t>(</w:t>
      </w:r>
      <w:r w:rsidRPr="00F976B4">
        <w:rPr>
          <w:rFonts w:ascii="Arial" w:hAnsi="Arial" w:cs="Arial"/>
        </w:rPr>
        <w:t>disseminated through this forum</w:t>
      </w:r>
      <w:r w:rsidR="003C1EC2" w:rsidRPr="00F976B4">
        <w:rPr>
          <w:rFonts w:ascii="Arial" w:hAnsi="Arial" w:cs="Arial"/>
        </w:rPr>
        <w:t>)</w:t>
      </w:r>
      <w:r w:rsidRPr="00F976B4">
        <w:rPr>
          <w:rFonts w:ascii="Arial" w:hAnsi="Arial" w:cs="Arial"/>
        </w:rPr>
        <w:t xml:space="preserve">, </w:t>
      </w:r>
      <w:r w:rsidR="003C1EC2" w:rsidRPr="00F976B4">
        <w:rPr>
          <w:rFonts w:ascii="Arial" w:hAnsi="Arial" w:cs="Arial"/>
        </w:rPr>
        <w:t>I</w:t>
      </w:r>
      <w:r w:rsidRPr="00F976B4">
        <w:rPr>
          <w:rFonts w:ascii="Arial" w:hAnsi="Arial" w:cs="Arial"/>
        </w:rPr>
        <w:t xml:space="preserve"> have pointed out the late exposition presenting Mordekhai and Est</w:t>
      </w:r>
      <w:r w:rsidR="009665A6">
        <w:rPr>
          <w:rFonts w:ascii="Arial" w:hAnsi="Arial" w:cs="Arial"/>
        </w:rPr>
        <w:t>h</w:t>
      </w:r>
      <w:r w:rsidRPr="00F976B4">
        <w:rPr>
          <w:rFonts w:ascii="Arial" w:hAnsi="Arial" w:cs="Arial"/>
        </w:rPr>
        <w:t>e</w:t>
      </w:r>
      <w:r w:rsidR="009665A6">
        <w:rPr>
          <w:rFonts w:ascii="Arial" w:hAnsi="Arial" w:cs="Arial"/>
        </w:rPr>
        <w:t>r in c</w:t>
      </w:r>
      <w:r w:rsidRPr="00F976B4">
        <w:rPr>
          <w:rFonts w:ascii="Arial" w:hAnsi="Arial" w:cs="Arial"/>
        </w:rPr>
        <w:t>hapter 2 (and not in the opening scene)</w:t>
      </w:r>
      <w:r w:rsidR="004168D9" w:rsidRPr="00F976B4">
        <w:rPr>
          <w:rFonts w:ascii="Arial" w:hAnsi="Arial" w:cs="Arial"/>
        </w:rPr>
        <w:t xml:space="preserve">.  </w:t>
      </w:r>
      <w:r w:rsidR="009665A6">
        <w:rPr>
          <w:rFonts w:ascii="Arial" w:hAnsi="Arial" w:cs="Arial"/>
        </w:rPr>
        <w:t>F</w:t>
      </w:r>
      <w:r w:rsidRPr="00F976B4">
        <w:rPr>
          <w:rFonts w:ascii="Arial" w:hAnsi="Arial" w:cs="Arial"/>
        </w:rPr>
        <w:t>irst, the reader is informed that they are looking for a new ma</w:t>
      </w:r>
      <w:r w:rsidR="009665A6">
        <w:rPr>
          <w:rFonts w:ascii="Arial" w:hAnsi="Arial" w:cs="Arial"/>
        </w:rPr>
        <w:t>iden to reign in Vashti’s stead;</w:t>
      </w:r>
      <w:r w:rsidRPr="00F976B4">
        <w:rPr>
          <w:rFonts w:ascii="Arial" w:hAnsi="Arial" w:cs="Arial"/>
        </w:rPr>
        <w:t xml:space="preserve"> this is </w:t>
      </w:r>
      <w:r w:rsidR="007F6D1E" w:rsidRPr="00F976B4">
        <w:rPr>
          <w:rFonts w:ascii="Arial" w:hAnsi="Arial" w:cs="Arial"/>
        </w:rPr>
        <w:t>said already before the presentation of Mordekhai and Est</w:t>
      </w:r>
      <w:r w:rsidR="009665A6">
        <w:rPr>
          <w:rFonts w:ascii="Arial" w:hAnsi="Arial" w:cs="Arial"/>
        </w:rPr>
        <w:t>h</w:t>
      </w:r>
      <w:r w:rsidR="007F6D1E" w:rsidRPr="00F976B4">
        <w:rPr>
          <w:rFonts w:ascii="Arial" w:hAnsi="Arial" w:cs="Arial"/>
        </w:rPr>
        <w:t>er (2:3-4):</w:t>
      </w:r>
      <w:r w:rsidRPr="00F976B4">
        <w:rPr>
          <w:rFonts w:ascii="Arial" w:hAnsi="Arial" w:cs="Arial"/>
        </w:rPr>
        <w:t xml:space="preserve"> </w:t>
      </w:r>
    </w:p>
    <w:p w:rsidR="004C2C25" w:rsidRDefault="004C2C25" w:rsidP="004C2C25">
      <w:pPr>
        <w:pStyle w:val="standardtop"/>
        <w:spacing w:before="0" w:beforeAutospacing="0" w:after="0" w:afterAutospacing="0"/>
        <w:ind w:left="720"/>
        <w:jc w:val="both"/>
        <w:rPr>
          <w:rFonts w:ascii="Arial" w:hAnsi="Arial" w:cs="Arial"/>
        </w:rPr>
      </w:pPr>
    </w:p>
    <w:p w:rsidR="002B071A" w:rsidRPr="00F976B4" w:rsidRDefault="003C1EC2" w:rsidP="004C2C25">
      <w:pPr>
        <w:pStyle w:val="standardtop"/>
        <w:spacing w:before="0" w:beforeAutospacing="0" w:after="0" w:afterAutospacing="0"/>
        <w:ind w:left="720"/>
        <w:jc w:val="both"/>
        <w:rPr>
          <w:rFonts w:ascii="Arial" w:hAnsi="Arial" w:cs="Arial"/>
        </w:rPr>
      </w:pPr>
      <w:r w:rsidRPr="00F976B4">
        <w:rPr>
          <w:rFonts w:ascii="Arial" w:hAnsi="Arial" w:cs="Arial"/>
        </w:rPr>
        <w:t>“</w:t>
      </w:r>
      <w:r w:rsidR="002B071A" w:rsidRPr="00F976B4">
        <w:rPr>
          <w:rFonts w:ascii="Arial" w:hAnsi="Arial" w:cs="Arial"/>
        </w:rPr>
        <w:t xml:space="preserve">Let the king appoint </w:t>
      </w:r>
      <w:r w:rsidR="00741978" w:rsidRPr="00F976B4">
        <w:rPr>
          <w:rFonts w:ascii="Arial" w:hAnsi="Arial" w:cs="Arial"/>
        </w:rPr>
        <w:t>agents</w:t>
      </w:r>
      <w:r w:rsidR="002B071A" w:rsidRPr="00F976B4">
        <w:rPr>
          <w:rFonts w:ascii="Arial" w:hAnsi="Arial" w:cs="Arial"/>
        </w:rPr>
        <w:t xml:space="preserve"> in every province of his realm to bring all the</w:t>
      </w:r>
      <w:r w:rsidR="007F6D1E" w:rsidRPr="00F976B4">
        <w:rPr>
          <w:rFonts w:ascii="Arial" w:hAnsi="Arial" w:cs="Arial"/>
        </w:rPr>
        <w:t xml:space="preserve"> </w:t>
      </w:r>
      <w:r w:rsidR="00741978" w:rsidRPr="00F976B4">
        <w:rPr>
          <w:rFonts w:ascii="Arial" w:hAnsi="Arial" w:cs="Arial"/>
        </w:rPr>
        <w:t>virgin</w:t>
      </w:r>
      <w:r w:rsidR="007F6D1E" w:rsidRPr="00F976B4">
        <w:rPr>
          <w:rFonts w:ascii="Arial" w:hAnsi="Arial" w:cs="Arial"/>
        </w:rPr>
        <w:t xml:space="preserve"> girls </w:t>
      </w:r>
      <w:r w:rsidR="007F6D1E" w:rsidRPr="00F976B4">
        <w:rPr>
          <w:rFonts w:ascii="Arial" w:hAnsi="Arial" w:cs="Arial"/>
          <w:b/>
          <w:bCs/>
        </w:rPr>
        <w:t xml:space="preserve">of </w:t>
      </w:r>
      <w:r w:rsidR="00C15DDB" w:rsidRPr="00F976B4">
        <w:rPr>
          <w:rFonts w:ascii="Arial" w:hAnsi="Arial" w:cs="Arial"/>
          <w:b/>
          <w:bCs/>
        </w:rPr>
        <w:t>good</w:t>
      </w:r>
      <w:r w:rsidR="007F6D1E" w:rsidRPr="00F976B4">
        <w:rPr>
          <w:rFonts w:ascii="Arial" w:hAnsi="Arial" w:cs="Arial"/>
          <w:b/>
          <w:bCs/>
        </w:rPr>
        <w:t xml:space="preserve"> appearance</w:t>
      </w:r>
      <w:r w:rsidR="002B071A" w:rsidRPr="00F976B4">
        <w:rPr>
          <w:rFonts w:ascii="Arial" w:hAnsi="Arial" w:cs="Arial"/>
        </w:rPr>
        <w:t xml:space="preserve"> into the harem at the citadel of Susa</w:t>
      </w:r>
      <w:r w:rsidR="004168D9" w:rsidRPr="00F976B4">
        <w:rPr>
          <w:rFonts w:ascii="Arial" w:hAnsi="Arial" w:cs="Arial"/>
        </w:rPr>
        <w:t xml:space="preserve">.  </w:t>
      </w:r>
      <w:r w:rsidR="002B071A" w:rsidRPr="00F976B4">
        <w:rPr>
          <w:rFonts w:ascii="Arial" w:hAnsi="Arial" w:cs="Arial"/>
        </w:rPr>
        <w:t>Let them be placed under the care of Heg</w:t>
      </w:r>
      <w:r w:rsidR="007F6D1E" w:rsidRPr="00F976B4">
        <w:rPr>
          <w:rFonts w:ascii="Arial" w:hAnsi="Arial" w:cs="Arial"/>
        </w:rPr>
        <w:t>eh</w:t>
      </w:r>
      <w:r w:rsidR="002B071A" w:rsidRPr="00F976B4">
        <w:rPr>
          <w:rFonts w:ascii="Arial" w:hAnsi="Arial" w:cs="Arial"/>
        </w:rPr>
        <w:t>, the king’s eunuch, who is in charge of the women; and let beauty treatments be given to them</w:t>
      </w:r>
      <w:r w:rsidR="004168D9" w:rsidRPr="00F976B4">
        <w:rPr>
          <w:rFonts w:ascii="Arial" w:hAnsi="Arial" w:cs="Arial"/>
        </w:rPr>
        <w:t xml:space="preserve">.  </w:t>
      </w:r>
      <w:r w:rsidR="00FE7598" w:rsidRPr="00F976B4">
        <w:rPr>
          <w:rFonts w:ascii="Arial" w:hAnsi="Arial" w:cs="Arial"/>
        </w:rPr>
        <w:t xml:space="preserve">And </w:t>
      </w:r>
      <w:r w:rsidR="002B071A" w:rsidRPr="00F976B4">
        <w:rPr>
          <w:rFonts w:ascii="Arial" w:hAnsi="Arial" w:cs="Arial"/>
        </w:rPr>
        <w:t xml:space="preserve">the girl who pleases the king </w:t>
      </w:r>
      <w:r w:rsidR="00FE7598" w:rsidRPr="00F976B4">
        <w:rPr>
          <w:rFonts w:ascii="Arial" w:hAnsi="Arial" w:cs="Arial"/>
        </w:rPr>
        <w:t>will reign in Va</w:t>
      </w:r>
      <w:r w:rsidR="007F6D1E" w:rsidRPr="00F976B4">
        <w:rPr>
          <w:rFonts w:ascii="Arial" w:hAnsi="Arial" w:cs="Arial"/>
        </w:rPr>
        <w:t>shti</w:t>
      </w:r>
      <w:r w:rsidR="00FE7598" w:rsidRPr="00F976B4">
        <w:rPr>
          <w:rFonts w:ascii="Arial" w:hAnsi="Arial" w:cs="Arial"/>
        </w:rPr>
        <w:t>’s stead</w:t>
      </w:r>
      <w:r w:rsidR="007F6D1E" w:rsidRPr="00F976B4">
        <w:rPr>
          <w:rFonts w:ascii="Arial" w:hAnsi="Arial" w:cs="Arial"/>
        </w:rPr>
        <w:t xml:space="preserve">.” </w:t>
      </w:r>
      <w:r w:rsidRPr="00F976B4">
        <w:rPr>
          <w:rFonts w:ascii="Arial" w:hAnsi="Arial" w:cs="Arial"/>
        </w:rPr>
        <w:t xml:space="preserve"> </w:t>
      </w:r>
      <w:r w:rsidR="007F6D1E" w:rsidRPr="00F976B4">
        <w:rPr>
          <w:rFonts w:ascii="Arial" w:hAnsi="Arial" w:cs="Arial"/>
        </w:rPr>
        <w:t>And the matter pleased the king, and he did so</w:t>
      </w:r>
      <w:r w:rsidR="004168D9" w:rsidRPr="00F976B4">
        <w:rPr>
          <w:rFonts w:ascii="Arial" w:hAnsi="Arial" w:cs="Arial"/>
        </w:rPr>
        <w:t xml:space="preserve">.  </w:t>
      </w:r>
    </w:p>
    <w:p w:rsidR="003C1EC2" w:rsidRPr="00F976B4" w:rsidRDefault="003C1EC2" w:rsidP="004C2C25">
      <w:pPr>
        <w:pStyle w:val="standardtop"/>
        <w:spacing w:before="0" w:beforeAutospacing="0" w:after="0" w:afterAutospacing="0"/>
        <w:ind w:left="720"/>
        <w:jc w:val="both"/>
        <w:rPr>
          <w:rFonts w:ascii="Arial" w:hAnsi="Arial" w:cs="Arial"/>
        </w:rPr>
      </w:pPr>
    </w:p>
    <w:p w:rsidR="007F6D1E" w:rsidRDefault="007F6D1E" w:rsidP="004C2C25">
      <w:pPr>
        <w:pStyle w:val="standardtop"/>
        <w:spacing w:before="0" w:beforeAutospacing="0" w:after="0" w:afterAutospacing="0"/>
        <w:ind w:firstLine="720"/>
        <w:jc w:val="both"/>
        <w:rPr>
          <w:rFonts w:ascii="Arial" w:hAnsi="Arial" w:cs="Arial"/>
        </w:rPr>
      </w:pPr>
      <w:r w:rsidRPr="00F976B4">
        <w:rPr>
          <w:rFonts w:ascii="Arial" w:hAnsi="Arial" w:cs="Arial"/>
        </w:rPr>
        <w:t xml:space="preserve">Only after </w:t>
      </w:r>
      <w:r w:rsidR="003C1EC2" w:rsidRPr="00F976B4">
        <w:rPr>
          <w:rFonts w:ascii="Arial" w:hAnsi="Arial" w:cs="Arial"/>
        </w:rPr>
        <w:t xml:space="preserve">relating these facts does </w:t>
      </w:r>
      <w:r w:rsidR="00A95668" w:rsidRPr="00F976B4">
        <w:rPr>
          <w:rFonts w:ascii="Arial" w:hAnsi="Arial" w:cs="Arial"/>
        </w:rPr>
        <w:t>Scripture</w:t>
      </w:r>
      <w:r w:rsidR="003C1EC2" w:rsidRPr="00F976B4">
        <w:rPr>
          <w:rFonts w:ascii="Arial" w:hAnsi="Arial" w:cs="Arial"/>
        </w:rPr>
        <w:t xml:space="preserve"> (vv. 5-7) introduce M</w:t>
      </w:r>
      <w:r w:rsidR="00741978" w:rsidRPr="00F976B4">
        <w:rPr>
          <w:rFonts w:ascii="Arial" w:hAnsi="Arial" w:cs="Arial"/>
        </w:rPr>
        <w:t>ordekhai</w:t>
      </w:r>
      <w:r w:rsidR="003C1EC2" w:rsidRPr="00F976B4">
        <w:rPr>
          <w:rFonts w:ascii="Arial" w:hAnsi="Arial" w:cs="Arial"/>
        </w:rPr>
        <w:t xml:space="preserve"> and Est</w:t>
      </w:r>
      <w:r w:rsidR="009665A6">
        <w:rPr>
          <w:rFonts w:ascii="Arial" w:hAnsi="Arial" w:cs="Arial"/>
        </w:rPr>
        <w:t>h</w:t>
      </w:r>
      <w:r w:rsidR="003C1EC2" w:rsidRPr="00F976B4">
        <w:rPr>
          <w:rFonts w:ascii="Arial" w:hAnsi="Arial" w:cs="Arial"/>
        </w:rPr>
        <w:t xml:space="preserve">er </w:t>
      </w:r>
      <w:r w:rsidRPr="00F976B4">
        <w:rPr>
          <w:rFonts w:ascii="Arial" w:hAnsi="Arial" w:cs="Arial"/>
        </w:rPr>
        <w:t>(with a stress on the latter’s beauty):</w:t>
      </w:r>
    </w:p>
    <w:p w:rsidR="004C2C25" w:rsidRPr="00F976B4" w:rsidRDefault="004C2C25" w:rsidP="004C2C25">
      <w:pPr>
        <w:pStyle w:val="standardtop"/>
        <w:spacing w:before="0" w:beforeAutospacing="0" w:after="0" w:afterAutospacing="0"/>
        <w:ind w:firstLine="360"/>
        <w:jc w:val="both"/>
        <w:rPr>
          <w:rFonts w:ascii="Arial" w:hAnsi="Arial" w:cs="Arial"/>
        </w:rPr>
      </w:pPr>
    </w:p>
    <w:p w:rsidR="008E403C" w:rsidRPr="00F976B4" w:rsidRDefault="002B071A" w:rsidP="004C2C25">
      <w:pPr>
        <w:pStyle w:val="npst"/>
        <w:spacing w:before="0" w:beforeAutospacing="0" w:after="0" w:afterAutospacing="0"/>
        <w:ind w:left="720"/>
        <w:jc w:val="both"/>
        <w:rPr>
          <w:rFonts w:ascii="Arial" w:hAnsi="Arial" w:cs="Arial"/>
        </w:rPr>
      </w:pPr>
      <w:r w:rsidRPr="00F976B4">
        <w:rPr>
          <w:rFonts w:ascii="Arial" w:hAnsi="Arial" w:cs="Arial"/>
        </w:rPr>
        <w:t>Now there was in the citadel of S</w:t>
      </w:r>
      <w:r w:rsidR="003C1EC2" w:rsidRPr="00F976B4">
        <w:rPr>
          <w:rFonts w:ascii="Arial" w:hAnsi="Arial" w:cs="Arial"/>
        </w:rPr>
        <w:t>h</w:t>
      </w:r>
      <w:r w:rsidRPr="00F976B4">
        <w:rPr>
          <w:rFonts w:ascii="Arial" w:hAnsi="Arial" w:cs="Arial"/>
        </w:rPr>
        <w:t>us</w:t>
      </w:r>
      <w:r w:rsidR="003C1EC2" w:rsidRPr="00F976B4">
        <w:rPr>
          <w:rFonts w:ascii="Arial" w:hAnsi="Arial" w:cs="Arial"/>
        </w:rPr>
        <w:t>h</w:t>
      </w:r>
      <w:r w:rsidRPr="00F976B4">
        <w:rPr>
          <w:rFonts w:ascii="Arial" w:hAnsi="Arial" w:cs="Arial"/>
        </w:rPr>
        <w:t>a</w:t>
      </w:r>
      <w:r w:rsidR="003C1EC2" w:rsidRPr="00F976B4">
        <w:rPr>
          <w:rFonts w:ascii="Arial" w:hAnsi="Arial" w:cs="Arial"/>
        </w:rPr>
        <w:t>n</w:t>
      </w:r>
      <w:r w:rsidRPr="00F976B4">
        <w:rPr>
          <w:rFonts w:ascii="Arial" w:hAnsi="Arial" w:cs="Arial"/>
        </w:rPr>
        <w:t xml:space="preserve"> a Jew</w:t>
      </w:r>
      <w:r w:rsidR="00741978" w:rsidRPr="00F976B4">
        <w:rPr>
          <w:rFonts w:ascii="Arial" w:hAnsi="Arial" w:cs="Arial"/>
        </w:rPr>
        <w:t xml:space="preserve"> named Morde</w:t>
      </w:r>
      <w:r w:rsidR="003C1EC2" w:rsidRPr="00F976B4">
        <w:rPr>
          <w:rFonts w:ascii="Arial" w:hAnsi="Arial" w:cs="Arial"/>
        </w:rPr>
        <w:t>kh</w:t>
      </w:r>
      <w:r w:rsidR="00741978" w:rsidRPr="00F976B4">
        <w:rPr>
          <w:rFonts w:ascii="Arial" w:hAnsi="Arial" w:cs="Arial"/>
        </w:rPr>
        <w:t>ai</w:t>
      </w:r>
      <w:r w:rsidR="003C1EC2" w:rsidRPr="00F976B4">
        <w:rPr>
          <w:rFonts w:ascii="Arial" w:hAnsi="Arial" w:cs="Arial"/>
        </w:rPr>
        <w:t>,</w:t>
      </w:r>
      <w:r w:rsidR="00741978" w:rsidRPr="00F976B4">
        <w:rPr>
          <w:rFonts w:ascii="Arial" w:hAnsi="Arial" w:cs="Arial"/>
        </w:rPr>
        <w:t xml:space="preserve"> son of Y</w:t>
      </w:r>
      <w:r w:rsidRPr="00F976B4">
        <w:rPr>
          <w:rFonts w:ascii="Arial" w:hAnsi="Arial" w:cs="Arial"/>
        </w:rPr>
        <w:t>a</w:t>
      </w:r>
      <w:r w:rsidR="003C1EC2" w:rsidRPr="00F976B4">
        <w:rPr>
          <w:rFonts w:ascii="Arial" w:hAnsi="Arial" w:cs="Arial"/>
        </w:rPr>
        <w:t>’ir, s</w:t>
      </w:r>
      <w:r w:rsidR="00741978" w:rsidRPr="00F976B4">
        <w:rPr>
          <w:rFonts w:ascii="Arial" w:hAnsi="Arial" w:cs="Arial"/>
        </w:rPr>
        <w:t>on of Shim</w:t>
      </w:r>
      <w:r w:rsidR="003C1EC2" w:rsidRPr="00F976B4">
        <w:rPr>
          <w:rFonts w:ascii="Arial" w:hAnsi="Arial" w:cs="Arial"/>
        </w:rPr>
        <w:t xml:space="preserve">i, </w:t>
      </w:r>
      <w:r w:rsidRPr="00F976B4">
        <w:rPr>
          <w:rFonts w:ascii="Arial" w:hAnsi="Arial" w:cs="Arial"/>
        </w:rPr>
        <w:t>son of Kish,</w:t>
      </w:r>
      <w:r w:rsidR="007F6D1E" w:rsidRPr="00F976B4">
        <w:rPr>
          <w:rFonts w:ascii="Arial" w:hAnsi="Arial" w:cs="Arial"/>
        </w:rPr>
        <w:t xml:space="preserve"> a Benjamite man…</w:t>
      </w:r>
      <w:r w:rsidRPr="00F976B4">
        <w:rPr>
          <w:rFonts w:ascii="Arial" w:hAnsi="Arial" w:cs="Arial"/>
        </w:rPr>
        <w:t xml:space="preserve"> </w:t>
      </w:r>
      <w:r w:rsidR="003C1EC2" w:rsidRPr="00F976B4">
        <w:rPr>
          <w:rFonts w:ascii="Arial" w:hAnsi="Arial" w:cs="Arial"/>
        </w:rPr>
        <w:t xml:space="preserve"> </w:t>
      </w:r>
      <w:r w:rsidR="008E403C" w:rsidRPr="00F976B4">
        <w:rPr>
          <w:rFonts w:ascii="Arial" w:hAnsi="Arial" w:cs="Arial"/>
        </w:rPr>
        <w:t xml:space="preserve">He was fostering </w:t>
      </w:r>
      <w:r w:rsidR="003C1EC2" w:rsidRPr="00F976B4">
        <w:rPr>
          <w:rFonts w:ascii="Arial" w:hAnsi="Arial" w:cs="Arial"/>
        </w:rPr>
        <w:t>Hadassa</w:t>
      </w:r>
      <w:r w:rsidR="00C15DDB" w:rsidRPr="00F976B4">
        <w:rPr>
          <w:rFonts w:ascii="Arial" w:hAnsi="Arial" w:cs="Arial"/>
        </w:rPr>
        <w:t xml:space="preserve"> — she is Ester</w:t>
      </w:r>
      <w:r w:rsidR="008E403C" w:rsidRPr="00F976B4">
        <w:rPr>
          <w:rFonts w:ascii="Arial" w:hAnsi="Arial" w:cs="Arial"/>
        </w:rPr>
        <w:t>, his cousin</w:t>
      </w:r>
      <w:r w:rsidR="00C15DDB" w:rsidRPr="00F976B4">
        <w:rPr>
          <w:rFonts w:ascii="Arial" w:hAnsi="Arial" w:cs="Arial"/>
        </w:rPr>
        <w:t xml:space="preserve"> — </w:t>
      </w:r>
      <w:r w:rsidR="008E403C" w:rsidRPr="00F976B4">
        <w:rPr>
          <w:rFonts w:ascii="Arial" w:hAnsi="Arial" w:cs="Arial"/>
        </w:rPr>
        <w:t>becau</w:t>
      </w:r>
      <w:r w:rsidRPr="00F976B4">
        <w:rPr>
          <w:rFonts w:ascii="Arial" w:hAnsi="Arial" w:cs="Arial"/>
        </w:rPr>
        <w:t>se she had neither father nor mother</w:t>
      </w:r>
      <w:r w:rsidR="004168D9" w:rsidRPr="00F976B4">
        <w:rPr>
          <w:rFonts w:ascii="Arial" w:hAnsi="Arial" w:cs="Arial"/>
          <w:b/>
          <w:bCs/>
        </w:rPr>
        <w:t xml:space="preserve">.  </w:t>
      </w:r>
      <w:r w:rsidRPr="00F976B4">
        <w:rPr>
          <w:rFonts w:ascii="Arial" w:hAnsi="Arial" w:cs="Arial"/>
          <w:b/>
          <w:bCs/>
        </w:rPr>
        <w:t>Th</w:t>
      </w:r>
      <w:r w:rsidR="00C15DDB" w:rsidRPr="00F976B4">
        <w:rPr>
          <w:rFonts w:ascii="Arial" w:hAnsi="Arial" w:cs="Arial"/>
          <w:b/>
          <w:bCs/>
        </w:rPr>
        <w:t>e girl was of beautiful form and good appearance</w:t>
      </w:r>
      <w:r w:rsidRPr="00F976B4">
        <w:rPr>
          <w:rFonts w:ascii="Arial" w:hAnsi="Arial" w:cs="Arial"/>
        </w:rPr>
        <w:t>, and Morde</w:t>
      </w:r>
      <w:r w:rsidR="003C1EC2" w:rsidRPr="00F976B4">
        <w:rPr>
          <w:rFonts w:ascii="Arial" w:hAnsi="Arial" w:cs="Arial"/>
        </w:rPr>
        <w:t>kh</w:t>
      </w:r>
      <w:r w:rsidRPr="00F976B4">
        <w:rPr>
          <w:rFonts w:ascii="Arial" w:hAnsi="Arial" w:cs="Arial"/>
        </w:rPr>
        <w:t>ai had taken her as his daughter when her father and mother died</w:t>
      </w:r>
      <w:r w:rsidR="004168D9" w:rsidRPr="00F976B4">
        <w:rPr>
          <w:rFonts w:ascii="Arial" w:hAnsi="Arial" w:cs="Arial"/>
        </w:rPr>
        <w:t xml:space="preserve">.  </w:t>
      </w:r>
    </w:p>
    <w:p w:rsidR="00C15DDB" w:rsidRPr="00F976B4" w:rsidRDefault="00994966" w:rsidP="004C2C25">
      <w:pPr>
        <w:pStyle w:val="npst"/>
        <w:spacing w:before="0" w:beforeAutospacing="0" w:after="0" w:afterAutospacing="0"/>
        <w:ind w:left="720"/>
        <w:jc w:val="both"/>
        <w:rPr>
          <w:rFonts w:ascii="Arial" w:hAnsi="Arial" w:cs="Arial"/>
        </w:rPr>
      </w:pPr>
      <w:r w:rsidRPr="00F976B4">
        <w:rPr>
          <w:rFonts w:ascii="Arial" w:hAnsi="Arial" w:cs="Arial"/>
        </w:rPr>
        <w:t xml:space="preserve">  </w:t>
      </w:r>
      <w:r w:rsidR="00320514" w:rsidRPr="00F976B4">
        <w:rPr>
          <w:rFonts w:ascii="Arial" w:hAnsi="Arial" w:cs="Arial"/>
        </w:rPr>
        <w:t xml:space="preserve"> </w:t>
      </w:r>
    </w:p>
    <w:p w:rsidR="00500578" w:rsidRPr="00F976B4" w:rsidRDefault="00C15DDB" w:rsidP="004C2C25">
      <w:pPr>
        <w:pStyle w:val="npst"/>
        <w:spacing w:before="0" w:beforeAutospacing="0" w:after="0" w:afterAutospacing="0"/>
        <w:ind w:firstLine="720"/>
        <w:jc w:val="both"/>
        <w:rPr>
          <w:rFonts w:ascii="Arial" w:hAnsi="Arial" w:cs="Arial"/>
        </w:rPr>
      </w:pPr>
      <w:r w:rsidRPr="00F976B4">
        <w:rPr>
          <w:rFonts w:ascii="Arial" w:hAnsi="Arial" w:cs="Arial"/>
        </w:rPr>
        <w:t xml:space="preserve">Naturally, the reader does not encounter the presentation of the </w:t>
      </w:r>
      <w:r w:rsidR="00741978" w:rsidRPr="00F976B4">
        <w:rPr>
          <w:rFonts w:ascii="Arial" w:hAnsi="Arial" w:cs="Arial"/>
        </w:rPr>
        <w:t>characters</w:t>
      </w:r>
      <w:r w:rsidRPr="00F976B4">
        <w:rPr>
          <w:rFonts w:ascii="Arial" w:hAnsi="Arial" w:cs="Arial"/>
        </w:rPr>
        <w:t xml:space="preserve"> in this instance in a neutral way; we are not talking about presenting characters in a vacuum, </w:t>
      </w:r>
      <w:r w:rsidR="00500578" w:rsidRPr="00F976B4">
        <w:rPr>
          <w:rFonts w:ascii="Arial" w:hAnsi="Arial" w:cs="Arial"/>
        </w:rPr>
        <w:t>so that at</w:t>
      </w:r>
      <w:r w:rsidRPr="00F976B4">
        <w:rPr>
          <w:rFonts w:ascii="Arial" w:hAnsi="Arial" w:cs="Arial"/>
        </w:rPr>
        <w:t xml:space="preserve"> t</w:t>
      </w:r>
      <w:r w:rsidR="00500578" w:rsidRPr="00F976B4">
        <w:rPr>
          <w:rFonts w:ascii="Arial" w:hAnsi="Arial" w:cs="Arial"/>
        </w:rPr>
        <w:t>he opening of the narrative</w:t>
      </w:r>
      <w:r w:rsidRPr="00F976B4">
        <w:rPr>
          <w:rFonts w:ascii="Arial" w:hAnsi="Arial" w:cs="Arial"/>
        </w:rPr>
        <w:t xml:space="preserve"> the reader does not know what is destined to happen</w:t>
      </w:r>
      <w:r w:rsidR="004168D9" w:rsidRPr="00F976B4">
        <w:rPr>
          <w:rFonts w:ascii="Arial" w:hAnsi="Arial" w:cs="Arial"/>
        </w:rPr>
        <w:t xml:space="preserve">.  </w:t>
      </w:r>
      <w:r w:rsidRPr="00F976B4">
        <w:rPr>
          <w:rFonts w:ascii="Arial" w:hAnsi="Arial" w:cs="Arial"/>
        </w:rPr>
        <w:t>Since we are already looking for a woman for the king, the discerning reader understands that Est</w:t>
      </w:r>
      <w:r w:rsidR="009665A6">
        <w:rPr>
          <w:rFonts w:ascii="Arial" w:hAnsi="Arial" w:cs="Arial"/>
        </w:rPr>
        <w:t>h</w:t>
      </w:r>
      <w:r w:rsidRPr="00F976B4">
        <w:rPr>
          <w:rFonts w:ascii="Arial" w:hAnsi="Arial" w:cs="Arial"/>
        </w:rPr>
        <w:t>er will be drawn into this.</w:t>
      </w:r>
      <w:r w:rsidR="00FE7598" w:rsidRPr="009665A6">
        <w:rPr>
          <w:rStyle w:val="FootnoteCharacters"/>
          <w:rFonts w:ascii="Arial" w:hAnsi="Arial" w:cs="Arial"/>
          <w:sz w:val="24"/>
          <w:szCs w:val="24"/>
          <w:vertAlign w:val="superscript"/>
        </w:rPr>
        <w:footnoteReference w:id="15"/>
      </w:r>
      <w:r w:rsidRPr="00F976B4">
        <w:rPr>
          <w:rFonts w:ascii="Arial" w:hAnsi="Arial" w:cs="Arial"/>
        </w:rPr>
        <w:t xml:space="preserve"> </w:t>
      </w:r>
      <w:r w:rsidR="00500578" w:rsidRPr="00F976B4">
        <w:rPr>
          <w:rFonts w:ascii="Arial" w:hAnsi="Arial" w:cs="Arial"/>
        </w:rPr>
        <w:t xml:space="preserve"> </w:t>
      </w:r>
      <w:r w:rsidRPr="00F976B4">
        <w:rPr>
          <w:rFonts w:ascii="Arial" w:hAnsi="Arial" w:cs="Arial"/>
        </w:rPr>
        <w:t xml:space="preserve">As we have already pointed out in our lectures on the Book of Esther, the </w:t>
      </w:r>
      <w:r w:rsidRPr="009665A6">
        <w:rPr>
          <w:rFonts w:ascii="Arial" w:hAnsi="Arial" w:cs="Arial"/>
          <w:i/>
          <w:iCs/>
        </w:rPr>
        <w:t>Midrash Rabba</w:t>
      </w:r>
      <w:r w:rsidRPr="00F976B4">
        <w:rPr>
          <w:rFonts w:ascii="Arial" w:hAnsi="Arial" w:cs="Arial"/>
        </w:rPr>
        <w:t xml:space="preserve"> (ad loc.) notes this point and even cites additional examples in which </w:t>
      </w:r>
      <w:r w:rsidR="00741978" w:rsidRPr="00F976B4">
        <w:rPr>
          <w:rFonts w:ascii="Arial" w:hAnsi="Arial" w:cs="Arial"/>
        </w:rPr>
        <w:t>characters</w:t>
      </w:r>
      <w:r w:rsidRPr="00F976B4">
        <w:rPr>
          <w:rFonts w:ascii="Arial" w:hAnsi="Arial" w:cs="Arial"/>
        </w:rPr>
        <w:t xml:space="preserve"> are presented in the midst of the plot, </w:t>
      </w:r>
      <w:r w:rsidR="00500578" w:rsidRPr="00F976B4">
        <w:rPr>
          <w:rFonts w:ascii="Arial" w:hAnsi="Arial" w:cs="Arial"/>
        </w:rPr>
        <w:t xml:space="preserve">at the point at </w:t>
      </w:r>
      <w:r w:rsidRPr="00F976B4">
        <w:rPr>
          <w:rFonts w:ascii="Arial" w:hAnsi="Arial" w:cs="Arial"/>
        </w:rPr>
        <w:t>which the</w:t>
      </w:r>
      <w:r w:rsidR="00500578" w:rsidRPr="00F976B4">
        <w:rPr>
          <w:rFonts w:ascii="Arial" w:hAnsi="Arial" w:cs="Arial"/>
        </w:rPr>
        <w:t xml:space="preserve"> powers that be</w:t>
      </w:r>
      <w:r w:rsidRPr="00F976B4">
        <w:rPr>
          <w:rFonts w:ascii="Arial" w:hAnsi="Arial" w:cs="Arial"/>
        </w:rPr>
        <w:t xml:space="preserve"> are looking for someone who is appropriate for that role in the narrative</w:t>
      </w:r>
      <w:r w:rsidR="009665A6">
        <w:rPr>
          <w:rFonts w:ascii="Arial" w:hAnsi="Arial" w:cs="Arial"/>
        </w:rPr>
        <w:t>:</w:t>
      </w:r>
    </w:p>
    <w:p w:rsidR="004C2C25" w:rsidRDefault="004C2C25" w:rsidP="004C2C25">
      <w:pPr>
        <w:pStyle w:val="npst"/>
        <w:spacing w:before="0" w:beforeAutospacing="0" w:after="0" w:afterAutospacing="0"/>
        <w:ind w:left="720"/>
        <w:jc w:val="both"/>
        <w:rPr>
          <w:rFonts w:ascii="Arial" w:hAnsi="Arial" w:cs="Arial"/>
        </w:rPr>
      </w:pPr>
    </w:p>
    <w:p w:rsidR="008E403C" w:rsidRPr="00F976B4" w:rsidRDefault="00FE7598" w:rsidP="004C2C25">
      <w:pPr>
        <w:pStyle w:val="npst"/>
        <w:spacing w:before="0" w:beforeAutospacing="0" w:after="0" w:afterAutospacing="0"/>
        <w:ind w:left="720"/>
        <w:jc w:val="both"/>
        <w:rPr>
          <w:rFonts w:ascii="Arial" w:hAnsi="Arial" w:cs="Arial"/>
        </w:rPr>
      </w:pPr>
      <w:r w:rsidRPr="00F976B4">
        <w:rPr>
          <w:rFonts w:ascii="Arial" w:hAnsi="Arial" w:cs="Arial"/>
        </w:rPr>
        <w:t>“And the girl who pleases the king will reign in Vashti’s stead</w:t>
      </w:r>
      <w:r w:rsidR="00500578" w:rsidRPr="00F976B4">
        <w:rPr>
          <w:rFonts w:ascii="Arial" w:hAnsi="Arial" w:cs="Arial"/>
        </w:rPr>
        <w:t>…</w:t>
      </w:r>
      <w:r w:rsidRPr="00F976B4">
        <w:rPr>
          <w:rFonts w:ascii="Arial" w:hAnsi="Arial" w:cs="Arial"/>
        </w:rPr>
        <w:t xml:space="preserve">” </w:t>
      </w:r>
      <w:r w:rsidR="009665A6">
        <w:rPr>
          <w:rFonts w:ascii="Arial" w:hAnsi="Arial" w:cs="Arial"/>
        </w:rPr>
        <w:t>W</w:t>
      </w:r>
      <w:r w:rsidRPr="00F976B4">
        <w:rPr>
          <w:rFonts w:ascii="Arial" w:hAnsi="Arial" w:cs="Arial"/>
        </w:rPr>
        <w:t xml:space="preserve">ho is fitting for this? Mordekhai: </w:t>
      </w:r>
      <w:r w:rsidRPr="00F976B4">
        <w:rPr>
          <w:rFonts w:ascii="Arial" w:hAnsi="Arial" w:cs="Arial"/>
          <w:b/>
          <w:bCs/>
        </w:rPr>
        <w:t>“</w:t>
      </w:r>
      <w:r w:rsidR="00500578" w:rsidRPr="00F976B4">
        <w:rPr>
          <w:rFonts w:ascii="Arial" w:hAnsi="Arial" w:cs="Arial"/>
        </w:rPr>
        <w:t>Now there was in the citadel of Shushan a Jew named Mordekhai</w:t>
      </w:r>
      <w:r w:rsidR="004168D9" w:rsidRPr="00F976B4">
        <w:rPr>
          <w:rFonts w:ascii="Arial" w:hAnsi="Arial" w:cs="Arial"/>
        </w:rPr>
        <w:t>.</w:t>
      </w:r>
      <w:r w:rsidR="009665A6">
        <w:rPr>
          <w:rFonts w:ascii="Arial" w:hAnsi="Arial" w:cs="Arial"/>
        </w:rPr>
        <w:t>”</w:t>
      </w:r>
      <w:r w:rsidR="004168D9" w:rsidRPr="00F976B4">
        <w:rPr>
          <w:rFonts w:ascii="Arial" w:hAnsi="Arial" w:cs="Arial"/>
        </w:rPr>
        <w:t xml:space="preserve">  </w:t>
      </w:r>
      <w:r w:rsidR="00741978" w:rsidRPr="00F976B4">
        <w:rPr>
          <w:rFonts w:ascii="Arial" w:hAnsi="Arial" w:cs="Arial"/>
        </w:rPr>
        <w:t>Similarly</w:t>
      </w:r>
      <w:r w:rsidRPr="00F976B4">
        <w:rPr>
          <w:rFonts w:ascii="Arial" w:hAnsi="Arial" w:cs="Arial"/>
        </w:rPr>
        <w:t xml:space="preserve">, “And God saw the </w:t>
      </w:r>
      <w:r w:rsidR="00741978" w:rsidRPr="00F976B4">
        <w:rPr>
          <w:rFonts w:ascii="Arial" w:hAnsi="Arial" w:cs="Arial"/>
        </w:rPr>
        <w:t>Israelites</w:t>
      </w:r>
      <w:r w:rsidRPr="00F976B4">
        <w:rPr>
          <w:rFonts w:ascii="Arial" w:hAnsi="Arial" w:cs="Arial"/>
        </w:rPr>
        <w:t>, and God knew” (</w:t>
      </w:r>
      <w:r w:rsidR="00741978" w:rsidRPr="009665A6">
        <w:rPr>
          <w:rFonts w:ascii="Arial" w:hAnsi="Arial" w:cs="Arial"/>
          <w:i/>
          <w:iCs/>
        </w:rPr>
        <w:t>Shemot</w:t>
      </w:r>
      <w:r w:rsidRPr="00F976B4">
        <w:rPr>
          <w:rFonts w:ascii="Arial" w:hAnsi="Arial" w:cs="Arial"/>
        </w:rPr>
        <w:t xml:space="preserve"> 2:25)</w:t>
      </w:r>
      <w:r w:rsidR="004168D9" w:rsidRPr="00F976B4">
        <w:rPr>
          <w:rFonts w:ascii="Arial" w:hAnsi="Arial" w:cs="Arial"/>
        </w:rPr>
        <w:t xml:space="preserve">.  </w:t>
      </w:r>
      <w:r w:rsidRPr="00F976B4">
        <w:rPr>
          <w:rFonts w:ascii="Arial" w:hAnsi="Arial" w:cs="Arial"/>
        </w:rPr>
        <w:t xml:space="preserve">Who is </w:t>
      </w:r>
      <w:r w:rsidR="00741978" w:rsidRPr="00F976B4">
        <w:rPr>
          <w:rFonts w:ascii="Arial" w:hAnsi="Arial" w:cs="Arial"/>
        </w:rPr>
        <w:t>fitting</w:t>
      </w:r>
      <w:r w:rsidRPr="00F976B4">
        <w:rPr>
          <w:rFonts w:ascii="Arial" w:hAnsi="Arial" w:cs="Arial"/>
        </w:rPr>
        <w:t xml:space="preserve"> for this matter?   Moshe: “And Moshe was </w:t>
      </w:r>
      <w:r w:rsidR="00AA261C" w:rsidRPr="00F976B4">
        <w:rPr>
          <w:rFonts w:ascii="Arial" w:hAnsi="Arial" w:cs="Arial"/>
        </w:rPr>
        <w:t>ten</w:t>
      </w:r>
      <w:r w:rsidRPr="00F976B4">
        <w:rPr>
          <w:rFonts w:ascii="Arial" w:hAnsi="Arial" w:cs="Arial"/>
        </w:rPr>
        <w:t>ding” (</w:t>
      </w:r>
      <w:r w:rsidR="00AA261C" w:rsidRPr="00F976B4">
        <w:rPr>
          <w:rFonts w:ascii="Arial" w:hAnsi="Arial" w:cs="Arial"/>
        </w:rPr>
        <w:t xml:space="preserve">ibid. </w:t>
      </w:r>
      <w:r w:rsidRPr="00F976B4">
        <w:rPr>
          <w:rFonts w:ascii="Arial" w:hAnsi="Arial" w:cs="Arial"/>
        </w:rPr>
        <w:t>3:1)</w:t>
      </w:r>
      <w:r w:rsidR="004168D9" w:rsidRPr="00F976B4">
        <w:rPr>
          <w:rFonts w:ascii="Arial" w:hAnsi="Arial" w:cs="Arial"/>
        </w:rPr>
        <w:t xml:space="preserve">.  </w:t>
      </w:r>
      <w:r w:rsidRPr="00F976B4">
        <w:rPr>
          <w:rFonts w:ascii="Arial" w:hAnsi="Arial" w:cs="Arial"/>
        </w:rPr>
        <w:t xml:space="preserve">Similarly, “And Shemuel said to the people: ‘Let each man go to this city…’” (I </w:t>
      </w:r>
      <w:r w:rsidRPr="009665A6">
        <w:rPr>
          <w:rFonts w:ascii="Arial" w:hAnsi="Arial" w:cs="Arial"/>
          <w:i/>
          <w:iCs/>
        </w:rPr>
        <w:t>Shemuel</w:t>
      </w:r>
      <w:r w:rsidRPr="00F976B4">
        <w:rPr>
          <w:rFonts w:ascii="Arial" w:hAnsi="Arial" w:cs="Arial"/>
        </w:rPr>
        <w:t xml:space="preserve"> 8:22); who is fitting for this matter? Shaul, as it says “And there was a man of Binyamin, and his name was Kish” (</w:t>
      </w:r>
      <w:r w:rsidR="00AA261C" w:rsidRPr="00F976B4">
        <w:rPr>
          <w:rFonts w:ascii="Arial" w:hAnsi="Arial" w:cs="Arial"/>
        </w:rPr>
        <w:t xml:space="preserve">ibid. </w:t>
      </w:r>
      <w:r w:rsidR="00500578" w:rsidRPr="00F976B4">
        <w:rPr>
          <w:rFonts w:ascii="Arial" w:hAnsi="Arial" w:cs="Arial"/>
        </w:rPr>
        <w:t>9:1)</w:t>
      </w:r>
      <w:r w:rsidR="004168D9" w:rsidRPr="00F976B4">
        <w:rPr>
          <w:rFonts w:ascii="Arial" w:hAnsi="Arial" w:cs="Arial"/>
        </w:rPr>
        <w:t xml:space="preserve">.  </w:t>
      </w:r>
      <w:r w:rsidRPr="00F976B4">
        <w:rPr>
          <w:rFonts w:ascii="Arial" w:hAnsi="Arial" w:cs="Arial"/>
        </w:rPr>
        <w:t>Similarly, “Shaul and all of Israel heard the words of the Philistine, and they trembled and they feared greatly” (</w:t>
      </w:r>
      <w:r w:rsidR="00AA261C" w:rsidRPr="00F976B4">
        <w:rPr>
          <w:rFonts w:ascii="Arial" w:hAnsi="Arial" w:cs="Arial"/>
        </w:rPr>
        <w:t xml:space="preserve">ibid. </w:t>
      </w:r>
      <w:r w:rsidRPr="00F976B4">
        <w:rPr>
          <w:rFonts w:ascii="Arial" w:hAnsi="Arial" w:cs="Arial"/>
        </w:rPr>
        <w:t>17:11)</w:t>
      </w:r>
      <w:r w:rsidR="004168D9" w:rsidRPr="00F976B4">
        <w:rPr>
          <w:rFonts w:ascii="Arial" w:hAnsi="Arial" w:cs="Arial"/>
        </w:rPr>
        <w:t xml:space="preserve">.  </w:t>
      </w:r>
      <w:r w:rsidRPr="00F976B4">
        <w:rPr>
          <w:rFonts w:ascii="Arial" w:hAnsi="Arial" w:cs="Arial"/>
        </w:rPr>
        <w:t xml:space="preserve">Who is </w:t>
      </w:r>
      <w:r w:rsidR="008E403C" w:rsidRPr="00F976B4">
        <w:rPr>
          <w:rFonts w:ascii="Arial" w:hAnsi="Arial" w:cs="Arial"/>
        </w:rPr>
        <w:t>fitting for this matter? David: “And David was the son of a man of Efrat”</w:t>
      </w:r>
      <w:r w:rsidR="009665A6">
        <w:rPr>
          <w:rFonts w:ascii="Arial" w:hAnsi="Arial" w:cs="Arial"/>
        </w:rPr>
        <w:t xml:space="preserve"> </w:t>
      </w:r>
      <w:r w:rsidR="009665A6" w:rsidRPr="009665A6">
        <w:rPr>
          <w:rFonts w:ascii="Arial" w:hAnsi="Arial" w:cs="Arial"/>
        </w:rPr>
        <w:t>(</w:t>
      </w:r>
      <w:proofErr w:type="gramStart"/>
      <w:r w:rsidR="009665A6" w:rsidRPr="009665A6">
        <w:rPr>
          <w:rFonts w:ascii="Arial" w:hAnsi="Arial" w:cs="Arial"/>
        </w:rPr>
        <w:t>ibid.,</w:t>
      </w:r>
      <w:proofErr w:type="gramEnd"/>
      <w:r w:rsidR="009665A6" w:rsidRPr="009665A6">
        <w:rPr>
          <w:rFonts w:ascii="Arial" w:hAnsi="Arial" w:cs="Arial"/>
        </w:rPr>
        <w:t xml:space="preserve"> v. 12)</w:t>
      </w:r>
      <w:r w:rsidR="009665A6">
        <w:rPr>
          <w:rFonts w:ascii="Arial" w:hAnsi="Arial" w:cs="Arial"/>
        </w:rPr>
        <w:t>.</w:t>
      </w:r>
      <w:r w:rsidR="004168D9" w:rsidRPr="00F976B4">
        <w:rPr>
          <w:rFonts w:ascii="Arial" w:hAnsi="Arial" w:cs="Arial"/>
        </w:rPr>
        <w:t xml:space="preserve">  </w:t>
      </w:r>
    </w:p>
    <w:p w:rsidR="00500578" w:rsidRPr="00F976B4" w:rsidRDefault="00500578" w:rsidP="004C2C25">
      <w:pPr>
        <w:pStyle w:val="npst"/>
        <w:spacing w:before="0" w:beforeAutospacing="0" w:after="0" w:afterAutospacing="0"/>
        <w:ind w:left="720"/>
        <w:jc w:val="both"/>
        <w:rPr>
          <w:rFonts w:ascii="Arial" w:hAnsi="Arial" w:cs="Arial"/>
        </w:rPr>
      </w:pPr>
    </w:p>
    <w:p w:rsidR="008E403C" w:rsidRPr="00F976B4" w:rsidRDefault="008E403C" w:rsidP="004C2C25">
      <w:pPr>
        <w:pStyle w:val="npst"/>
        <w:spacing w:before="0" w:beforeAutospacing="0" w:after="0" w:afterAutospacing="0"/>
        <w:ind w:firstLine="720"/>
        <w:jc w:val="both"/>
        <w:rPr>
          <w:rFonts w:ascii="Arial" w:hAnsi="Arial" w:cs="Arial"/>
        </w:rPr>
      </w:pPr>
      <w:r w:rsidRPr="00F976B4">
        <w:rPr>
          <w:rFonts w:ascii="Arial" w:hAnsi="Arial" w:cs="Arial"/>
        </w:rPr>
        <w:t xml:space="preserve">Gathering these four </w:t>
      </w:r>
      <w:r w:rsidR="00741978" w:rsidRPr="00F976B4">
        <w:rPr>
          <w:rFonts w:ascii="Arial" w:hAnsi="Arial" w:cs="Arial"/>
        </w:rPr>
        <w:t>narratives</w:t>
      </w:r>
      <w:r w:rsidRPr="00F976B4">
        <w:rPr>
          <w:rFonts w:ascii="Arial" w:hAnsi="Arial" w:cs="Arial"/>
        </w:rPr>
        <w:t xml:space="preserve"> — the selection of Moshe, the selection of Shaul, the selection of David and the selection of Mordekhai — under one roof, the </w:t>
      </w:r>
      <w:r w:rsidRPr="009665A6">
        <w:rPr>
          <w:rFonts w:ascii="Arial" w:hAnsi="Arial" w:cs="Arial"/>
          <w:i/>
          <w:iCs/>
        </w:rPr>
        <w:t>midrash</w:t>
      </w:r>
      <w:r w:rsidRPr="00F976B4">
        <w:rPr>
          <w:rFonts w:ascii="Arial" w:hAnsi="Arial" w:cs="Arial"/>
        </w:rPr>
        <w:t xml:space="preserve"> points to the late exposition which is revealed in all of these narratives.</w:t>
      </w:r>
    </w:p>
    <w:p w:rsidR="004C2C25" w:rsidRDefault="004C2C25" w:rsidP="004C2C25">
      <w:pPr>
        <w:pStyle w:val="npst"/>
        <w:spacing w:before="0" w:beforeAutospacing="0" w:after="0" w:afterAutospacing="0"/>
        <w:ind w:firstLine="720"/>
        <w:jc w:val="both"/>
        <w:rPr>
          <w:rFonts w:ascii="Arial" w:hAnsi="Arial" w:cs="Arial"/>
        </w:rPr>
      </w:pPr>
    </w:p>
    <w:p w:rsidR="008E403C" w:rsidRPr="00F976B4" w:rsidRDefault="008E403C" w:rsidP="004C2C25">
      <w:pPr>
        <w:pStyle w:val="npst"/>
        <w:spacing w:before="0" w:beforeAutospacing="0" w:after="0" w:afterAutospacing="0"/>
        <w:ind w:firstLine="720"/>
        <w:jc w:val="both"/>
        <w:rPr>
          <w:rStyle w:val="FootnoteCharacters"/>
          <w:rFonts w:ascii="Arial" w:hAnsi="Arial" w:cs="Arial"/>
          <w:sz w:val="24"/>
          <w:szCs w:val="24"/>
        </w:rPr>
      </w:pPr>
      <w:r w:rsidRPr="00F976B4">
        <w:rPr>
          <w:rFonts w:ascii="Arial" w:hAnsi="Arial" w:cs="Arial"/>
        </w:rPr>
        <w:t xml:space="preserve">As we have said, what unites the presentation of all of these characters is that </w:t>
      </w:r>
      <w:r w:rsidR="00500578" w:rsidRPr="00F976B4">
        <w:rPr>
          <w:rFonts w:ascii="Arial" w:hAnsi="Arial" w:cs="Arial"/>
        </w:rPr>
        <w:t>it</w:t>
      </w:r>
      <w:r w:rsidRPr="00F976B4">
        <w:rPr>
          <w:rFonts w:ascii="Arial" w:hAnsi="Arial" w:cs="Arial"/>
        </w:rPr>
        <w:t xml:space="preserve"> does not occur in a vacuum</w:t>
      </w:r>
      <w:r w:rsidR="004168D9" w:rsidRPr="00F976B4">
        <w:rPr>
          <w:rFonts w:ascii="Arial" w:hAnsi="Arial" w:cs="Arial"/>
        </w:rPr>
        <w:t xml:space="preserve">.  </w:t>
      </w:r>
      <w:r w:rsidRPr="00F976B4">
        <w:rPr>
          <w:rFonts w:ascii="Arial" w:hAnsi="Arial" w:cs="Arial"/>
        </w:rPr>
        <w:t>There is</w:t>
      </w:r>
      <w:r w:rsidR="009665A6">
        <w:rPr>
          <w:rFonts w:ascii="Arial" w:hAnsi="Arial" w:cs="Arial"/>
        </w:rPr>
        <w:t xml:space="preserve"> the anticipation of the reader</w:t>
      </w:r>
      <w:r w:rsidRPr="00F976B4">
        <w:rPr>
          <w:rFonts w:ascii="Arial" w:hAnsi="Arial" w:cs="Arial"/>
        </w:rPr>
        <w:t xml:space="preserve"> </w:t>
      </w:r>
      <w:r w:rsidR="009665A6">
        <w:rPr>
          <w:rFonts w:ascii="Arial" w:hAnsi="Arial" w:cs="Arial"/>
        </w:rPr>
        <w:t>that</w:t>
      </w:r>
      <w:r w:rsidRPr="00F976B4">
        <w:rPr>
          <w:rFonts w:ascii="Arial" w:hAnsi="Arial" w:cs="Arial"/>
        </w:rPr>
        <w:t xml:space="preserve"> precedes th</w:t>
      </w:r>
      <w:r w:rsidR="009665A6">
        <w:rPr>
          <w:rFonts w:ascii="Arial" w:hAnsi="Arial" w:cs="Arial"/>
        </w:rPr>
        <w:t>e presentation of the character;</w:t>
      </w:r>
      <w:r w:rsidRPr="00F976B4">
        <w:rPr>
          <w:rFonts w:ascii="Arial" w:hAnsi="Arial" w:cs="Arial"/>
        </w:rPr>
        <w:t xml:space="preserve"> naturally</w:t>
      </w:r>
      <w:r w:rsidR="009665A6">
        <w:rPr>
          <w:rFonts w:ascii="Arial" w:hAnsi="Arial" w:cs="Arial"/>
        </w:rPr>
        <w:t>,</w:t>
      </w:r>
      <w:r w:rsidRPr="00F976B4">
        <w:rPr>
          <w:rFonts w:ascii="Arial" w:hAnsi="Arial" w:cs="Arial"/>
        </w:rPr>
        <w:t xml:space="preserve"> at the point of presenting the character, the reader feels a </w:t>
      </w:r>
      <w:r w:rsidR="00741978" w:rsidRPr="00F976B4">
        <w:rPr>
          <w:rFonts w:ascii="Arial" w:hAnsi="Arial" w:cs="Arial"/>
        </w:rPr>
        <w:t>response</w:t>
      </w:r>
      <w:r w:rsidRPr="00F976B4">
        <w:rPr>
          <w:rFonts w:ascii="Arial" w:hAnsi="Arial" w:cs="Arial"/>
        </w:rPr>
        <w:t xml:space="preserve"> to this </w:t>
      </w:r>
      <w:r w:rsidR="00500578" w:rsidRPr="00F976B4">
        <w:rPr>
          <w:rFonts w:ascii="Arial" w:hAnsi="Arial" w:cs="Arial"/>
        </w:rPr>
        <w:t>expect</w:t>
      </w:r>
      <w:r w:rsidRPr="00F976B4">
        <w:rPr>
          <w:rFonts w:ascii="Arial" w:hAnsi="Arial" w:cs="Arial"/>
        </w:rPr>
        <w:t xml:space="preserve">ation, and starts tracking the way this </w:t>
      </w:r>
      <w:r w:rsidR="00741978" w:rsidRPr="00F976B4">
        <w:rPr>
          <w:rFonts w:ascii="Arial" w:hAnsi="Arial" w:cs="Arial"/>
        </w:rPr>
        <w:t>character</w:t>
      </w:r>
      <w:r w:rsidRPr="00F976B4">
        <w:rPr>
          <w:rFonts w:ascii="Arial" w:hAnsi="Arial" w:cs="Arial"/>
        </w:rPr>
        <w:t xml:space="preserve"> </w:t>
      </w:r>
      <w:r w:rsidR="00741978" w:rsidRPr="00F976B4">
        <w:rPr>
          <w:rFonts w:ascii="Arial" w:hAnsi="Arial" w:cs="Arial"/>
        </w:rPr>
        <w:t>conducts</w:t>
      </w:r>
      <w:r w:rsidRPr="00F976B4">
        <w:rPr>
          <w:rFonts w:ascii="Arial" w:hAnsi="Arial" w:cs="Arial"/>
        </w:rPr>
        <w:t xml:space="preserve"> himself or herself, as anticipated</w:t>
      </w:r>
      <w:r w:rsidR="004168D9" w:rsidRPr="00F976B4">
        <w:rPr>
          <w:rFonts w:ascii="Arial" w:hAnsi="Arial" w:cs="Arial"/>
        </w:rPr>
        <w:t>.</w:t>
      </w:r>
      <w:r w:rsidRPr="009665A6">
        <w:rPr>
          <w:rStyle w:val="FootnoteCharacters"/>
          <w:rFonts w:ascii="Arial" w:hAnsi="Arial" w:cs="Arial"/>
          <w:sz w:val="24"/>
          <w:szCs w:val="24"/>
          <w:vertAlign w:val="superscript"/>
        </w:rPr>
        <w:footnoteReference w:id="16"/>
      </w:r>
    </w:p>
    <w:p w:rsidR="004C2C25" w:rsidRDefault="004C2C25" w:rsidP="004C2C25">
      <w:pPr>
        <w:pStyle w:val="npst"/>
        <w:spacing w:before="0" w:beforeAutospacing="0" w:after="0" w:afterAutospacing="0"/>
        <w:ind w:firstLine="720"/>
        <w:jc w:val="both"/>
        <w:rPr>
          <w:rStyle w:val="FootnoteCharacters"/>
          <w:rFonts w:ascii="Arial" w:hAnsi="Arial" w:cs="Arial"/>
          <w:sz w:val="24"/>
          <w:szCs w:val="24"/>
        </w:rPr>
      </w:pPr>
    </w:p>
    <w:p w:rsidR="008E403C" w:rsidRPr="00F976B4" w:rsidRDefault="008E403C" w:rsidP="004C2C25">
      <w:pPr>
        <w:pStyle w:val="npst"/>
        <w:spacing w:before="0" w:beforeAutospacing="0" w:after="0" w:afterAutospacing="0"/>
        <w:ind w:firstLine="720"/>
        <w:jc w:val="both"/>
        <w:rPr>
          <w:rStyle w:val="FootnoteCharacters"/>
          <w:rFonts w:ascii="Arial" w:hAnsi="Arial" w:cs="Arial"/>
          <w:sz w:val="24"/>
          <w:szCs w:val="24"/>
        </w:rPr>
      </w:pPr>
      <w:r w:rsidRPr="00F976B4">
        <w:rPr>
          <w:rStyle w:val="FootnoteCharacters"/>
          <w:rFonts w:ascii="Arial" w:hAnsi="Arial" w:cs="Arial"/>
          <w:sz w:val="24"/>
          <w:szCs w:val="24"/>
        </w:rPr>
        <w:t xml:space="preserve">In the specific case of delaying the </w:t>
      </w:r>
      <w:r w:rsidR="00741978" w:rsidRPr="00F976B4">
        <w:rPr>
          <w:rStyle w:val="FootnoteCharacters"/>
          <w:rFonts w:ascii="Arial" w:hAnsi="Arial" w:cs="Arial"/>
          <w:sz w:val="24"/>
          <w:szCs w:val="24"/>
        </w:rPr>
        <w:t>presentation</w:t>
      </w:r>
      <w:r w:rsidRPr="00F976B4">
        <w:rPr>
          <w:rStyle w:val="FootnoteCharacters"/>
          <w:rFonts w:ascii="Arial" w:hAnsi="Arial" w:cs="Arial"/>
          <w:sz w:val="24"/>
          <w:szCs w:val="24"/>
        </w:rPr>
        <w:t xml:space="preserve"> of Mordekhai and </w:t>
      </w:r>
      <w:r w:rsidR="00500578" w:rsidRPr="00F976B4">
        <w:rPr>
          <w:rStyle w:val="FootnoteCharacters"/>
          <w:rFonts w:ascii="Arial" w:hAnsi="Arial" w:cs="Arial"/>
          <w:sz w:val="24"/>
          <w:szCs w:val="24"/>
        </w:rPr>
        <w:t>E</w:t>
      </w:r>
      <w:r w:rsidRPr="00F976B4">
        <w:rPr>
          <w:rStyle w:val="FootnoteCharacters"/>
          <w:rFonts w:ascii="Arial" w:hAnsi="Arial" w:cs="Arial"/>
          <w:sz w:val="24"/>
          <w:szCs w:val="24"/>
        </w:rPr>
        <w:t xml:space="preserve">ster until after the search for the </w:t>
      </w:r>
      <w:r w:rsidR="00500578" w:rsidRPr="00F976B4">
        <w:rPr>
          <w:rStyle w:val="FootnoteCharacters"/>
          <w:rFonts w:ascii="Arial" w:hAnsi="Arial" w:cs="Arial"/>
          <w:sz w:val="24"/>
          <w:szCs w:val="24"/>
        </w:rPr>
        <w:t>king’s consort begins,</w:t>
      </w:r>
      <w:r w:rsidRPr="00F976B4">
        <w:rPr>
          <w:rStyle w:val="FootnoteCharacters"/>
          <w:rFonts w:ascii="Arial" w:hAnsi="Arial" w:cs="Arial"/>
          <w:sz w:val="24"/>
          <w:szCs w:val="24"/>
        </w:rPr>
        <w:t xml:space="preserve"> the narrative gains another </w:t>
      </w:r>
      <w:r w:rsidR="00741978" w:rsidRPr="00F976B4">
        <w:rPr>
          <w:rStyle w:val="FootnoteCharacters"/>
          <w:rFonts w:ascii="Arial" w:hAnsi="Arial" w:cs="Arial"/>
          <w:sz w:val="24"/>
          <w:szCs w:val="24"/>
        </w:rPr>
        <w:t>contribution</w:t>
      </w:r>
      <w:r w:rsidR="004168D9" w:rsidRPr="00F976B4">
        <w:rPr>
          <w:rStyle w:val="FootnoteCharacters"/>
          <w:rFonts w:ascii="Arial" w:hAnsi="Arial" w:cs="Arial"/>
          <w:sz w:val="24"/>
          <w:szCs w:val="24"/>
        </w:rPr>
        <w:t xml:space="preserve">.  </w:t>
      </w:r>
      <w:r w:rsidR="00A95668" w:rsidRPr="00F976B4">
        <w:rPr>
          <w:rStyle w:val="FootnoteCharacters"/>
          <w:rFonts w:ascii="Arial" w:hAnsi="Arial" w:cs="Arial"/>
          <w:sz w:val="24"/>
          <w:szCs w:val="24"/>
        </w:rPr>
        <w:t>T</w:t>
      </w:r>
      <w:r w:rsidRPr="00F976B4">
        <w:rPr>
          <w:rStyle w:val="FootnoteCharacters"/>
          <w:rFonts w:ascii="Arial" w:hAnsi="Arial" w:cs="Arial"/>
          <w:sz w:val="24"/>
          <w:szCs w:val="24"/>
        </w:rPr>
        <w:t>he</w:t>
      </w:r>
      <w:r w:rsidR="00500578" w:rsidRPr="00F976B4">
        <w:rPr>
          <w:rStyle w:val="FootnoteCharacters"/>
          <w:rFonts w:ascii="Arial" w:hAnsi="Arial" w:cs="Arial"/>
          <w:sz w:val="24"/>
          <w:szCs w:val="24"/>
        </w:rPr>
        <w:t xml:space="preserve"> reader </w:t>
      </w:r>
      <w:r w:rsidR="00A95668" w:rsidRPr="00F976B4">
        <w:rPr>
          <w:rStyle w:val="FootnoteCharacters"/>
          <w:rFonts w:ascii="Arial" w:hAnsi="Arial" w:cs="Arial"/>
          <w:sz w:val="24"/>
          <w:szCs w:val="24"/>
        </w:rPr>
        <w:t>now encounters</w:t>
      </w:r>
      <w:r w:rsidR="00500578" w:rsidRPr="00F976B4">
        <w:rPr>
          <w:rStyle w:val="FootnoteCharacters"/>
          <w:rFonts w:ascii="Arial" w:hAnsi="Arial" w:cs="Arial"/>
          <w:sz w:val="24"/>
          <w:szCs w:val="24"/>
        </w:rPr>
        <w:t xml:space="preserve"> two </w:t>
      </w:r>
      <w:r w:rsidR="009665A6">
        <w:rPr>
          <w:rStyle w:val="FootnoteCharacters"/>
          <w:rFonts w:ascii="Arial" w:hAnsi="Arial" w:cs="Arial"/>
          <w:sz w:val="24"/>
          <w:szCs w:val="24"/>
        </w:rPr>
        <w:t>“</w:t>
      </w:r>
      <w:r w:rsidR="00500578" w:rsidRPr="00F976B4">
        <w:rPr>
          <w:rStyle w:val="FootnoteCharacters"/>
          <w:rFonts w:ascii="Arial" w:hAnsi="Arial" w:cs="Arial"/>
          <w:sz w:val="24"/>
          <w:szCs w:val="24"/>
        </w:rPr>
        <w:t>takings</w:t>
      </w:r>
      <w:r w:rsidR="009665A6">
        <w:rPr>
          <w:rStyle w:val="FootnoteCharacters"/>
          <w:rFonts w:ascii="Arial" w:hAnsi="Arial" w:cs="Arial"/>
          <w:sz w:val="24"/>
          <w:szCs w:val="24"/>
        </w:rPr>
        <w:t>”</w:t>
      </w:r>
      <w:r w:rsidR="00500578" w:rsidRPr="00F976B4">
        <w:rPr>
          <w:rStyle w:val="FootnoteCharacters"/>
          <w:rFonts w:ascii="Arial" w:hAnsi="Arial" w:cs="Arial"/>
          <w:sz w:val="24"/>
          <w:szCs w:val="24"/>
        </w:rPr>
        <w:t xml:space="preserve"> of Ester.</w:t>
      </w:r>
    </w:p>
    <w:p w:rsidR="004C2C25" w:rsidRDefault="004C2C25" w:rsidP="004C2C25">
      <w:pPr>
        <w:pStyle w:val="npst"/>
        <w:spacing w:before="0" w:beforeAutospacing="0" w:after="0" w:afterAutospacing="0"/>
        <w:ind w:firstLine="720"/>
        <w:jc w:val="both"/>
        <w:rPr>
          <w:rFonts w:ascii="Arial" w:hAnsi="Arial" w:cs="Arial"/>
        </w:rPr>
      </w:pPr>
    </w:p>
    <w:p w:rsidR="008E403C" w:rsidRPr="00F976B4" w:rsidRDefault="008E403C" w:rsidP="004C2C25">
      <w:pPr>
        <w:pStyle w:val="npst"/>
        <w:spacing w:before="0" w:beforeAutospacing="0" w:after="0" w:afterAutospacing="0"/>
        <w:ind w:firstLine="720"/>
        <w:jc w:val="both"/>
        <w:rPr>
          <w:rFonts w:ascii="Arial" w:hAnsi="Arial" w:cs="Arial"/>
        </w:rPr>
      </w:pPr>
      <w:r w:rsidRPr="00F976B4">
        <w:rPr>
          <w:rFonts w:ascii="Arial" w:hAnsi="Arial" w:cs="Arial"/>
        </w:rPr>
        <w:t>The delayed expo</w:t>
      </w:r>
      <w:r w:rsidR="00500578" w:rsidRPr="00F976B4">
        <w:rPr>
          <w:rFonts w:ascii="Arial" w:hAnsi="Arial" w:cs="Arial"/>
        </w:rPr>
        <w:t>sition,</w:t>
      </w:r>
      <w:r w:rsidRPr="00F976B4">
        <w:rPr>
          <w:rFonts w:ascii="Arial" w:hAnsi="Arial" w:cs="Arial"/>
        </w:rPr>
        <w:t xml:space="preserve"> </w:t>
      </w:r>
      <w:r w:rsidR="00500578" w:rsidRPr="00F976B4">
        <w:rPr>
          <w:rFonts w:ascii="Arial" w:hAnsi="Arial" w:cs="Arial"/>
        </w:rPr>
        <w:t>“</w:t>
      </w:r>
      <w:r w:rsidRPr="00F976B4">
        <w:rPr>
          <w:rFonts w:ascii="Arial" w:hAnsi="Arial" w:cs="Arial"/>
        </w:rPr>
        <w:t>He was fostering Hadassah — she is Est</w:t>
      </w:r>
      <w:r w:rsidR="009665A6">
        <w:rPr>
          <w:rFonts w:ascii="Arial" w:hAnsi="Arial" w:cs="Arial"/>
        </w:rPr>
        <w:t>h</w:t>
      </w:r>
      <w:r w:rsidRPr="00F976B4">
        <w:rPr>
          <w:rFonts w:ascii="Arial" w:hAnsi="Arial" w:cs="Arial"/>
        </w:rPr>
        <w:t>er… and Morde</w:t>
      </w:r>
      <w:r w:rsidR="00500578" w:rsidRPr="00F976B4">
        <w:rPr>
          <w:rFonts w:ascii="Arial" w:hAnsi="Arial" w:cs="Arial"/>
        </w:rPr>
        <w:t>kh</w:t>
      </w:r>
      <w:r w:rsidRPr="00F976B4">
        <w:rPr>
          <w:rFonts w:ascii="Arial" w:hAnsi="Arial" w:cs="Arial"/>
        </w:rPr>
        <w:t xml:space="preserve">ai </w:t>
      </w:r>
      <w:r w:rsidRPr="00F976B4">
        <w:rPr>
          <w:rFonts w:ascii="Arial" w:hAnsi="Arial" w:cs="Arial"/>
          <w:b/>
          <w:bCs/>
        </w:rPr>
        <w:t>had taken her</w:t>
      </w:r>
      <w:r w:rsidRPr="00F976B4">
        <w:rPr>
          <w:rFonts w:ascii="Arial" w:hAnsi="Arial" w:cs="Arial"/>
        </w:rPr>
        <w:t xml:space="preserve"> as his daughter when her father and mother died</w:t>
      </w:r>
      <w:r w:rsidR="00500578" w:rsidRPr="00F976B4">
        <w:rPr>
          <w:rFonts w:ascii="Arial" w:hAnsi="Arial" w:cs="Arial"/>
        </w:rPr>
        <w:t>” (v. 7), b</w:t>
      </w:r>
      <w:r w:rsidRPr="00F976B4">
        <w:rPr>
          <w:rFonts w:ascii="Arial" w:hAnsi="Arial" w:cs="Arial"/>
        </w:rPr>
        <w:t>rings us back to the continuum of the plot</w:t>
      </w:r>
      <w:r w:rsidR="00BC24F4" w:rsidRPr="00F976B4">
        <w:rPr>
          <w:rFonts w:ascii="Arial" w:hAnsi="Arial" w:cs="Arial"/>
        </w:rPr>
        <w:t xml:space="preserve"> (</w:t>
      </w:r>
      <w:r w:rsidR="004168D9" w:rsidRPr="00F976B4">
        <w:rPr>
          <w:rFonts w:ascii="Arial" w:hAnsi="Arial" w:cs="Arial"/>
        </w:rPr>
        <w:t xml:space="preserve">v. </w:t>
      </w:r>
      <w:r w:rsidR="00BC24F4" w:rsidRPr="00F976B4">
        <w:rPr>
          <w:rFonts w:ascii="Arial" w:hAnsi="Arial" w:cs="Arial"/>
        </w:rPr>
        <w:t>8)</w:t>
      </w:r>
      <w:r w:rsidR="00500578" w:rsidRPr="00F976B4">
        <w:rPr>
          <w:rFonts w:ascii="Arial" w:hAnsi="Arial" w:cs="Arial"/>
        </w:rPr>
        <w:t xml:space="preserve">: </w:t>
      </w:r>
      <w:r w:rsidRPr="00F976B4">
        <w:rPr>
          <w:rFonts w:ascii="Arial" w:hAnsi="Arial" w:cs="Arial"/>
        </w:rPr>
        <w:t>“</w:t>
      </w:r>
      <w:r w:rsidR="00500578" w:rsidRPr="00F976B4">
        <w:rPr>
          <w:rFonts w:ascii="Arial" w:hAnsi="Arial" w:cs="Arial"/>
        </w:rPr>
        <w:t>Est</w:t>
      </w:r>
      <w:r w:rsidR="009665A6">
        <w:rPr>
          <w:rFonts w:ascii="Arial" w:hAnsi="Arial" w:cs="Arial"/>
        </w:rPr>
        <w:t>h</w:t>
      </w:r>
      <w:r w:rsidR="00500578" w:rsidRPr="00F976B4">
        <w:rPr>
          <w:rFonts w:ascii="Arial" w:hAnsi="Arial" w:cs="Arial"/>
        </w:rPr>
        <w:t>er</w:t>
      </w:r>
      <w:r w:rsidR="00BC24F4" w:rsidRPr="00F976B4">
        <w:rPr>
          <w:rFonts w:ascii="Arial" w:hAnsi="Arial" w:cs="Arial"/>
        </w:rPr>
        <w:t xml:space="preserve"> </w:t>
      </w:r>
      <w:r w:rsidR="00BC24F4" w:rsidRPr="00F976B4">
        <w:rPr>
          <w:rFonts w:ascii="Arial" w:hAnsi="Arial" w:cs="Arial"/>
          <w:b/>
          <w:bCs/>
        </w:rPr>
        <w:t>was taken</w:t>
      </w:r>
      <w:r w:rsidR="00BC24F4" w:rsidRPr="00F976B4">
        <w:rPr>
          <w:rFonts w:ascii="Arial" w:hAnsi="Arial" w:cs="Arial"/>
        </w:rPr>
        <w:t xml:space="preserve"> to the king’s palace and entrusted to Hegai, who had charge of the harem.”</w:t>
      </w:r>
    </w:p>
    <w:p w:rsidR="004C2C25" w:rsidRDefault="004C2C25" w:rsidP="004C2C25">
      <w:pPr>
        <w:pStyle w:val="npst"/>
        <w:spacing w:before="0" w:beforeAutospacing="0" w:after="0" w:afterAutospacing="0"/>
        <w:ind w:firstLine="360"/>
        <w:jc w:val="both"/>
        <w:rPr>
          <w:rFonts w:ascii="Arial" w:hAnsi="Arial" w:cs="Arial"/>
        </w:rPr>
      </w:pPr>
    </w:p>
    <w:p w:rsidR="00FE7598" w:rsidRPr="00F976B4" w:rsidRDefault="009665A6" w:rsidP="004C2C25">
      <w:pPr>
        <w:pStyle w:val="npst"/>
        <w:spacing w:before="0" w:beforeAutospacing="0" w:after="0" w:afterAutospacing="0"/>
        <w:ind w:firstLine="720"/>
        <w:jc w:val="both"/>
        <w:rPr>
          <w:rFonts w:ascii="Arial" w:hAnsi="Arial" w:cs="Arial"/>
        </w:rPr>
      </w:pPr>
      <w:r>
        <w:rPr>
          <w:rFonts w:ascii="Arial" w:hAnsi="Arial" w:cs="Arial"/>
        </w:rPr>
        <w:t>Th</w:t>
      </w:r>
      <w:r w:rsidR="00BC24F4" w:rsidRPr="00F976B4">
        <w:rPr>
          <w:rFonts w:ascii="Arial" w:hAnsi="Arial" w:cs="Arial"/>
        </w:rPr>
        <w:t xml:space="preserve">e allusion to the </w:t>
      </w:r>
      <w:r w:rsidR="00741978" w:rsidRPr="00F976B4">
        <w:rPr>
          <w:rFonts w:ascii="Arial" w:hAnsi="Arial" w:cs="Arial"/>
        </w:rPr>
        <w:t>c</w:t>
      </w:r>
      <w:r w:rsidR="005D3FE4" w:rsidRPr="00F976B4">
        <w:rPr>
          <w:rFonts w:ascii="Arial" w:hAnsi="Arial" w:cs="Arial"/>
        </w:rPr>
        <w:t>lash</w:t>
      </w:r>
      <w:r w:rsidR="00BC24F4" w:rsidRPr="00F976B4">
        <w:rPr>
          <w:rFonts w:ascii="Arial" w:hAnsi="Arial" w:cs="Arial"/>
        </w:rPr>
        <w:t xml:space="preserve"> between these two takings </w:t>
      </w:r>
      <w:r w:rsidR="005D3FE4" w:rsidRPr="00F976B4">
        <w:rPr>
          <w:rFonts w:ascii="Arial" w:hAnsi="Arial" w:cs="Arial"/>
        </w:rPr>
        <w:t xml:space="preserve">would be relevant </w:t>
      </w:r>
      <w:r w:rsidR="00BC24F4" w:rsidRPr="00F976B4">
        <w:rPr>
          <w:rFonts w:ascii="Arial" w:hAnsi="Arial" w:cs="Arial"/>
        </w:rPr>
        <w:t xml:space="preserve">even if the </w:t>
      </w:r>
      <w:r w:rsidR="00741978" w:rsidRPr="00F976B4">
        <w:rPr>
          <w:rFonts w:ascii="Arial" w:hAnsi="Arial" w:cs="Arial"/>
        </w:rPr>
        <w:t>exposition</w:t>
      </w:r>
      <w:r w:rsidR="00BC24F4" w:rsidRPr="00F976B4">
        <w:rPr>
          <w:rFonts w:ascii="Arial" w:hAnsi="Arial" w:cs="Arial"/>
        </w:rPr>
        <w:t xml:space="preserve"> were in its normal place, at the </w:t>
      </w:r>
      <w:r w:rsidR="00741978" w:rsidRPr="00F976B4">
        <w:rPr>
          <w:rFonts w:ascii="Arial" w:hAnsi="Arial" w:cs="Arial"/>
        </w:rPr>
        <w:t>opening</w:t>
      </w:r>
      <w:r w:rsidR="00BC24F4" w:rsidRPr="00F976B4">
        <w:rPr>
          <w:rFonts w:ascii="Arial" w:hAnsi="Arial" w:cs="Arial"/>
        </w:rPr>
        <w:t xml:space="preserve"> of the story</w:t>
      </w:r>
      <w:r w:rsidR="005D3FE4" w:rsidRPr="00F976B4">
        <w:rPr>
          <w:rFonts w:ascii="Arial" w:hAnsi="Arial" w:cs="Arial"/>
        </w:rPr>
        <w:t>.  However, once these two takings are p</w:t>
      </w:r>
      <w:r w:rsidR="00BC24F4" w:rsidRPr="00F976B4">
        <w:rPr>
          <w:rFonts w:ascii="Arial" w:hAnsi="Arial" w:cs="Arial"/>
        </w:rPr>
        <w:t>ut</w:t>
      </w:r>
      <w:r w:rsidR="005D3FE4" w:rsidRPr="00F976B4">
        <w:rPr>
          <w:rFonts w:ascii="Arial" w:hAnsi="Arial" w:cs="Arial"/>
        </w:rPr>
        <w:t xml:space="preserve"> next to each other, the contrast is unavoidable: the reader is struck by the </w:t>
      </w:r>
      <w:r w:rsidR="00BC24F4" w:rsidRPr="00F976B4">
        <w:rPr>
          <w:rFonts w:ascii="Arial" w:hAnsi="Arial" w:cs="Arial"/>
        </w:rPr>
        <w:t xml:space="preserve">tension between </w:t>
      </w:r>
      <w:r w:rsidR="00741978" w:rsidRPr="00F976B4">
        <w:rPr>
          <w:rFonts w:ascii="Arial" w:hAnsi="Arial" w:cs="Arial"/>
        </w:rPr>
        <w:t>Mordekhai’s</w:t>
      </w:r>
      <w:r w:rsidR="005D3FE4" w:rsidRPr="00F976B4">
        <w:rPr>
          <w:rFonts w:ascii="Arial" w:hAnsi="Arial" w:cs="Arial"/>
        </w:rPr>
        <w:t xml:space="preserve"> adoption of E</w:t>
      </w:r>
      <w:r w:rsidR="00BC24F4" w:rsidRPr="00F976B4">
        <w:rPr>
          <w:rFonts w:ascii="Arial" w:hAnsi="Arial" w:cs="Arial"/>
        </w:rPr>
        <w:t>st</w:t>
      </w:r>
      <w:r>
        <w:rPr>
          <w:rFonts w:ascii="Arial" w:hAnsi="Arial" w:cs="Arial"/>
        </w:rPr>
        <w:t>h</w:t>
      </w:r>
      <w:r w:rsidR="00BC24F4" w:rsidRPr="00F976B4">
        <w:rPr>
          <w:rFonts w:ascii="Arial" w:hAnsi="Arial" w:cs="Arial"/>
        </w:rPr>
        <w:t xml:space="preserve">er and </w:t>
      </w:r>
      <w:r w:rsidR="005D3FE4" w:rsidRPr="00F976B4">
        <w:rPr>
          <w:rFonts w:ascii="Arial" w:hAnsi="Arial" w:cs="Arial"/>
        </w:rPr>
        <w:t>the agents of the king transporting her to the harem</w:t>
      </w:r>
      <w:r w:rsidR="004168D9" w:rsidRPr="00F976B4">
        <w:rPr>
          <w:rFonts w:ascii="Arial" w:hAnsi="Arial" w:cs="Arial"/>
        </w:rPr>
        <w:t>.</w:t>
      </w:r>
      <w:r w:rsidR="00BC24F4" w:rsidRPr="009665A6">
        <w:rPr>
          <w:rStyle w:val="FootnoteCharacters"/>
          <w:rFonts w:ascii="Arial" w:hAnsi="Arial" w:cs="Arial"/>
          <w:sz w:val="24"/>
          <w:szCs w:val="24"/>
          <w:vertAlign w:val="superscript"/>
        </w:rPr>
        <w:footnoteReference w:id="17"/>
      </w:r>
    </w:p>
    <w:p w:rsidR="004C2C25" w:rsidRDefault="004C2C25" w:rsidP="004C2C25">
      <w:pPr>
        <w:pStyle w:val="npst"/>
        <w:spacing w:before="0" w:beforeAutospacing="0" w:after="0" w:afterAutospacing="0"/>
        <w:ind w:firstLine="720"/>
        <w:jc w:val="both"/>
        <w:rPr>
          <w:rFonts w:ascii="Arial" w:hAnsi="Arial" w:cs="Arial"/>
        </w:rPr>
      </w:pPr>
    </w:p>
    <w:p w:rsidR="00BC24F4" w:rsidRPr="00F976B4" w:rsidRDefault="005D3FE4" w:rsidP="004C2C25">
      <w:pPr>
        <w:pStyle w:val="npst"/>
        <w:spacing w:before="0" w:beforeAutospacing="0" w:after="0" w:afterAutospacing="0"/>
        <w:ind w:firstLine="720"/>
        <w:jc w:val="both"/>
        <w:rPr>
          <w:rFonts w:ascii="Arial" w:hAnsi="Arial" w:cs="Arial"/>
        </w:rPr>
      </w:pPr>
      <w:r w:rsidRPr="00F976B4">
        <w:rPr>
          <w:rFonts w:ascii="Arial" w:hAnsi="Arial" w:cs="Arial"/>
        </w:rPr>
        <w:t>L</w:t>
      </w:r>
      <w:r w:rsidR="00BC24F4" w:rsidRPr="00F976B4">
        <w:rPr>
          <w:rFonts w:ascii="Arial" w:hAnsi="Arial" w:cs="Arial"/>
        </w:rPr>
        <w:t xml:space="preserve">ate </w:t>
      </w:r>
      <w:r w:rsidR="00741978" w:rsidRPr="00F976B4">
        <w:rPr>
          <w:rFonts w:ascii="Arial" w:hAnsi="Arial" w:cs="Arial"/>
        </w:rPr>
        <w:t>exposition</w:t>
      </w:r>
      <w:r w:rsidR="00BC24F4" w:rsidRPr="00F976B4">
        <w:rPr>
          <w:rFonts w:ascii="Arial" w:hAnsi="Arial" w:cs="Arial"/>
        </w:rPr>
        <w:t xml:space="preserve"> deserves a more through </w:t>
      </w:r>
      <w:r w:rsidR="00741978" w:rsidRPr="00F976B4">
        <w:rPr>
          <w:rFonts w:ascii="Arial" w:hAnsi="Arial" w:cs="Arial"/>
        </w:rPr>
        <w:t>discussion</w:t>
      </w:r>
      <w:r w:rsidRPr="00F976B4">
        <w:rPr>
          <w:rFonts w:ascii="Arial" w:hAnsi="Arial" w:cs="Arial"/>
        </w:rPr>
        <w:t>, but we will suffice with this</w:t>
      </w:r>
      <w:r w:rsidR="004168D9" w:rsidRPr="00F976B4">
        <w:rPr>
          <w:rFonts w:ascii="Arial" w:hAnsi="Arial" w:cs="Arial"/>
        </w:rPr>
        <w:t xml:space="preserve">.  </w:t>
      </w:r>
      <w:r w:rsidR="00BC24F4" w:rsidRPr="00F976B4">
        <w:rPr>
          <w:rFonts w:ascii="Arial" w:hAnsi="Arial" w:cs="Arial"/>
        </w:rPr>
        <w:t xml:space="preserve">The readers of the lecture are invited to </w:t>
      </w:r>
      <w:r w:rsidR="00741978" w:rsidRPr="00F976B4">
        <w:rPr>
          <w:rFonts w:ascii="Arial" w:hAnsi="Arial" w:cs="Arial"/>
        </w:rPr>
        <w:t>investigate</w:t>
      </w:r>
      <w:r w:rsidR="00BC24F4" w:rsidRPr="00F976B4">
        <w:rPr>
          <w:rFonts w:ascii="Arial" w:hAnsi="Arial" w:cs="Arial"/>
        </w:rPr>
        <w:t xml:space="preserve"> other </w:t>
      </w:r>
      <w:r w:rsidRPr="00F976B4">
        <w:rPr>
          <w:rFonts w:ascii="Arial" w:hAnsi="Arial" w:cs="Arial"/>
        </w:rPr>
        <w:t>examples of delayed</w:t>
      </w:r>
      <w:r w:rsidR="00BC24F4" w:rsidRPr="00F976B4">
        <w:rPr>
          <w:rFonts w:ascii="Arial" w:hAnsi="Arial" w:cs="Arial"/>
        </w:rPr>
        <w:t xml:space="preserve"> </w:t>
      </w:r>
      <w:r w:rsidR="00741978" w:rsidRPr="00F976B4">
        <w:rPr>
          <w:rFonts w:ascii="Arial" w:hAnsi="Arial" w:cs="Arial"/>
        </w:rPr>
        <w:t>exp</w:t>
      </w:r>
      <w:r w:rsidRPr="00F976B4">
        <w:rPr>
          <w:rFonts w:ascii="Arial" w:hAnsi="Arial" w:cs="Arial"/>
        </w:rPr>
        <w:t xml:space="preserve">osition </w:t>
      </w:r>
      <w:r w:rsidR="00BC24F4" w:rsidRPr="00F976B4">
        <w:rPr>
          <w:rFonts w:ascii="Arial" w:hAnsi="Arial" w:cs="Arial"/>
        </w:rPr>
        <w:t>and wonder about the</w:t>
      </w:r>
      <w:r w:rsidRPr="00F976B4">
        <w:rPr>
          <w:rFonts w:ascii="Arial" w:hAnsi="Arial" w:cs="Arial"/>
        </w:rPr>
        <w:t>ir</w:t>
      </w:r>
      <w:r w:rsidR="00BC24F4" w:rsidRPr="00F976B4">
        <w:rPr>
          <w:rFonts w:ascii="Arial" w:hAnsi="Arial" w:cs="Arial"/>
        </w:rPr>
        <w:t xml:space="preserve"> contribution to the narrative.</w:t>
      </w:r>
    </w:p>
    <w:p w:rsidR="004C2C25" w:rsidRDefault="004C2C25" w:rsidP="004C2C25">
      <w:pPr>
        <w:pStyle w:val="npst"/>
        <w:spacing w:before="0" w:beforeAutospacing="0" w:after="0" w:afterAutospacing="0"/>
        <w:ind w:firstLine="720"/>
        <w:jc w:val="both"/>
        <w:rPr>
          <w:rFonts w:ascii="Arial" w:hAnsi="Arial" w:cs="Arial"/>
        </w:rPr>
      </w:pPr>
    </w:p>
    <w:p w:rsidR="00BC24F4" w:rsidRDefault="009665A6" w:rsidP="004C2C25">
      <w:pPr>
        <w:pStyle w:val="npst"/>
        <w:spacing w:before="0" w:beforeAutospacing="0" w:after="0" w:afterAutospacing="0"/>
        <w:ind w:firstLine="720"/>
        <w:jc w:val="both"/>
        <w:rPr>
          <w:rFonts w:ascii="Arial" w:hAnsi="Arial" w:cs="Arial"/>
        </w:rPr>
      </w:pPr>
      <w:r>
        <w:rPr>
          <w:rFonts w:ascii="Arial" w:hAnsi="Arial" w:cs="Arial"/>
        </w:rPr>
        <w:t>I</w:t>
      </w:r>
      <w:r w:rsidR="00BC24F4" w:rsidRPr="00F976B4">
        <w:rPr>
          <w:rFonts w:ascii="Arial" w:hAnsi="Arial" w:cs="Arial"/>
        </w:rPr>
        <w:t>n our next lecture</w:t>
      </w:r>
      <w:r>
        <w:rPr>
          <w:rFonts w:ascii="Arial" w:hAnsi="Arial" w:cs="Arial"/>
        </w:rPr>
        <w:t>,</w:t>
      </w:r>
      <w:r w:rsidR="00BC24F4" w:rsidRPr="00F976B4">
        <w:rPr>
          <w:rFonts w:ascii="Arial" w:hAnsi="Arial" w:cs="Arial"/>
        </w:rPr>
        <w:t xml:space="preserve"> we will analyze an entire narrative from the </w:t>
      </w:r>
      <w:r w:rsidR="00741978" w:rsidRPr="00F976B4">
        <w:rPr>
          <w:rFonts w:ascii="Arial" w:hAnsi="Arial" w:cs="Arial"/>
        </w:rPr>
        <w:t>perspective</w:t>
      </w:r>
      <w:r w:rsidR="00BC24F4" w:rsidRPr="00F976B4">
        <w:rPr>
          <w:rFonts w:ascii="Arial" w:hAnsi="Arial" w:cs="Arial"/>
        </w:rPr>
        <w:t xml:space="preserve"> of the </w:t>
      </w:r>
      <w:r w:rsidR="005D3FE4" w:rsidRPr="00F976B4">
        <w:rPr>
          <w:rFonts w:ascii="Arial" w:hAnsi="Arial" w:cs="Arial"/>
        </w:rPr>
        <w:t>arrangement and ordering of its</w:t>
      </w:r>
      <w:r w:rsidR="00BC24F4" w:rsidRPr="00F976B4">
        <w:rPr>
          <w:rFonts w:ascii="Arial" w:hAnsi="Arial" w:cs="Arial"/>
        </w:rPr>
        <w:t xml:space="preserve"> facts</w:t>
      </w:r>
      <w:r w:rsidR="005D3FE4" w:rsidRPr="00F976B4">
        <w:rPr>
          <w:rFonts w:ascii="Arial" w:hAnsi="Arial" w:cs="Arial"/>
        </w:rPr>
        <w:t>.  With this, we may</w:t>
      </w:r>
      <w:r w:rsidR="00BC24F4" w:rsidRPr="00F976B4">
        <w:rPr>
          <w:rFonts w:ascii="Arial" w:hAnsi="Arial" w:cs="Arial"/>
        </w:rPr>
        <w:t xml:space="preserve"> conclude this fundamental topic</w:t>
      </w:r>
      <w:r w:rsidR="004168D9" w:rsidRPr="00F976B4">
        <w:rPr>
          <w:rFonts w:ascii="Arial" w:hAnsi="Arial" w:cs="Arial"/>
        </w:rPr>
        <w:t xml:space="preserve">.  </w:t>
      </w:r>
    </w:p>
    <w:p w:rsidR="00E83A58" w:rsidRDefault="00E83A58" w:rsidP="004C2C25">
      <w:pPr>
        <w:pStyle w:val="npst"/>
        <w:spacing w:before="0" w:beforeAutospacing="0" w:after="0" w:afterAutospacing="0"/>
        <w:ind w:firstLine="720"/>
        <w:jc w:val="both"/>
        <w:rPr>
          <w:rFonts w:ascii="Arial" w:hAnsi="Arial" w:cs="Arial"/>
        </w:rPr>
      </w:pPr>
    </w:p>
    <w:p w:rsidR="00E83A58" w:rsidRDefault="00E83A58" w:rsidP="00E83A58">
      <w:pPr>
        <w:pStyle w:val="npst"/>
        <w:spacing w:before="0" w:beforeAutospacing="0" w:after="0" w:afterAutospacing="0"/>
        <w:jc w:val="both"/>
        <w:rPr>
          <w:rFonts w:ascii="Arial" w:hAnsi="Arial" w:cs="Arial"/>
        </w:rPr>
      </w:pPr>
    </w:p>
    <w:p w:rsidR="00E83A58" w:rsidRPr="00F976B4" w:rsidRDefault="00E83A58" w:rsidP="00E83A58">
      <w:pPr>
        <w:pStyle w:val="npst"/>
        <w:spacing w:before="0" w:beforeAutospacing="0" w:after="0" w:afterAutospacing="0"/>
        <w:jc w:val="both"/>
        <w:rPr>
          <w:rFonts w:ascii="Arial" w:hAnsi="Arial" w:cs="Arial"/>
        </w:rPr>
      </w:pPr>
      <w:r>
        <w:rPr>
          <w:rFonts w:ascii="Arial" w:hAnsi="Arial" w:cs="Arial"/>
        </w:rPr>
        <w:t xml:space="preserve">Translated by </w:t>
      </w:r>
      <w:proofErr w:type="spellStart"/>
      <w:r>
        <w:rPr>
          <w:rFonts w:ascii="Arial" w:hAnsi="Arial" w:cs="Arial"/>
        </w:rPr>
        <w:t>Rav</w:t>
      </w:r>
      <w:proofErr w:type="spellEnd"/>
      <w:r>
        <w:rPr>
          <w:rFonts w:ascii="Arial" w:hAnsi="Arial" w:cs="Arial"/>
        </w:rPr>
        <w:t xml:space="preserve"> </w:t>
      </w:r>
      <w:proofErr w:type="spellStart"/>
      <w:r>
        <w:rPr>
          <w:rFonts w:ascii="Arial" w:hAnsi="Arial" w:cs="Arial"/>
        </w:rPr>
        <w:t>Yoseif</w:t>
      </w:r>
      <w:proofErr w:type="spellEnd"/>
      <w:r>
        <w:rPr>
          <w:rFonts w:ascii="Arial" w:hAnsi="Arial" w:cs="Arial"/>
        </w:rPr>
        <w:t xml:space="preserve"> Bloch</w:t>
      </w:r>
    </w:p>
    <w:sectPr w:rsidR="00E83A58" w:rsidRPr="00F976B4" w:rsidSect="004C2C25">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44" w:rsidRDefault="00AF1544" w:rsidP="006905B8">
      <w:r>
        <w:separator/>
      </w:r>
    </w:p>
  </w:endnote>
  <w:endnote w:type="continuationSeparator" w:id="0">
    <w:p w:rsidR="00AF1544" w:rsidRDefault="00AF1544"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44" w:rsidRDefault="00AF1544" w:rsidP="004C2C25">
      <w:pPr>
        <w:bidi w:val="0"/>
      </w:pPr>
      <w:r>
        <w:separator/>
      </w:r>
    </w:p>
  </w:footnote>
  <w:footnote w:type="continuationSeparator" w:id="0">
    <w:p w:rsidR="00AF1544" w:rsidRDefault="00AF1544" w:rsidP="006905B8">
      <w:r>
        <w:continuationSeparator/>
      </w:r>
    </w:p>
  </w:footnote>
  <w:footnote w:id="1">
    <w:p w:rsidR="00E27434" w:rsidRPr="00F976B4" w:rsidRDefault="00E27434"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ab/>
        <w:t>The Septuagint vowelizes the word differently</w:t>
      </w:r>
      <w:r w:rsidR="00B75508">
        <w:rPr>
          <w:rFonts w:ascii="Arial" w:hAnsi="Arial"/>
          <w:sz w:val="20"/>
          <w:szCs w:val="20"/>
        </w:rPr>
        <w:t>,</w:t>
      </w:r>
      <w:r w:rsidRPr="00F976B4">
        <w:rPr>
          <w:rFonts w:ascii="Arial" w:hAnsi="Arial"/>
          <w:sz w:val="20"/>
          <w:szCs w:val="20"/>
        </w:rPr>
        <w:t xml:space="preserve"> “</w:t>
      </w:r>
      <w:r w:rsidRPr="00F976B4">
        <w:rPr>
          <w:rFonts w:ascii="Arial" w:hAnsi="Arial"/>
          <w:i/>
          <w:iCs/>
          <w:sz w:val="20"/>
          <w:szCs w:val="20"/>
        </w:rPr>
        <w:t>va</w:t>
      </w:r>
      <w:r w:rsidR="00B75508">
        <w:rPr>
          <w:rFonts w:ascii="Arial" w:hAnsi="Arial"/>
          <w:i/>
          <w:iCs/>
          <w:sz w:val="20"/>
          <w:szCs w:val="20"/>
        </w:rPr>
        <w:t>-</w:t>
      </w:r>
      <w:r w:rsidRPr="00F976B4">
        <w:rPr>
          <w:rFonts w:ascii="Arial" w:hAnsi="Arial"/>
          <w:i/>
          <w:iCs/>
          <w:sz w:val="20"/>
          <w:szCs w:val="20"/>
        </w:rPr>
        <w:t>yeshevu</w:t>
      </w:r>
      <w:r w:rsidRPr="00F976B4">
        <w:rPr>
          <w:rFonts w:ascii="Arial" w:hAnsi="Arial"/>
          <w:sz w:val="20"/>
          <w:szCs w:val="20"/>
        </w:rPr>
        <w:t>” (“and they sat”) rather than “</w:t>
      </w:r>
      <w:r w:rsidRPr="00F976B4">
        <w:rPr>
          <w:rFonts w:ascii="Arial" w:hAnsi="Arial"/>
          <w:i/>
          <w:iCs/>
          <w:sz w:val="20"/>
          <w:szCs w:val="20"/>
        </w:rPr>
        <w:t>va</w:t>
      </w:r>
      <w:r w:rsidR="00B75508">
        <w:rPr>
          <w:rFonts w:ascii="Arial" w:hAnsi="Arial"/>
          <w:i/>
          <w:iCs/>
          <w:sz w:val="20"/>
          <w:szCs w:val="20"/>
        </w:rPr>
        <w:t>-</w:t>
      </w:r>
      <w:r w:rsidRPr="00F976B4">
        <w:rPr>
          <w:rFonts w:ascii="Arial" w:hAnsi="Arial"/>
          <w:i/>
          <w:iCs/>
          <w:sz w:val="20"/>
          <w:szCs w:val="20"/>
        </w:rPr>
        <w:t>yashuvu</w:t>
      </w:r>
      <w:r w:rsidRPr="00F976B4">
        <w:rPr>
          <w:rFonts w:ascii="Arial" w:hAnsi="Arial"/>
          <w:sz w:val="20"/>
          <w:szCs w:val="20"/>
        </w:rPr>
        <w:t>” (“and they came back”): “And the Isra</w:t>
      </w:r>
      <w:r w:rsidR="00B75508">
        <w:rPr>
          <w:rFonts w:ascii="Arial" w:hAnsi="Arial"/>
          <w:sz w:val="20"/>
          <w:szCs w:val="20"/>
        </w:rPr>
        <w:t xml:space="preserve">elites as well sat and cried.” </w:t>
      </w:r>
      <w:r w:rsidRPr="00F976B4">
        <w:rPr>
          <w:rFonts w:ascii="Arial" w:hAnsi="Arial"/>
          <w:sz w:val="20"/>
          <w:szCs w:val="20"/>
        </w:rPr>
        <w:t xml:space="preserve">As there are sources in </w:t>
      </w:r>
      <w:r w:rsidRPr="00B75508">
        <w:rPr>
          <w:rFonts w:ascii="Arial" w:hAnsi="Arial"/>
          <w:i/>
          <w:iCs/>
          <w:sz w:val="20"/>
          <w:szCs w:val="20"/>
        </w:rPr>
        <w:t>Tanakh</w:t>
      </w:r>
      <w:r w:rsidRPr="00F976B4">
        <w:rPr>
          <w:rFonts w:ascii="Arial" w:hAnsi="Arial"/>
          <w:sz w:val="20"/>
          <w:szCs w:val="20"/>
        </w:rPr>
        <w:t xml:space="preserve"> in which these two verbs are cited in proximity (</w:t>
      </w:r>
      <w:r w:rsidR="00C91B7F">
        <w:rPr>
          <w:rFonts w:ascii="Arial" w:hAnsi="Arial"/>
          <w:i/>
          <w:iCs/>
          <w:sz w:val="20"/>
          <w:szCs w:val="20"/>
        </w:rPr>
        <w:t>Shof</w:t>
      </w:r>
      <w:r w:rsidRPr="00B75508">
        <w:rPr>
          <w:rFonts w:ascii="Arial" w:hAnsi="Arial"/>
          <w:i/>
          <w:iCs/>
          <w:sz w:val="20"/>
          <w:szCs w:val="20"/>
        </w:rPr>
        <w:t>tim</w:t>
      </w:r>
      <w:r w:rsidRPr="00F976B4">
        <w:rPr>
          <w:rFonts w:ascii="Arial" w:hAnsi="Arial"/>
          <w:sz w:val="20"/>
          <w:szCs w:val="20"/>
        </w:rPr>
        <w:t xml:space="preserve"> 20:26, 21:2), there are critics who prefer the rendering of th</w:t>
      </w:r>
      <w:r w:rsidR="00B75508">
        <w:rPr>
          <w:rFonts w:ascii="Arial" w:hAnsi="Arial"/>
          <w:sz w:val="20"/>
          <w:szCs w:val="20"/>
        </w:rPr>
        <w:t>e Septuagint for this verb; see</w:t>
      </w:r>
      <w:r w:rsidRPr="00F976B4">
        <w:rPr>
          <w:rFonts w:ascii="Arial" w:hAnsi="Arial"/>
          <w:sz w:val="20"/>
          <w:szCs w:val="20"/>
        </w:rPr>
        <w:t xml:space="preserve"> P.</w:t>
      </w:r>
      <w:r w:rsidRPr="00F976B4">
        <w:rPr>
          <w:rFonts w:ascii="Arial" w:hAnsi="Arial"/>
          <w:i/>
          <w:sz w:val="20"/>
          <w:szCs w:val="20"/>
        </w:rPr>
        <w:t xml:space="preserve"> </w:t>
      </w:r>
      <w:r w:rsidRPr="00F976B4">
        <w:rPr>
          <w:rFonts w:ascii="Arial" w:hAnsi="Arial"/>
          <w:sz w:val="20"/>
          <w:szCs w:val="20"/>
        </w:rPr>
        <w:t xml:space="preserve">Beirne, "A Note on Numbers 11:4", </w:t>
      </w:r>
      <w:r w:rsidRPr="00F976B4">
        <w:rPr>
          <w:rFonts w:ascii="Arial" w:hAnsi="Arial"/>
          <w:i/>
          <w:iCs/>
          <w:sz w:val="20"/>
          <w:szCs w:val="20"/>
        </w:rPr>
        <w:t>Bib</w:t>
      </w:r>
      <w:r w:rsidRPr="00F976B4">
        <w:rPr>
          <w:rFonts w:ascii="Arial" w:hAnsi="Arial"/>
          <w:sz w:val="20"/>
          <w:szCs w:val="20"/>
        </w:rPr>
        <w:t xml:space="preserve"> 44 (1963), pp.</w:t>
      </w:r>
      <w:r w:rsidRPr="00F976B4">
        <w:rPr>
          <w:rFonts w:ascii="Arial" w:hAnsi="Arial"/>
          <w:i/>
          <w:sz w:val="20"/>
          <w:szCs w:val="20"/>
        </w:rPr>
        <w:t xml:space="preserve"> </w:t>
      </w:r>
      <w:r w:rsidRPr="00F976B4">
        <w:rPr>
          <w:rFonts w:ascii="Arial" w:hAnsi="Arial"/>
          <w:sz w:val="20"/>
          <w:szCs w:val="20"/>
        </w:rPr>
        <w:t xml:space="preserve">201–203.  Nevertheless, there is certainly a place for the Masoretic rendering, and it does convey a light criticism of the </w:t>
      </w:r>
      <w:r w:rsidRPr="00F976B4">
        <w:rPr>
          <w:rFonts w:ascii="Arial" w:hAnsi="Arial"/>
          <w:i/>
          <w:iCs/>
          <w:sz w:val="20"/>
          <w:szCs w:val="20"/>
        </w:rPr>
        <w:t>Mitavim</w:t>
      </w:r>
      <w:r w:rsidRPr="00F976B4">
        <w:rPr>
          <w:rFonts w:ascii="Arial" w:hAnsi="Arial"/>
          <w:sz w:val="20"/>
          <w:szCs w:val="20"/>
        </w:rPr>
        <w:t>,</w:t>
      </w:r>
      <w:r w:rsidR="00B75508">
        <w:rPr>
          <w:rFonts w:ascii="Arial" w:hAnsi="Arial"/>
          <w:sz w:val="20"/>
          <w:szCs w:val="20"/>
        </w:rPr>
        <w:t xml:space="preserve"> who were dragged in by “the rabble.”</w:t>
      </w:r>
    </w:p>
  </w:footnote>
  <w:footnote w:id="2">
    <w:p w:rsidR="00E27434" w:rsidRPr="00F976B4" w:rsidRDefault="00E27434"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ab/>
      </w:r>
      <w:r w:rsidRPr="00F976B4">
        <w:rPr>
          <w:rFonts w:ascii="Arial" w:hAnsi="Arial"/>
          <w:sz w:val="20"/>
          <w:szCs w:val="20"/>
        </w:rPr>
        <w:t xml:space="preserve">It may be that this allusion is the motivation for the shift in terminology; while in </w:t>
      </w:r>
      <w:r w:rsidRPr="00B75508">
        <w:rPr>
          <w:rFonts w:ascii="Arial" w:hAnsi="Arial"/>
          <w:i/>
          <w:iCs/>
          <w:sz w:val="20"/>
          <w:szCs w:val="20"/>
        </w:rPr>
        <w:t>Shemot</w:t>
      </w:r>
      <w:r w:rsidR="00B75508">
        <w:rPr>
          <w:rFonts w:ascii="Arial" w:hAnsi="Arial"/>
          <w:sz w:val="20"/>
          <w:szCs w:val="20"/>
        </w:rPr>
        <w:t>,</w:t>
      </w:r>
      <w:r w:rsidRPr="00F976B4">
        <w:rPr>
          <w:rFonts w:ascii="Arial" w:hAnsi="Arial"/>
          <w:sz w:val="20"/>
          <w:szCs w:val="20"/>
        </w:rPr>
        <w:t xml:space="preserve"> the manna is likened to “a honey wafer” (16:31), here the narrator prefers to compare it to oil, which conjures images of fat and wealth. </w:t>
      </w:r>
      <w:r w:rsidRPr="00F976B4">
        <w:rPr>
          <w:rFonts w:ascii="Arial" w:hAnsi="Arial"/>
          <w:i/>
          <w:sz w:val="20"/>
          <w:szCs w:val="20"/>
        </w:rPr>
        <w:t xml:space="preserve"> </w:t>
      </w:r>
    </w:p>
  </w:footnote>
  <w:footnote w:id="3">
    <w:p w:rsidR="00E27434" w:rsidRPr="00F976B4" w:rsidRDefault="00E27434"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00B75508">
        <w:rPr>
          <w:rFonts w:ascii="Arial" w:hAnsi="Arial"/>
          <w:sz w:val="20"/>
          <w:szCs w:val="20"/>
        </w:rPr>
        <w:t xml:space="preserve"> </w:t>
      </w:r>
      <w:r w:rsidR="00B75508">
        <w:rPr>
          <w:rFonts w:ascii="Arial" w:hAnsi="Arial"/>
          <w:sz w:val="20"/>
          <w:szCs w:val="20"/>
        </w:rPr>
        <w:t xml:space="preserve">Meir Sternberg, </w:t>
      </w:r>
      <w:r w:rsidRPr="00F976B4">
        <w:rPr>
          <w:rFonts w:ascii="Arial" w:hAnsi="Arial"/>
          <w:i/>
          <w:iCs/>
          <w:sz w:val="20"/>
          <w:szCs w:val="20"/>
        </w:rPr>
        <w:t>Expositional Modes and Temporal Ordering in Fiction</w:t>
      </w:r>
      <w:r w:rsidRPr="00F976B4">
        <w:rPr>
          <w:rFonts w:ascii="Arial" w:hAnsi="Arial"/>
          <w:sz w:val="20"/>
          <w:szCs w:val="20"/>
        </w:rPr>
        <w:t xml:space="preserve"> </w:t>
      </w:r>
      <w:r w:rsidR="00B75508">
        <w:rPr>
          <w:rFonts w:ascii="Arial" w:hAnsi="Arial"/>
          <w:sz w:val="20"/>
          <w:szCs w:val="20"/>
        </w:rPr>
        <w:t>(</w:t>
      </w:r>
      <w:r w:rsidRPr="00F976B4">
        <w:rPr>
          <w:rFonts w:ascii="Arial" w:hAnsi="Arial"/>
          <w:sz w:val="20"/>
          <w:szCs w:val="20"/>
        </w:rPr>
        <w:t xml:space="preserve">Baltimore 1978) offers a wide-ranging analysis of the importance of exposition generally (which does not deal with </w:t>
      </w:r>
      <w:r w:rsidRPr="00B75508">
        <w:rPr>
          <w:rFonts w:ascii="Arial" w:hAnsi="Arial"/>
          <w:i/>
          <w:iCs/>
          <w:sz w:val="20"/>
          <w:szCs w:val="20"/>
        </w:rPr>
        <w:t>Tanakh</w:t>
      </w:r>
      <w:r w:rsidRPr="00F976B4">
        <w:rPr>
          <w:rFonts w:ascii="Arial" w:hAnsi="Arial"/>
          <w:sz w:val="20"/>
          <w:szCs w:val="20"/>
        </w:rPr>
        <w:t xml:space="preserve"> per se, but his observations about exposition are relevant to biblical exposition as well).  In terms of the biblical narrative, see the doctoral thesis of Yael Tzohar, </w:t>
      </w:r>
      <w:r w:rsidR="00B75508">
        <w:rPr>
          <w:rFonts w:ascii="Arial" w:hAnsi="Arial"/>
          <w:i/>
          <w:iCs/>
          <w:sz w:val="20"/>
          <w:szCs w:val="20"/>
        </w:rPr>
        <w:t>Ha-Matzag Ba-S</w:t>
      </w:r>
      <w:r w:rsidRPr="00F976B4">
        <w:rPr>
          <w:rFonts w:ascii="Arial" w:hAnsi="Arial"/>
          <w:i/>
          <w:iCs/>
          <w:sz w:val="20"/>
          <w:szCs w:val="20"/>
        </w:rPr>
        <w:t>ippur Ha-Mikra’i</w:t>
      </w:r>
      <w:r w:rsidRPr="00F976B4">
        <w:rPr>
          <w:rFonts w:ascii="Arial" w:hAnsi="Arial"/>
          <w:sz w:val="20"/>
          <w:szCs w:val="20"/>
        </w:rPr>
        <w:t xml:space="preserve"> </w:t>
      </w:r>
      <w:r w:rsidR="00B75508">
        <w:rPr>
          <w:rFonts w:ascii="Arial" w:hAnsi="Arial"/>
          <w:sz w:val="20"/>
          <w:szCs w:val="20"/>
        </w:rPr>
        <w:t>(</w:t>
      </w:r>
      <w:r w:rsidRPr="00F976B4">
        <w:rPr>
          <w:rFonts w:ascii="Arial" w:hAnsi="Arial"/>
          <w:sz w:val="20"/>
          <w:szCs w:val="20"/>
        </w:rPr>
        <w:t>Bar-Ilan University, 5766</w:t>
      </w:r>
      <w:r w:rsidR="00B75508">
        <w:rPr>
          <w:rFonts w:ascii="Arial" w:hAnsi="Arial"/>
          <w:sz w:val="20"/>
          <w:szCs w:val="20"/>
        </w:rPr>
        <w:t>)</w:t>
      </w:r>
      <w:r w:rsidRPr="00F976B4">
        <w:rPr>
          <w:rFonts w:ascii="Arial" w:hAnsi="Arial"/>
          <w:sz w:val="20"/>
          <w:szCs w:val="20"/>
        </w:rPr>
        <w:t>.</w:t>
      </w:r>
      <w:r w:rsidRPr="00F976B4">
        <w:rPr>
          <w:rFonts w:ascii="Arial" w:hAnsi="Arial"/>
          <w:i/>
          <w:sz w:val="20"/>
          <w:szCs w:val="20"/>
        </w:rPr>
        <w:t xml:space="preserve"> </w:t>
      </w:r>
      <w:r w:rsidRPr="00F976B4">
        <w:rPr>
          <w:rFonts w:ascii="Arial" w:hAnsi="Arial"/>
          <w:sz w:val="20"/>
          <w:szCs w:val="20"/>
        </w:rPr>
        <w:t xml:space="preserve">The accepted definition of exposition is “the entirety of the materials required for the reader to understand the essence or at least the beginning of the narrative” (Yosef Even, </w:t>
      </w:r>
      <w:r w:rsidR="00B75508">
        <w:rPr>
          <w:rFonts w:ascii="Arial" w:hAnsi="Arial"/>
          <w:i/>
          <w:iCs/>
          <w:sz w:val="20"/>
          <w:szCs w:val="20"/>
        </w:rPr>
        <w:t>Millon Ha-S</w:t>
      </w:r>
      <w:r w:rsidRPr="00F976B4">
        <w:rPr>
          <w:rFonts w:ascii="Arial" w:hAnsi="Arial"/>
          <w:i/>
          <w:iCs/>
          <w:sz w:val="20"/>
          <w:szCs w:val="20"/>
        </w:rPr>
        <w:t>ipporet</w:t>
      </w:r>
      <w:r w:rsidRPr="00F976B4">
        <w:rPr>
          <w:rFonts w:ascii="Arial" w:hAnsi="Arial"/>
          <w:sz w:val="20"/>
          <w:szCs w:val="20"/>
        </w:rPr>
        <w:t>, pp.</w:t>
      </w:r>
      <w:r w:rsidRPr="00F976B4">
        <w:rPr>
          <w:rFonts w:ascii="Arial" w:hAnsi="Arial"/>
          <w:i/>
          <w:sz w:val="20"/>
          <w:szCs w:val="20"/>
        </w:rPr>
        <w:t xml:space="preserve"> </w:t>
      </w:r>
      <w:r w:rsidRPr="00F976B4">
        <w:rPr>
          <w:rFonts w:ascii="Arial" w:hAnsi="Arial"/>
          <w:sz w:val="20"/>
          <w:szCs w:val="20"/>
        </w:rPr>
        <w:t xml:space="preserve">87-88). </w:t>
      </w:r>
      <w:r w:rsidRPr="00F976B4">
        <w:rPr>
          <w:rFonts w:ascii="Arial" w:hAnsi="Arial"/>
          <w:i/>
          <w:sz w:val="20"/>
          <w:szCs w:val="20"/>
        </w:rPr>
        <w:t xml:space="preserve"> </w:t>
      </w:r>
      <w:r w:rsidRPr="00F976B4">
        <w:rPr>
          <w:rFonts w:ascii="Arial" w:hAnsi="Arial"/>
          <w:sz w:val="20"/>
          <w:szCs w:val="20"/>
        </w:rPr>
        <w:t xml:space="preserve">The “exposition” goes beyond </w:t>
      </w:r>
      <w:r w:rsidR="00B75508">
        <w:rPr>
          <w:rFonts w:ascii="Arial" w:hAnsi="Arial"/>
          <w:sz w:val="20"/>
          <w:szCs w:val="20"/>
        </w:rPr>
        <w:t>the scope of the narrative; it “exposes”</w:t>
      </w:r>
      <w:r w:rsidRPr="00F976B4">
        <w:rPr>
          <w:rFonts w:ascii="Arial" w:hAnsi="Arial"/>
          <w:sz w:val="20"/>
          <w:szCs w:val="20"/>
        </w:rPr>
        <w:t xml:space="preserve"> a number of facts </w:t>
      </w:r>
      <w:r w:rsidR="00B75508">
        <w:rPr>
          <w:rFonts w:ascii="Arial" w:hAnsi="Arial"/>
          <w:sz w:val="20"/>
          <w:szCs w:val="20"/>
        </w:rPr>
        <w:t>that</w:t>
      </w:r>
      <w:r w:rsidRPr="00F976B4">
        <w:rPr>
          <w:rFonts w:ascii="Arial" w:hAnsi="Arial"/>
          <w:sz w:val="20"/>
          <w:szCs w:val="20"/>
        </w:rPr>
        <w:t xml:space="preserve"> are important for understanding the narrative but do not take a role in the progress of the plot.</w:t>
      </w:r>
    </w:p>
  </w:footnote>
  <w:footnote w:id="4">
    <w:p w:rsidR="00E27434" w:rsidRPr="00F976B4" w:rsidRDefault="00E27434"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ab/>
      </w:r>
      <w:r w:rsidRPr="00F976B4">
        <w:rPr>
          <w:rFonts w:ascii="Arial" w:hAnsi="Arial"/>
          <w:sz w:val="20"/>
          <w:szCs w:val="20"/>
        </w:rPr>
        <w:t xml:space="preserve">As is evident, a subversive reader may not respond to the will of the narrator and may adjust the evaluation of the characters at will.  Sometimes, these subversive readings can be very refreshing, but they naturally </w:t>
      </w:r>
      <w:r w:rsidR="006477C9">
        <w:rPr>
          <w:rFonts w:ascii="Arial" w:hAnsi="Arial"/>
          <w:sz w:val="20"/>
          <w:szCs w:val="20"/>
        </w:rPr>
        <w:t>skew the judgment of the verse.</w:t>
      </w:r>
      <w:r w:rsidRPr="00F976B4">
        <w:rPr>
          <w:rFonts w:ascii="Arial" w:hAnsi="Arial"/>
          <w:i/>
          <w:sz w:val="20"/>
          <w:szCs w:val="20"/>
        </w:rPr>
        <w:t xml:space="preserve"> </w:t>
      </w:r>
      <w:r w:rsidRPr="00F976B4">
        <w:rPr>
          <w:rFonts w:ascii="Arial" w:hAnsi="Arial"/>
          <w:sz w:val="20"/>
          <w:szCs w:val="20"/>
        </w:rPr>
        <w:t>Meir Shalev does this in his reading of the above-mentio</w:t>
      </w:r>
      <w:r w:rsidR="006477C9">
        <w:rPr>
          <w:rFonts w:ascii="Arial" w:hAnsi="Arial"/>
          <w:sz w:val="20"/>
          <w:szCs w:val="20"/>
        </w:rPr>
        <w:t>ned story of David and Avigayil</w:t>
      </w:r>
      <w:r w:rsidRPr="00F976B4">
        <w:rPr>
          <w:rFonts w:ascii="Arial" w:hAnsi="Arial"/>
          <w:sz w:val="20"/>
          <w:szCs w:val="20"/>
        </w:rPr>
        <w:t xml:space="preserve"> in his book </w:t>
      </w:r>
      <w:r w:rsidRPr="00F976B4">
        <w:rPr>
          <w:rFonts w:ascii="Arial" w:hAnsi="Arial"/>
          <w:i/>
          <w:iCs/>
          <w:sz w:val="20"/>
          <w:szCs w:val="20"/>
        </w:rPr>
        <w:t>Tanakh Akhshav</w:t>
      </w:r>
      <w:r w:rsidRPr="00F976B4">
        <w:rPr>
          <w:rFonts w:ascii="Arial" w:hAnsi="Arial"/>
          <w:sz w:val="20"/>
          <w:szCs w:val="20"/>
        </w:rPr>
        <w:t xml:space="preserve"> (1985).</w:t>
      </w:r>
    </w:p>
  </w:footnote>
  <w:footnote w:id="5">
    <w:p w:rsidR="00E27434" w:rsidRPr="00F976B4" w:rsidRDefault="00E27434"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ab/>
      </w:r>
      <w:r w:rsidRPr="00F976B4">
        <w:rPr>
          <w:rFonts w:ascii="Arial" w:hAnsi="Arial"/>
          <w:sz w:val="20"/>
          <w:szCs w:val="20"/>
        </w:rPr>
        <w:t>U.</w:t>
      </w:r>
      <w:r w:rsidRPr="00F976B4">
        <w:rPr>
          <w:rFonts w:ascii="Arial" w:hAnsi="Arial"/>
          <w:i/>
          <w:sz w:val="20"/>
          <w:szCs w:val="20"/>
        </w:rPr>
        <w:t xml:space="preserve"> </w:t>
      </w:r>
      <w:r w:rsidRPr="00F976B4">
        <w:rPr>
          <w:rFonts w:ascii="Arial" w:hAnsi="Arial"/>
          <w:sz w:val="20"/>
          <w:szCs w:val="20"/>
        </w:rPr>
        <w:t xml:space="preserve">Simon, </w:t>
      </w:r>
      <w:r w:rsidRPr="00F976B4">
        <w:rPr>
          <w:rFonts w:ascii="Arial" w:hAnsi="Arial"/>
          <w:i/>
          <w:iCs/>
          <w:sz w:val="20"/>
          <w:szCs w:val="20"/>
        </w:rPr>
        <w:t>"</w:t>
      </w:r>
      <w:r w:rsidR="006477C9">
        <w:rPr>
          <w:rFonts w:ascii="Arial" w:hAnsi="Arial"/>
          <w:i/>
          <w:iCs/>
          <w:sz w:val="20"/>
          <w:szCs w:val="20"/>
        </w:rPr>
        <w:t>Sippur Mikra’i Bi-T</w:t>
      </w:r>
      <w:r w:rsidRPr="00F976B4">
        <w:rPr>
          <w:rFonts w:ascii="Arial" w:hAnsi="Arial"/>
          <w:i/>
          <w:iCs/>
          <w:sz w:val="20"/>
          <w:szCs w:val="20"/>
        </w:rPr>
        <w:t>efisa Ironit: Al Ha-</w:t>
      </w:r>
      <w:r w:rsidRPr="00F976B4">
        <w:rPr>
          <w:rStyle w:val="il"/>
          <w:rFonts w:ascii="Arial" w:hAnsi="Arial"/>
          <w:i/>
          <w:iCs/>
          <w:sz w:val="20"/>
          <w:szCs w:val="20"/>
        </w:rPr>
        <w:t>Interpretatzia</w:t>
      </w:r>
      <w:r w:rsidRPr="00F976B4">
        <w:rPr>
          <w:rFonts w:ascii="Arial" w:hAnsi="Arial"/>
          <w:i/>
          <w:iCs/>
          <w:sz w:val="20"/>
          <w:szCs w:val="20"/>
        </w:rPr>
        <w:t xml:space="preserve"> shel Sippur David U-Vat Sheva," Ha-Sifrut</w:t>
      </w:r>
      <w:r w:rsidRPr="00F976B4">
        <w:rPr>
          <w:rFonts w:ascii="Arial" w:hAnsi="Arial"/>
          <w:sz w:val="20"/>
          <w:szCs w:val="20"/>
        </w:rPr>
        <w:t xml:space="preserve"> 2 (5730), p.</w:t>
      </w:r>
      <w:r w:rsidRPr="00F976B4">
        <w:rPr>
          <w:rFonts w:ascii="Arial" w:hAnsi="Arial"/>
          <w:i/>
          <w:sz w:val="20"/>
          <w:szCs w:val="20"/>
        </w:rPr>
        <w:t xml:space="preserve"> </w:t>
      </w:r>
      <w:r w:rsidRPr="00F976B4">
        <w:rPr>
          <w:rFonts w:ascii="Arial" w:hAnsi="Arial"/>
          <w:sz w:val="20"/>
          <w:szCs w:val="20"/>
        </w:rPr>
        <w:t>601.</w:t>
      </w:r>
    </w:p>
  </w:footnote>
  <w:footnote w:id="6">
    <w:p w:rsidR="00E27434" w:rsidRPr="00F976B4" w:rsidRDefault="00E27434"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ab/>
      </w:r>
      <w:proofErr w:type="spellStart"/>
      <w:r w:rsidRPr="00F976B4">
        <w:rPr>
          <w:rFonts w:ascii="Arial" w:hAnsi="Arial"/>
          <w:sz w:val="20"/>
          <w:szCs w:val="20"/>
        </w:rPr>
        <w:t>Yair</w:t>
      </w:r>
      <w:proofErr w:type="spellEnd"/>
      <w:r w:rsidRPr="00F976B4">
        <w:rPr>
          <w:rFonts w:ascii="Arial" w:hAnsi="Arial"/>
          <w:sz w:val="20"/>
          <w:szCs w:val="20"/>
        </w:rPr>
        <w:t xml:space="preserve"> </w:t>
      </w:r>
      <w:proofErr w:type="spellStart"/>
      <w:r w:rsidRPr="00F976B4">
        <w:rPr>
          <w:rFonts w:ascii="Arial" w:hAnsi="Arial"/>
          <w:sz w:val="20"/>
          <w:szCs w:val="20"/>
        </w:rPr>
        <w:t>Zakovitch</w:t>
      </w:r>
      <w:proofErr w:type="spellEnd"/>
      <w:r w:rsidRPr="00F976B4">
        <w:rPr>
          <w:rFonts w:ascii="Arial" w:hAnsi="Arial"/>
          <w:sz w:val="20"/>
          <w:szCs w:val="20"/>
        </w:rPr>
        <w:t xml:space="preserve"> expands on reading the narrative in light of this assumption in </w:t>
      </w:r>
      <w:r w:rsidRPr="00F976B4">
        <w:rPr>
          <w:rStyle w:val="il"/>
          <w:rFonts w:ascii="Arial" w:hAnsi="Arial"/>
          <w:i/>
          <w:iCs/>
          <w:sz w:val="20"/>
          <w:szCs w:val="20"/>
        </w:rPr>
        <w:t>Gavoah</w:t>
      </w:r>
      <w:r w:rsidRPr="00F976B4">
        <w:rPr>
          <w:rFonts w:ascii="Arial" w:hAnsi="Arial"/>
          <w:i/>
          <w:iCs/>
          <w:sz w:val="20"/>
          <w:szCs w:val="20"/>
        </w:rPr>
        <w:t xml:space="preserve"> Mei-Al </w:t>
      </w:r>
      <w:r w:rsidRPr="00F976B4">
        <w:rPr>
          <w:rStyle w:val="il"/>
          <w:rFonts w:ascii="Arial" w:hAnsi="Arial"/>
          <w:i/>
          <w:iCs/>
          <w:sz w:val="20"/>
          <w:szCs w:val="20"/>
        </w:rPr>
        <w:t>Gavoah</w:t>
      </w:r>
      <w:r w:rsidRPr="00F976B4">
        <w:rPr>
          <w:rFonts w:ascii="Arial" w:hAnsi="Arial"/>
          <w:sz w:val="20"/>
          <w:szCs w:val="20"/>
        </w:rPr>
        <w:t xml:space="preserve"> (Tel Aviv 5745).</w:t>
      </w:r>
      <w:r w:rsidRPr="00F976B4">
        <w:rPr>
          <w:rFonts w:ascii="Arial" w:hAnsi="Arial"/>
          <w:i/>
          <w:sz w:val="20"/>
          <w:szCs w:val="20"/>
        </w:rPr>
        <w:t xml:space="preserve">  </w:t>
      </w:r>
      <w:r w:rsidRPr="00F976B4">
        <w:rPr>
          <w:rFonts w:ascii="Arial" w:hAnsi="Arial"/>
          <w:sz w:val="20"/>
          <w:szCs w:val="20"/>
        </w:rPr>
        <w:t>In terms of the exposition under discussion, see pp.</w:t>
      </w:r>
      <w:r w:rsidRPr="00F976B4">
        <w:rPr>
          <w:rFonts w:ascii="Arial" w:hAnsi="Arial"/>
          <w:i/>
          <w:sz w:val="20"/>
          <w:szCs w:val="20"/>
        </w:rPr>
        <w:t xml:space="preserve"> </w:t>
      </w:r>
      <w:r w:rsidRPr="00F976B4">
        <w:rPr>
          <w:rFonts w:ascii="Arial" w:hAnsi="Arial"/>
          <w:sz w:val="20"/>
          <w:szCs w:val="20"/>
        </w:rPr>
        <w:t>18-27.</w:t>
      </w:r>
    </w:p>
  </w:footnote>
  <w:footnote w:id="7">
    <w:p w:rsidR="006477C9" w:rsidRPr="00F976B4" w:rsidRDefault="006477C9"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ab/>
      </w:r>
      <w:proofErr w:type="spellStart"/>
      <w:r w:rsidRPr="00F976B4">
        <w:rPr>
          <w:rFonts w:ascii="Arial" w:hAnsi="Arial"/>
          <w:sz w:val="20"/>
          <w:szCs w:val="20"/>
        </w:rPr>
        <w:t>Tzohar</w:t>
      </w:r>
      <w:proofErr w:type="spellEnd"/>
      <w:r w:rsidRPr="00F976B4">
        <w:rPr>
          <w:rFonts w:ascii="Arial" w:hAnsi="Arial"/>
          <w:sz w:val="20"/>
          <w:szCs w:val="20"/>
        </w:rPr>
        <w:t xml:space="preserve">, </w:t>
      </w:r>
      <w:r>
        <w:rPr>
          <w:rFonts w:ascii="Arial" w:hAnsi="Arial"/>
          <w:i/>
          <w:iCs/>
          <w:sz w:val="20"/>
          <w:szCs w:val="20"/>
        </w:rPr>
        <w:t>Ha-</w:t>
      </w:r>
      <w:proofErr w:type="spellStart"/>
      <w:r>
        <w:rPr>
          <w:rFonts w:ascii="Arial" w:hAnsi="Arial"/>
          <w:i/>
          <w:iCs/>
          <w:sz w:val="20"/>
          <w:szCs w:val="20"/>
        </w:rPr>
        <w:t>M</w:t>
      </w:r>
      <w:r w:rsidRPr="00F976B4">
        <w:rPr>
          <w:rFonts w:ascii="Arial" w:hAnsi="Arial"/>
          <w:i/>
          <w:iCs/>
          <w:sz w:val="20"/>
          <w:szCs w:val="20"/>
        </w:rPr>
        <w:t>atzag</w:t>
      </w:r>
      <w:proofErr w:type="spellEnd"/>
      <w:r w:rsidRPr="00F976B4">
        <w:rPr>
          <w:rFonts w:ascii="Arial" w:hAnsi="Arial"/>
          <w:i/>
          <w:iCs/>
          <w:sz w:val="20"/>
          <w:szCs w:val="20"/>
        </w:rPr>
        <w:t xml:space="preserve"> Ba-</w:t>
      </w:r>
      <w:proofErr w:type="spellStart"/>
      <w:r w:rsidRPr="00F976B4">
        <w:rPr>
          <w:rFonts w:ascii="Arial" w:hAnsi="Arial"/>
          <w:i/>
          <w:iCs/>
          <w:sz w:val="20"/>
          <w:szCs w:val="20"/>
        </w:rPr>
        <w:t>Sippur</w:t>
      </w:r>
      <w:proofErr w:type="spellEnd"/>
      <w:r w:rsidRPr="00F976B4">
        <w:rPr>
          <w:rFonts w:ascii="Arial" w:hAnsi="Arial"/>
          <w:i/>
          <w:iCs/>
          <w:sz w:val="20"/>
          <w:szCs w:val="20"/>
        </w:rPr>
        <w:t xml:space="preserve"> Ha-Mikra’i</w:t>
      </w:r>
      <w:r w:rsidRPr="00F976B4">
        <w:rPr>
          <w:rFonts w:ascii="Arial" w:hAnsi="Arial"/>
          <w:sz w:val="20"/>
          <w:szCs w:val="20"/>
        </w:rPr>
        <w:t>, pp.</w:t>
      </w:r>
      <w:r w:rsidRPr="00F976B4">
        <w:rPr>
          <w:rFonts w:ascii="Arial" w:hAnsi="Arial"/>
          <w:i/>
          <w:sz w:val="20"/>
          <w:szCs w:val="20"/>
        </w:rPr>
        <w:t xml:space="preserve"> </w:t>
      </w:r>
      <w:r w:rsidRPr="00F976B4">
        <w:rPr>
          <w:rFonts w:ascii="Arial" w:hAnsi="Arial"/>
          <w:sz w:val="20"/>
          <w:szCs w:val="20"/>
        </w:rPr>
        <w:t>47-51.</w:t>
      </w:r>
      <w:r w:rsidRPr="00F976B4">
        <w:rPr>
          <w:rFonts w:ascii="Arial" w:hAnsi="Arial"/>
          <w:i/>
          <w:sz w:val="20"/>
          <w:szCs w:val="20"/>
        </w:rPr>
        <w:t xml:space="preserve">  </w:t>
      </w:r>
      <w:r w:rsidRPr="00F976B4">
        <w:rPr>
          <w:rFonts w:ascii="Arial" w:hAnsi="Arial"/>
          <w:sz w:val="20"/>
          <w:szCs w:val="20"/>
        </w:rPr>
        <w:t xml:space="preserve">For other examples of explicative exposition, see: </w:t>
      </w:r>
      <w:r w:rsidRPr="006477C9">
        <w:rPr>
          <w:rFonts w:ascii="Arial" w:hAnsi="Arial"/>
          <w:i/>
          <w:iCs/>
          <w:sz w:val="20"/>
          <w:szCs w:val="20"/>
        </w:rPr>
        <w:t>Bereishit</w:t>
      </w:r>
      <w:r w:rsidRPr="00F976B4">
        <w:rPr>
          <w:rFonts w:ascii="Arial" w:hAnsi="Arial"/>
          <w:sz w:val="20"/>
          <w:szCs w:val="20"/>
        </w:rPr>
        <w:t xml:space="preserve"> 18:1; </w:t>
      </w:r>
      <w:r w:rsidRPr="006477C9">
        <w:rPr>
          <w:rFonts w:ascii="Arial" w:hAnsi="Arial"/>
          <w:i/>
          <w:iCs/>
          <w:sz w:val="20"/>
          <w:szCs w:val="20"/>
        </w:rPr>
        <w:t>Yehoshua</w:t>
      </w:r>
      <w:r w:rsidRPr="00F976B4">
        <w:rPr>
          <w:rFonts w:ascii="Arial" w:hAnsi="Arial"/>
          <w:sz w:val="20"/>
          <w:szCs w:val="20"/>
        </w:rPr>
        <w:t xml:space="preserve"> 7:1; II </w:t>
      </w:r>
      <w:r w:rsidRPr="006477C9">
        <w:rPr>
          <w:rFonts w:ascii="Arial" w:hAnsi="Arial"/>
          <w:i/>
          <w:iCs/>
          <w:sz w:val="20"/>
          <w:szCs w:val="20"/>
        </w:rPr>
        <w:t>Melakhim</w:t>
      </w:r>
      <w:r w:rsidRPr="00F976B4">
        <w:rPr>
          <w:rFonts w:ascii="Arial" w:hAnsi="Arial"/>
          <w:sz w:val="20"/>
          <w:szCs w:val="20"/>
        </w:rPr>
        <w:t xml:space="preserve"> 2:1, 13:14.</w:t>
      </w:r>
    </w:p>
  </w:footnote>
  <w:footnote w:id="8">
    <w:p w:rsidR="00E27434" w:rsidRPr="00F976B4" w:rsidRDefault="00E27434"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ab/>
      </w:r>
      <w:r w:rsidRPr="00F976B4">
        <w:rPr>
          <w:rFonts w:ascii="Arial" w:hAnsi="Arial"/>
          <w:sz w:val="20"/>
          <w:szCs w:val="20"/>
        </w:rPr>
        <w:t>S.</w:t>
      </w:r>
      <w:r w:rsidRPr="00F976B4">
        <w:rPr>
          <w:rFonts w:ascii="Arial" w:hAnsi="Arial"/>
          <w:i/>
          <w:sz w:val="20"/>
          <w:szCs w:val="20"/>
        </w:rPr>
        <w:t xml:space="preserve"> </w:t>
      </w:r>
      <w:r w:rsidRPr="00F976B4">
        <w:rPr>
          <w:rFonts w:ascii="Arial" w:hAnsi="Arial"/>
          <w:sz w:val="20"/>
          <w:szCs w:val="20"/>
        </w:rPr>
        <w:t xml:space="preserve">Talmon, </w:t>
      </w:r>
      <w:r w:rsidR="006477C9">
        <w:rPr>
          <w:rFonts w:ascii="Arial" w:hAnsi="Arial"/>
          <w:i/>
          <w:iCs/>
          <w:sz w:val="20"/>
          <w:szCs w:val="20"/>
        </w:rPr>
        <w:t>Darkei Ha-S</w:t>
      </w:r>
      <w:r w:rsidRPr="00F976B4">
        <w:rPr>
          <w:rFonts w:ascii="Arial" w:hAnsi="Arial"/>
          <w:i/>
          <w:iCs/>
          <w:sz w:val="20"/>
          <w:szCs w:val="20"/>
        </w:rPr>
        <w:t>ippur Ba-Mikra</w:t>
      </w:r>
      <w:r w:rsidRPr="00F976B4">
        <w:rPr>
          <w:rFonts w:ascii="Arial" w:hAnsi="Arial"/>
          <w:sz w:val="20"/>
          <w:szCs w:val="20"/>
        </w:rPr>
        <w:t xml:space="preserve"> </w:t>
      </w:r>
      <w:r w:rsidR="006477C9">
        <w:rPr>
          <w:rFonts w:ascii="Arial" w:hAnsi="Arial"/>
          <w:sz w:val="20"/>
          <w:szCs w:val="20"/>
        </w:rPr>
        <w:t>(</w:t>
      </w:r>
      <w:r w:rsidRPr="00F976B4">
        <w:rPr>
          <w:rFonts w:ascii="Arial" w:hAnsi="Arial"/>
          <w:sz w:val="20"/>
          <w:szCs w:val="20"/>
        </w:rPr>
        <w:t>Jerusalem</w:t>
      </w:r>
      <w:r w:rsidR="006477C9">
        <w:rPr>
          <w:rFonts w:ascii="Arial" w:hAnsi="Arial"/>
          <w:sz w:val="20"/>
          <w:szCs w:val="20"/>
        </w:rPr>
        <w:t>,</w:t>
      </w:r>
      <w:r w:rsidRPr="00F976B4">
        <w:rPr>
          <w:rFonts w:ascii="Arial" w:hAnsi="Arial"/>
          <w:sz w:val="20"/>
          <w:szCs w:val="20"/>
        </w:rPr>
        <w:t xml:space="preserve"> 5725</w:t>
      </w:r>
      <w:r w:rsidR="006477C9">
        <w:rPr>
          <w:rFonts w:ascii="Arial" w:hAnsi="Arial"/>
          <w:sz w:val="20"/>
          <w:szCs w:val="20"/>
        </w:rPr>
        <w:t>)</w:t>
      </w:r>
      <w:r w:rsidRPr="00F976B4">
        <w:rPr>
          <w:rFonts w:ascii="Arial" w:hAnsi="Arial"/>
          <w:sz w:val="20"/>
          <w:szCs w:val="20"/>
        </w:rPr>
        <w:t>, pp.</w:t>
      </w:r>
      <w:r w:rsidRPr="00F976B4">
        <w:rPr>
          <w:rFonts w:ascii="Arial" w:hAnsi="Arial"/>
          <w:i/>
          <w:sz w:val="20"/>
          <w:szCs w:val="20"/>
        </w:rPr>
        <w:t xml:space="preserve"> </w:t>
      </w:r>
      <w:r w:rsidRPr="00F976B4">
        <w:rPr>
          <w:rFonts w:ascii="Arial" w:hAnsi="Arial"/>
          <w:sz w:val="20"/>
          <w:szCs w:val="20"/>
        </w:rPr>
        <w:t>27-31.</w:t>
      </w:r>
    </w:p>
  </w:footnote>
  <w:footnote w:id="9">
    <w:p w:rsidR="00E27434" w:rsidRPr="00F976B4" w:rsidRDefault="00E27434"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ab/>
      </w:r>
      <w:r w:rsidRPr="00F976B4">
        <w:rPr>
          <w:rFonts w:ascii="Arial" w:hAnsi="Arial"/>
          <w:i/>
          <w:sz w:val="20"/>
          <w:szCs w:val="20"/>
        </w:rPr>
        <w:t xml:space="preserve"> </w:t>
      </w:r>
      <w:r w:rsidR="006477C9">
        <w:rPr>
          <w:rFonts w:ascii="Arial" w:hAnsi="Arial"/>
          <w:sz w:val="20"/>
          <w:szCs w:val="20"/>
        </w:rPr>
        <w:t>Compare</w:t>
      </w:r>
      <w:r w:rsidRPr="00F976B4">
        <w:rPr>
          <w:rFonts w:ascii="Arial" w:hAnsi="Arial"/>
          <w:sz w:val="20"/>
          <w:szCs w:val="20"/>
        </w:rPr>
        <w:t xml:space="preserve"> J.</w:t>
      </w:r>
      <w:r w:rsidRPr="00F976B4">
        <w:rPr>
          <w:rFonts w:ascii="Arial" w:hAnsi="Arial"/>
          <w:i/>
          <w:sz w:val="20"/>
          <w:szCs w:val="20"/>
        </w:rPr>
        <w:t xml:space="preserve"> </w:t>
      </w:r>
      <w:r w:rsidRPr="00F976B4">
        <w:rPr>
          <w:rFonts w:ascii="Arial" w:hAnsi="Arial"/>
          <w:sz w:val="20"/>
          <w:szCs w:val="20"/>
        </w:rPr>
        <w:t>P.</w:t>
      </w:r>
      <w:r w:rsidRPr="00F976B4">
        <w:rPr>
          <w:rFonts w:ascii="Arial" w:hAnsi="Arial"/>
          <w:i/>
          <w:sz w:val="20"/>
          <w:szCs w:val="20"/>
        </w:rPr>
        <w:t xml:space="preserve"> </w:t>
      </w:r>
      <w:r w:rsidRPr="00F976B4">
        <w:rPr>
          <w:rFonts w:ascii="Arial" w:hAnsi="Arial"/>
          <w:sz w:val="20"/>
          <w:szCs w:val="20"/>
        </w:rPr>
        <w:t xml:space="preserve">Fokkelman, </w:t>
      </w:r>
      <w:r w:rsidRPr="00F976B4">
        <w:rPr>
          <w:rFonts w:ascii="Arial" w:hAnsi="Arial"/>
          <w:i/>
          <w:iCs/>
          <w:sz w:val="20"/>
          <w:szCs w:val="20"/>
        </w:rPr>
        <w:t>Reading Biblical Narrative: An Introductory Guide</w:t>
      </w:r>
      <w:r w:rsidRPr="00F976B4">
        <w:rPr>
          <w:rFonts w:ascii="Arial" w:hAnsi="Arial"/>
          <w:sz w:val="20"/>
          <w:szCs w:val="20"/>
        </w:rPr>
        <w:t xml:space="preserve"> </w:t>
      </w:r>
      <w:r w:rsidR="006477C9">
        <w:rPr>
          <w:rFonts w:ascii="Arial" w:hAnsi="Arial"/>
          <w:sz w:val="20"/>
          <w:szCs w:val="20"/>
        </w:rPr>
        <w:t>(</w:t>
      </w:r>
      <w:r w:rsidRPr="00F976B4">
        <w:rPr>
          <w:rFonts w:ascii="Arial" w:hAnsi="Arial"/>
          <w:sz w:val="20"/>
          <w:szCs w:val="20"/>
        </w:rPr>
        <w:t>Leiderdrop 1999</w:t>
      </w:r>
      <w:r w:rsidR="006477C9">
        <w:rPr>
          <w:rFonts w:ascii="Arial" w:hAnsi="Arial"/>
          <w:sz w:val="20"/>
          <w:szCs w:val="20"/>
        </w:rPr>
        <w:t>)</w:t>
      </w:r>
      <w:r w:rsidRPr="00F976B4">
        <w:rPr>
          <w:rFonts w:ascii="Arial" w:hAnsi="Arial"/>
          <w:sz w:val="20"/>
          <w:szCs w:val="20"/>
        </w:rPr>
        <w:t>, p.</w:t>
      </w:r>
      <w:r w:rsidRPr="00F976B4">
        <w:rPr>
          <w:rFonts w:ascii="Arial" w:hAnsi="Arial"/>
          <w:i/>
          <w:sz w:val="20"/>
          <w:szCs w:val="20"/>
        </w:rPr>
        <w:t xml:space="preserve"> </w:t>
      </w:r>
      <w:r w:rsidRPr="00F976B4">
        <w:rPr>
          <w:rFonts w:ascii="Arial" w:hAnsi="Arial"/>
          <w:sz w:val="20"/>
          <w:szCs w:val="20"/>
        </w:rPr>
        <w:t>124.</w:t>
      </w:r>
    </w:p>
  </w:footnote>
  <w:footnote w:id="10">
    <w:p w:rsidR="00E27434" w:rsidRPr="00F976B4" w:rsidRDefault="00E27434"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ab/>
        <w:t xml:space="preserve"> </w:t>
      </w:r>
      <w:r w:rsidRPr="00F976B4">
        <w:rPr>
          <w:rFonts w:ascii="Arial" w:hAnsi="Arial"/>
          <w:sz w:val="20"/>
          <w:szCs w:val="20"/>
        </w:rPr>
        <w:t xml:space="preserve">In the 1917 JPS rendition, this prohibition is rendered in the following way: “To sell her unto </w:t>
      </w:r>
      <w:r w:rsidRPr="00F976B4">
        <w:rPr>
          <w:rFonts w:ascii="Arial" w:hAnsi="Arial"/>
          <w:i/>
          <w:iCs/>
          <w:sz w:val="20"/>
          <w:szCs w:val="20"/>
        </w:rPr>
        <w:t>a foreign people</w:t>
      </w:r>
      <w:r w:rsidRPr="00F976B4">
        <w:rPr>
          <w:rFonts w:ascii="Arial" w:hAnsi="Arial"/>
          <w:sz w:val="20"/>
          <w:szCs w:val="20"/>
        </w:rPr>
        <w:t xml:space="preserve"> he shall have no power.”  In the 1985 edition, this is rendered differently: “He shall not have the right to sell her to </w:t>
      </w:r>
      <w:r w:rsidRPr="00F976B4">
        <w:rPr>
          <w:rFonts w:ascii="Arial" w:hAnsi="Arial"/>
          <w:i/>
          <w:iCs/>
          <w:sz w:val="20"/>
          <w:szCs w:val="20"/>
        </w:rPr>
        <w:t>outsiders.</w:t>
      </w:r>
      <w:r w:rsidRPr="00F976B4">
        <w:rPr>
          <w:rFonts w:ascii="Arial" w:hAnsi="Arial"/>
          <w:sz w:val="20"/>
          <w:szCs w:val="20"/>
        </w:rPr>
        <w:t>"</w:t>
      </w:r>
      <w:r w:rsidRPr="00F976B4">
        <w:rPr>
          <w:rFonts w:ascii="Arial" w:hAnsi="Arial"/>
          <w:i/>
          <w:sz w:val="20"/>
          <w:szCs w:val="20"/>
        </w:rPr>
        <w:t xml:space="preserve">  </w:t>
      </w:r>
      <w:r w:rsidRPr="00F976B4">
        <w:rPr>
          <w:rFonts w:ascii="Arial" w:hAnsi="Arial"/>
          <w:sz w:val="20"/>
          <w:szCs w:val="20"/>
        </w:rPr>
        <w:t>I assume that the change emerges from the desire of the translators to allow for the Sages’ reading of the verse.</w:t>
      </w:r>
      <w:r w:rsidR="006477C9">
        <w:rPr>
          <w:rFonts w:ascii="Arial" w:hAnsi="Arial"/>
          <w:sz w:val="20"/>
          <w:szCs w:val="20"/>
        </w:rPr>
        <w:t xml:space="preserve"> See also</w:t>
      </w:r>
      <w:r w:rsidR="006477C9" w:rsidRPr="006477C9">
        <w:rPr>
          <w:rFonts w:ascii="Arial" w:hAnsi="Arial"/>
          <w:sz w:val="20"/>
          <w:szCs w:val="20"/>
        </w:rPr>
        <w:t xml:space="preserve"> </w:t>
      </w:r>
      <w:r w:rsidR="006477C9" w:rsidRPr="006477C9">
        <w:rPr>
          <w:rFonts w:ascii="Arial" w:hAnsi="Arial"/>
          <w:i/>
          <w:iCs/>
          <w:sz w:val="20"/>
          <w:szCs w:val="20"/>
        </w:rPr>
        <w:t>Iyov</w:t>
      </w:r>
      <w:r w:rsidR="006477C9" w:rsidRPr="006477C9">
        <w:rPr>
          <w:rFonts w:ascii="Arial" w:hAnsi="Arial"/>
          <w:sz w:val="20"/>
          <w:szCs w:val="20"/>
        </w:rPr>
        <w:t xml:space="preserve"> 19:15, </w:t>
      </w:r>
      <w:r w:rsidR="006477C9" w:rsidRPr="006477C9">
        <w:rPr>
          <w:rFonts w:ascii="Arial" w:hAnsi="Arial"/>
          <w:i/>
          <w:iCs/>
          <w:sz w:val="20"/>
          <w:szCs w:val="20"/>
        </w:rPr>
        <w:t>Kohelet</w:t>
      </w:r>
      <w:r w:rsidR="006477C9" w:rsidRPr="006477C9">
        <w:rPr>
          <w:rFonts w:ascii="Arial" w:hAnsi="Arial"/>
          <w:sz w:val="20"/>
          <w:szCs w:val="20"/>
        </w:rPr>
        <w:t xml:space="preserve"> 6:2.</w:t>
      </w:r>
    </w:p>
  </w:footnote>
  <w:footnote w:id="11">
    <w:p w:rsidR="009665A6" w:rsidRPr="00F976B4" w:rsidRDefault="009665A6"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ab/>
      </w:r>
      <w:r w:rsidRPr="00F976B4">
        <w:rPr>
          <w:rFonts w:ascii="Arial" w:hAnsi="Arial"/>
          <w:i/>
          <w:sz w:val="20"/>
          <w:szCs w:val="20"/>
        </w:rPr>
        <w:t xml:space="preserve"> </w:t>
      </w:r>
      <w:r w:rsidRPr="00F976B4">
        <w:rPr>
          <w:rFonts w:ascii="Arial" w:hAnsi="Arial"/>
          <w:sz w:val="20"/>
          <w:szCs w:val="20"/>
        </w:rPr>
        <w:t>F.</w:t>
      </w:r>
      <w:r w:rsidRPr="00F976B4">
        <w:rPr>
          <w:rFonts w:ascii="Arial" w:hAnsi="Arial"/>
          <w:i/>
          <w:sz w:val="20"/>
          <w:szCs w:val="20"/>
        </w:rPr>
        <w:t xml:space="preserve"> </w:t>
      </w:r>
      <w:r w:rsidRPr="00F976B4">
        <w:rPr>
          <w:rFonts w:ascii="Arial" w:hAnsi="Arial"/>
          <w:sz w:val="20"/>
          <w:szCs w:val="20"/>
        </w:rPr>
        <w:t xml:space="preserve">Polak, </w:t>
      </w:r>
      <w:r>
        <w:rPr>
          <w:rFonts w:ascii="Arial" w:hAnsi="Arial"/>
          <w:i/>
          <w:iCs/>
          <w:sz w:val="20"/>
          <w:szCs w:val="20"/>
        </w:rPr>
        <w:t>Ha-S</w:t>
      </w:r>
      <w:r w:rsidRPr="00F976B4">
        <w:rPr>
          <w:rFonts w:ascii="Arial" w:hAnsi="Arial"/>
          <w:i/>
          <w:iCs/>
          <w:sz w:val="20"/>
          <w:szCs w:val="20"/>
        </w:rPr>
        <w:t>ippur Ba-Mikra</w:t>
      </w:r>
      <w:r w:rsidRPr="00F976B4">
        <w:rPr>
          <w:rFonts w:ascii="Arial" w:hAnsi="Arial"/>
          <w:sz w:val="20"/>
          <w:szCs w:val="20"/>
        </w:rPr>
        <w:t xml:space="preserve"> </w:t>
      </w:r>
      <w:r>
        <w:rPr>
          <w:rFonts w:ascii="Arial" w:hAnsi="Arial"/>
          <w:sz w:val="20"/>
          <w:szCs w:val="20"/>
        </w:rPr>
        <w:t>(</w:t>
      </w:r>
      <w:r w:rsidRPr="00F976B4">
        <w:rPr>
          <w:rFonts w:ascii="Arial" w:hAnsi="Arial"/>
          <w:sz w:val="20"/>
          <w:szCs w:val="20"/>
        </w:rPr>
        <w:t>Jerusalem</w:t>
      </w:r>
      <w:r>
        <w:rPr>
          <w:rFonts w:ascii="Arial" w:hAnsi="Arial"/>
          <w:sz w:val="20"/>
          <w:szCs w:val="20"/>
        </w:rPr>
        <w:t>,</w:t>
      </w:r>
      <w:r w:rsidRPr="00F976B4">
        <w:rPr>
          <w:rFonts w:ascii="Arial" w:hAnsi="Arial"/>
          <w:sz w:val="20"/>
          <w:szCs w:val="20"/>
        </w:rPr>
        <w:t xml:space="preserve"> 5759</w:t>
      </w:r>
      <w:r>
        <w:rPr>
          <w:rFonts w:ascii="Arial" w:hAnsi="Arial"/>
          <w:sz w:val="20"/>
          <w:szCs w:val="20"/>
        </w:rPr>
        <w:t>)</w:t>
      </w:r>
      <w:r w:rsidRPr="00F976B4">
        <w:rPr>
          <w:rFonts w:ascii="Arial" w:hAnsi="Arial"/>
          <w:sz w:val="20"/>
          <w:szCs w:val="20"/>
        </w:rPr>
        <w:t>, p.</w:t>
      </w:r>
      <w:r w:rsidRPr="00F976B4">
        <w:rPr>
          <w:rFonts w:ascii="Arial" w:hAnsi="Arial"/>
          <w:i/>
          <w:sz w:val="20"/>
          <w:szCs w:val="20"/>
        </w:rPr>
        <w:t xml:space="preserve"> </w:t>
      </w:r>
      <w:r w:rsidRPr="00F976B4">
        <w:rPr>
          <w:rFonts w:ascii="Arial" w:hAnsi="Arial"/>
          <w:sz w:val="20"/>
          <w:szCs w:val="20"/>
        </w:rPr>
        <w:t>116.</w:t>
      </w:r>
    </w:p>
  </w:footnote>
  <w:footnote w:id="12">
    <w:p w:rsidR="00E27434" w:rsidRPr="00F976B4" w:rsidRDefault="00E27434"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ab/>
      </w:r>
      <w:r w:rsidRPr="00F976B4">
        <w:rPr>
          <w:rFonts w:ascii="Arial" w:hAnsi="Arial"/>
          <w:i/>
          <w:sz w:val="20"/>
          <w:szCs w:val="20"/>
        </w:rPr>
        <w:t xml:space="preserve"> </w:t>
      </w:r>
      <w:r w:rsidRPr="00F976B4">
        <w:rPr>
          <w:rFonts w:ascii="Arial" w:hAnsi="Arial"/>
          <w:sz w:val="20"/>
          <w:szCs w:val="20"/>
        </w:rPr>
        <w:t>This has been justifiably pointed out by S.</w:t>
      </w:r>
      <w:r w:rsidRPr="00F976B4">
        <w:rPr>
          <w:rFonts w:ascii="Arial" w:hAnsi="Arial"/>
          <w:i/>
          <w:sz w:val="20"/>
          <w:szCs w:val="20"/>
        </w:rPr>
        <w:t xml:space="preserve"> </w:t>
      </w:r>
      <w:r w:rsidRPr="00F976B4">
        <w:rPr>
          <w:rFonts w:ascii="Arial" w:hAnsi="Arial"/>
          <w:sz w:val="20"/>
          <w:szCs w:val="20"/>
        </w:rPr>
        <w:t xml:space="preserve">Bar-Efrat, </w:t>
      </w:r>
      <w:r w:rsidRPr="00F976B4">
        <w:rPr>
          <w:rStyle w:val="il"/>
          <w:rFonts w:ascii="Arial" w:hAnsi="Arial"/>
          <w:i/>
          <w:iCs/>
          <w:sz w:val="20"/>
          <w:szCs w:val="20"/>
        </w:rPr>
        <w:t>Ha</w:t>
      </w:r>
      <w:r w:rsidRPr="00F976B4">
        <w:rPr>
          <w:rFonts w:ascii="Arial" w:hAnsi="Arial"/>
          <w:i/>
          <w:iCs/>
          <w:sz w:val="20"/>
          <w:szCs w:val="20"/>
        </w:rPr>
        <w:t>-</w:t>
      </w:r>
      <w:r w:rsidR="009665A6">
        <w:rPr>
          <w:rStyle w:val="il"/>
          <w:rFonts w:ascii="Arial" w:hAnsi="Arial"/>
          <w:i/>
          <w:iCs/>
          <w:sz w:val="20"/>
          <w:szCs w:val="20"/>
        </w:rPr>
        <w:t>I</w:t>
      </w:r>
      <w:r w:rsidRPr="00F976B4">
        <w:rPr>
          <w:rStyle w:val="il"/>
          <w:rFonts w:ascii="Arial" w:hAnsi="Arial"/>
          <w:i/>
          <w:iCs/>
          <w:sz w:val="20"/>
          <w:szCs w:val="20"/>
        </w:rPr>
        <w:t>tzuv</w:t>
      </w:r>
      <w:r w:rsidRPr="00F976B4">
        <w:rPr>
          <w:rFonts w:ascii="Arial" w:hAnsi="Arial"/>
          <w:i/>
          <w:iCs/>
          <w:sz w:val="20"/>
          <w:szCs w:val="20"/>
        </w:rPr>
        <w:t xml:space="preserve"> </w:t>
      </w:r>
      <w:r w:rsidRPr="00F976B4">
        <w:rPr>
          <w:rStyle w:val="il"/>
          <w:rFonts w:ascii="Arial" w:hAnsi="Arial"/>
          <w:i/>
          <w:iCs/>
          <w:sz w:val="20"/>
          <w:szCs w:val="20"/>
        </w:rPr>
        <w:t>Ha</w:t>
      </w:r>
      <w:r w:rsidR="009665A6">
        <w:rPr>
          <w:rFonts w:ascii="Arial" w:hAnsi="Arial"/>
          <w:i/>
          <w:iCs/>
          <w:sz w:val="20"/>
          <w:szCs w:val="20"/>
        </w:rPr>
        <w:t>-O</w:t>
      </w:r>
      <w:r w:rsidRPr="00F976B4">
        <w:rPr>
          <w:rFonts w:ascii="Arial" w:hAnsi="Arial"/>
          <w:i/>
          <w:iCs/>
          <w:sz w:val="20"/>
          <w:szCs w:val="20"/>
        </w:rPr>
        <w:t xml:space="preserve">manuti shel </w:t>
      </w:r>
      <w:r w:rsidRPr="00F976B4">
        <w:rPr>
          <w:rStyle w:val="il"/>
          <w:rFonts w:ascii="Arial" w:hAnsi="Arial"/>
          <w:i/>
          <w:iCs/>
          <w:sz w:val="20"/>
          <w:szCs w:val="20"/>
        </w:rPr>
        <w:t>Ha</w:t>
      </w:r>
      <w:r w:rsidR="009665A6">
        <w:rPr>
          <w:rFonts w:ascii="Arial" w:hAnsi="Arial"/>
          <w:i/>
          <w:iCs/>
          <w:sz w:val="20"/>
          <w:szCs w:val="20"/>
        </w:rPr>
        <w:t>-S</w:t>
      </w:r>
      <w:r w:rsidRPr="00F976B4">
        <w:rPr>
          <w:rFonts w:ascii="Arial" w:hAnsi="Arial"/>
          <w:i/>
          <w:iCs/>
          <w:sz w:val="20"/>
          <w:szCs w:val="20"/>
        </w:rPr>
        <w:t>ippur Ba-Mikra</w:t>
      </w:r>
      <w:r w:rsidRPr="00F976B4">
        <w:rPr>
          <w:rFonts w:ascii="Arial" w:hAnsi="Arial"/>
          <w:sz w:val="20"/>
          <w:szCs w:val="20"/>
        </w:rPr>
        <w:t xml:space="preserve"> </w:t>
      </w:r>
      <w:r w:rsidR="009665A6">
        <w:rPr>
          <w:rFonts w:ascii="Arial" w:hAnsi="Arial"/>
          <w:sz w:val="20"/>
          <w:szCs w:val="20"/>
        </w:rPr>
        <w:t>(</w:t>
      </w:r>
      <w:r w:rsidRPr="00F976B4">
        <w:rPr>
          <w:rFonts w:ascii="Arial" w:hAnsi="Arial"/>
          <w:sz w:val="20"/>
          <w:szCs w:val="20"/>
        </w:rPr>
        <w:t>5739</w:t>
      </w:r>
      <w:r w:rsidR="009665A6">
        <w:rPr>
          <w:rFonts w:ascii="Arial" w:hAnsi="Arial"/>
          <w:sz w:val="20"/>
          <w:szCs w:val="20"/>
        </w:rPr>
        <w:t>)</w:t>
      </w:r>
      <w:r w:rsidRPr="00F976B4">
        <w:rPr>
          <w:rFonts w:ascii="Arial" w:hAnsi="Arial"/>
          <w:sz w:val="20"/>
          <w:szCs w:val="20"/>
        </w:rPr>
        <w:t>, p.</w:t>
      </w:r>
      <w:r w:rsidRPr="00F976B4">
        <w:rPr>
          <w:rFonts w:ascii="Arial" w:hAnsi="Arial"/>
          <w:i/>
          <w:sz w:val="20"/>
          <w:szCs w:val="20"/>
        </w:rPr>
        <w:t xml:space="preserve"> </w:t>
      </w:r>
      <w:r w:rsidRPr="00F976B4">
        <w:rPr>
          <w:rFonts w:ascii="Arial" w:hAnsi="Arial"/>
          <w:sz w:val="20"/>
          <w:szCs w:val="20"/>
        </w:rPr>
        <w:t>133; R.</w:t>
      </w:r>
      <w:r w:rsidRPr="00F976B4">
        <w:rPr>
          <w:rFonts w:ascii="Arial" w:hAnsi="Arial"/>
          <w:i/>
          <w:sz w:val="20"/>
          <w:szCs w:val="20"/>
        </w:rPr>
        <w:t xml:space="preserve"> </w:t>
      </w:r>
      <w:r w:rsidRPr="00F976B4">
        <w:rPr>
          <w:rFonts w:ascii="Arial" w:hAnsi="Arial"/>
          <w:sz w:val="20"/>
          <w:szCs w:val="20"/>
        </w:rPr>
        <w:t xml:space="preserve">Alter, </w:t>
      </w:r>
      <w:r w:rsidRPr="00F976B4">
        <w:rPr>
          <w:rFonts w:ascii="Arial" w:hAnsi="Arial"/>
          <w:i/>
          <w:iCs/>
          <w:sz w:val="20"/>
          <w:szCs w:val="20"/>
        </w:rPr>
        <w:t xml:space="preserve">The Art of Biblical Narrative, </w:t>
      </w:r>
      <w:r w:rsidRPr="00F976B4">
        <w:rPr>
          <w:rFonts w:ascii="Arial" w:hAnsi="Arial"/>
          <w:sz w:val="20"/>
          <w:szCs w:val="20"/>
        </w:rPr>
        <w:t>trans.</w:t>
      </w:r>
      <w:r w:rsidRPr="00F976B4">
        <w:rPr>
          <w:rFonts w:ascii="Arial" w:hAnsi="Arial"/>
          <w:i/>
          <w:sz w:val="20"/>
          <w:szCs w:val="20"/>
        </w:rPr>
        <w:t xml:space="preserve"> </w:t>
      </w:r>
      <w:r w:rsidRPr="00F976B4">
        <w:rPr>
          <w:rFonts w:ascii="Arial" w:hAnsi="Arial"/>
          <w:sz w:val="20"/>
          <w:szCs w:val="20"/>
        </w:rPr>
        <w:t>S.</w:t>
      </w:r>
      <w:r w:rsidRPr="00F976B4">
        <w:rPr>
          <w:rFonts w:ascii="Arial" w:hAnsi="Arial"/>
          <w:i/>
          <w:sz w:val="20"/>
          <w:szCs w:val="20"/>
        </w:rPr>
        <w:t xml:space="preserve"> </w:t>
      </w:r>
      <w:r w:rsidR="009665A6">
        <w:rPr>
          <w:rFonts w:ascii="Arial" w:hAnsi="Arial"/>
          <w:sz w:val="20"/>
          <w:szCs w:val="20"/>
        </w:rPr>
        <w:t>Tzingel</w:t>
      </w:r>
      <w:r w:rsidRPr="00F976B4">
        <w:rPr>
          <w:rFonts w:ascii="Arial" w:hAnsi="Arial"/>
          <w:sz w:val="20"/>
          <w:szCs w:val="20"/>
        </w:rPr>
        <w:t xml:space="preserve">, </w:t>
      </w:r>
      <w:r w:rsidR="009665A6">
        <w:rPr>
          <w:rFonts w:ascii="Arial" w:hAnsi="Arial"/>
          <w:sz w:val="20"/>
          <w:szCs w:val="20"/>
        </w:rPr>
        <w:t>(</w:t>
      </w:r>
      <w:r w:rsidRPr="00F976B4">
        <w:rPr>
          <w:rFonts w:ascii="Arial" w:hAnsi="Arial"/>
          <w:sz w:val="20"/>
          <w:szCs w:val="20"/>
        </w:rPr>
        <w:t>Tel Aviv</w:t>
      </w:r>
      <w:r w:rsidR="009665A6">
        <w:rPr>
          <w:rFonts w:ascii="Arial" w:hAnsi="Arial"/>
          <w:sz w:val="20"/>
          <w:szCs w:val="20"/>
        </w:rPr>
        <w:t>,</w:t>
      </w:r>
      <w:r w:rsidRPr="00F976B4">
        <w:rPr>
          <w:rFonts w:ascii="Arial" w:hAnsi="Arial"/>
          <w:sz w:val="20"/>
          <w:szCs w:val="20"/>
        </w:rPr>
        <w:t xml:space="preserve"> 5748</w:t>
      </w:r>
      <w:r w:rsidR="009665A6">
        <w:rPr>
          <w:rFonts w:ascii="Arial" w:hAnsi="Arial"/>
          <w:sz w:val="20"/>
          <w:szCs w:val="20"/>
        </w:rPr>
        <w:t>)</w:t>
      </w:r>
      <w:r w:rsidRPr="00F976B4">
        <w:rPr>
          <w:rFonts w:ascii="Arial" w:hAnsi="Arial"/>
          <w:sz w:val="20"/>
          <w:szCs w:val="20"/>
        </w:rPr>
        <w:t>, p.</w:t>
      </w:r>
      <w:r w:rsidRPr="00F976B4">
        <w:rPr>
          <w:rFonts w:ascii="Arial" w:hAnsi="Arial"/>
          <w:i/>
          <w:sz w:val="20"/>
          <w:szCs w:val="20"/>
        </w:rPr>
        <w:t xml:space="preserve"> </w:t>
      </w:r>
      <w:r w:rsidRPr="00F976B4">
        <w:rPr>
          <w:rFonts w:ascii="Arial" w:hAnsi="Arial"/>
          <w:sz w:val="20"/>
          <w:szCs w:val="20"/>
        </w:rPr>
        <w:t>81.</w:t>
      </w:r>
    </w:p>
  </w:footnote>
  <w:footnote w:id="13">
    <w:p w:rsidR="00E27434" w:rsidRPr="00F976B4" w:rsidRDefault="00E27434"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 xml:space="preserve"> </w:t>
      </w:r>
      <w:r w:rsidRPr="00F976B4">
        <w:rPr>
          <w:rFonts w:ascii="Arial" w:hAnsi="Arial"/>
          <w:sz w:val="20"/>
          <w:szCs w:val="20"/>
        </w:rPr>
        <w:t>Nevertheless, we might have expected that this fact would be mentioned in the second entrance of Ehud to the king’s chamber (v. 20), where Ehud’s attack on Eglon is described, and not during his first entrance — there Ehud only brings him a gift, but does not harm him.</w:t>
      </w:r>
      <w:r w:rsidRPr="00F976B4">
        <w:rPr>
          <w:rFonts w:ascii="Arial" w:hAnsi="Arial"/>
          <w:i/>
          <w:sz w:val="20"/>
          <w:szCs w:val="20"/>
        </w:rPr>
        <w:t xml:space="preserve">  </w:t>
      </w:r>
      <w:r w:rsidRPr="00F976B4">
        <w:rPr>
          <w:rFonts w:ascii="Arial" w:hAnsi="Arial"/>
          <w:sz w:val="20"/>
          <w:szCs w:val="20"/>
        </w:rPr>
        <w:t>This matter constitutes an additional proof that mentioning Eglon’s obesity alludes to another reading, which is tied to the unique location in which this fact is mentioned.</w:t>
      </w:r>
    </w:p>
  </w:footnote>
  <w:footnote w:id="14">
    <w:p w:rsidR="00E27434" w:rsidRPr="00F976B4" w:rsidRDefault="00E27434"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ab/>
        <w:t xml:space="preserve"> </w:t>
      </w:r>
      <w:r w:rsidRPr="00F976B4">
        <w:rPr>
          <w:rFonts w:ascii="Arial" w:hAnsi="Arial"/>
          <w:sz w:val="20"/>
          <w:szCs w:val="20"/>
        </w:rPr>
        <w:t>Garsiel does not see in this f</w:t>
      </w:r>
      <w:r w:rsidR="009665A6">
        <w:rPr>
          <w:rFonts w:ascii="Arial" w:hAnsi="Arial"/>
          <w:sz w:val="20"/>
          <w:szCs w:val="20"/>
        </w:rPr>
        <w:t>act a delayed exposition at all.</w:t>
      </w:r>
      <w:r w:rsidRPr="00F976B4">
        <w:rPr>
          <w:rFonts w:ascii="Arial" w:hAnsi="Arial"/>
          <w:sz w:val="20"/>
          <w:szCs w:val="20"/>
        </w:rPr>
        <w:t xml:space="preserve"> </w:t>
      </w:r>
      <w:r w:rsidR="009665A6">
        <w:rPr>
          <w:rFonts w:ascii="Arial" w:hAnsi="Arial"/>
          <w:sz w:val="20"/>
          <w:szCs w:val="20"/>
        </w:rPr>
        <w:t>O</w:t>
      </w:r>
      <w:r w:rsidRPr="00F976B4">
        <w:rPr>
          <w:rFonts w:ascii="Arial" w:hAnsi="Arial"/>
          <w:sz w:val="20"/>
          <w:szCs w:val="20"/>
        </w:rPr>
        <w:t>n the contrary, according to him, the fact is mentioned before it is relevant, in order not to harm the dramatic continuum of the narrative: M.</w:t>
      </w:r>
      <w:r w:rsidRPr="00F976B4">
        <w:rPr>
          <w:rFonts w:ascii="Arial" w:hAnsi="Arial"/>
          <w:i/>
          <w:sz w:val="20"/>
          <w:szCs w:val="20"/>
        </w:rPr>
        <w:t xml:space="preserve"> </w:t>
      </w:r>
      <w:r w:rsidRPr="00F976B4">
        <w:rPr>
          <w:rFonts w:ascii="Arial" w:hAnsi="Arial"/>
          <w:sz w:val="20"/>
          <w:szCs w:val="20"/>
        </w:rPr>
        <w:t xml:space="preserve">Garsiel, </w:t>
      </w:r>
      <w:r w:rsidRPr="00F976B4">
        <w:rPr>
          <w:rFonts w:ascii="Arial" w:hAnsi="Arial"/>
          <w:i/>
          <w:iCs/>
          <w:sz w:val="20"/>
          <w:szCs w:val="20"/>
        </w:rPr>
        <w:t>“Parashat Ehud ben Gera</w:t>
      </w:r>
      <w:r w:rsidR="009665A6">
        <w:rPr>
          <w:rFonts w:ascii="Arial" w:hAnsi="Arial"/>
          <w:sz w:val="20"/>
          <w:szCs w:val="20"/>
        </w:rPr>
        <w:t>,</w:t>
      </w:r>
      <w:r w:rsidR="009665A6">
        <w:rPr>
          <w:rFonts w:ascii="Arial" w:hAnsi="Arial"/>
          <w:i/>
          <w:iCs/>
          <w:sz w:val="20"/>
          <w:szCs w:val="20"/>
        </w:rPr>
        <w:t>”</w:t>
      </w:r>
      <w:r w:rsidRPr="00F976B4">
        <w:rPr>
          <w:rFonts w:ascii="Arial" w:hAnsi="Arial"/>
          <w:i/>
          <w:iCs/>
          <w:sz w:val="20"/>
          <w:szCs w:val="20"/>
        </w:rPr>
        <w:t xml:space="preserve"> Hagut Ba-Mikra</w:t>
      </w:r>
      <w:r w:rsidRPr="00F976B4">
        <w:rPr>
          <w:rFonts w:ascii="Arial" w:hAnsi="Arial"/>
          <w:sz w:val="20"/>
          <w:szCs w:val="20"/>
        </w:rPr>
        <w:t xml:space="preserve"> 2 (1976), p.</w:t>
      </w:r>
      <w:r w:rsidRPr="00F976B4">
        <w:rPr>
          <w:rFonts w:ascii="Arial" w:hAnsi="Arial"/>
          <w:i/>
          <w:sz w:val="20"/>
          <w:szCs w:val="20"/>
        </w:rPr>
        <w:t xml:space="preserve"> </w:t>
      </w:r>
      <w:r w:rsidRPr="00F976B4">
        <w:rPr>
          <w:rFonts w:ascii="Arial" w:hAnsi="Arial"/>
          <w:sz w:val="20"/>
          <w:szCs w:val="20"/>
        </w:rPr>
        <w:t xml:space="preserve">68. </w:t>
      </w:r>
      <w:r w:rsidRPr="00F976B4">
        <w:rPr>
          <w:rFonts w:ascii="Arial" w:hAnsi="Arial"/>
          <w:i/>
          <w:sz w:val="20"/>
          <w:szCs w:val="20"/>
        </w:rPr>
        <w:t xml:space="preserve"> </w:t>
      </w:r>
      <w:r w:rsidRPr="00F976B4">
        <w:rPr>
          <w:rFonts w:ascii="Arial" w:hAnsi="Arial"/>
          <w:sz w:val="20"/>
          <w:szCs w:val="20"/>
        </w:rPr>
        <w:t xml:space="preserve">However, this fact, as mentioned </w:t>
      </w:r>
      <w:r w:rsidR="009665A6">
        <w:rPr>
          <w:rFonts w:ascii="Arial" w:hAnsi="Arial"/>
          <w:sz w:val="20"/>
          <w:szCs w:val="20"/>
        </w:rPr>
        <w:t xml:space="preserve">in the </w:t>
      </w:r>
      <w:r w:rsidRPr="00F976B4">
        <w:rPr>
          <w:rFonts w:ascii="Arial" w:hAnsi="Arial"/>
          <w:sz w:val="20"/>
          <w:szCs w:val="20"/>
        </w:rPr>
        <w:t>above</w:t>
      </w:r>
      <w:r w:rsidR="009665A6">
        <w:rPr>
          <w:rFonts w:ascii="Arial" w:hAnsi="Arial"/>
          <w:sz w:val="20"/>
          <w:szCs w:val="20"/>
        </w:rPr>
        <w:t xml:space="preserve"> note</w:t>
      </w:r>
      <w:r w:rsidRPr="00F976B4">
        <w:rPr>
          <w:rFonts w:ascii="Arial" w:hAnsi="Arial"/>
          <w:sz w:val="20"/>
          <w:szCs w:val="20"/>
        </w:rPr>
        <w:t>, is not included in the first mention of Eglon, and therefore one has the feeling that the narrator specifically delays its appearance intentionally.</w:t>
      </w:r>
    </w:p>
  </w:footnote>
  <w:footnote w:id="15">
    <w:p w:rsidR="00E27434" w:rsidRPr="00F976B4" w:rsidRDefault="00E27434"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ab/>
      </w:r>
      <w:r w:rsidR="009665A6">
        <w:rPr>
          <w:rFonts w:ascii="Arial" w:hAnsi="Arial"/>
          <w:sz w:val="20"/>
          <w:szCs w:val="20"/>
        </w:rPr>
        <w:t>Readers who wish</w:t>
      </w:r>
      <w:r w:rsidRPr="00F976B4">
        <w:rPr>
          <w:rFonts w:ascii="Arial" w:hAnsi="Arial"/>
          <w:sz w:val="20"/>
          <w:szCs w:val="20"/>
        </w:rPr>
        <w:t xml:space="preserve"> to expand on this topic </w:t>
      </w:r>
      <w:r w:rsidR="009665A6">
        <w:rPr>
          <w:rFonts w:ascii="Arial" w:hAnsi="Arial"/>
          <w:sz w:val="20"/>
          <w:szCs w:val="20"/>
        </w:rPr>
        <w:t>are</w:t>
      </w:r>
      <w:r w:rsidRPr="00F976B4">
        <w:rPr>
          <w:rFonts w:ascii="Arial" w:hAnsi="Arial"/>
          <w:sz w:val="20"/>
          <w:szCs w:val="20"/>
        </w:rPr>
        <w:t xml:space="preserve"> we</w:t>
      </w:r>
      <w:r w:rsidR="009665A6">
        <w:rPr>
          <w:rFonts w:ascii="Arial" w:hAnsi="Arial"/>
          <w:sz w:val="20"/>
          <w:szCs w:val="20"/>
        </w:rPr>
        <w:t>l</w:t>
      </w:r>
      <w:r w:rsidRPr="00F976B4">
        <w:rPr>
          <w:rFonts w:ascii="Arial" w:hAnsi="Arial"/>
          <w:sz w:val="20"/>
          <w:szCs w:val="20"/>
        </w:rPr>
        <w:t xml:space="preserve">come to read my sixth lecture on Esther, available at: </w:t>
      </w:r>
      <w:hyperlink r:id="rId1" w:history="1">
        <w:r w:rsidRPr="00F976B4">
          <w:rPr>
            <w:rStyle w:val="Hyperlink"/>
            <w:rFonts w:ascii="Arial" w:hAnsi="Arial"/>
            <w:sz w:val="20"/>
            <w:szCs w:val="20"/>
          </w:rPr>
          <w:t>http://www.etzion.org.il/vbm/archive/11-ester/06ester.rtf</w:t>
        </w:r>
      </w:hyperlink>
      <w:r w:rsidRPr="00F976B4">
        <w:rPr>
          <w:rFonts w:ascii="Arial" w:hAnsi="Arial"/>
          <w:i/>
          <w:sz w:val="20"/>
          <w:szCs w:val="20"/>
        </w:rPr>
        <w:t xml:space="preserve"> </w:t>
      </w:r>
    </w:p>
  </w:footnote>
  <w:footnote w:id="16">
    <w:p w:rsidR="00E27434" w:rsidRPr="00F976B4" w:rsidRDefault="00E27434"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ab/>
      </w:r>
      <w:r w:rsidRPr="00F976B4">
        <w:rPr>
          <w:rFonts w:ascii="Arial" w:hAnsi="Arial"/>
          <w:i/>
          <w:sz w:val="20"/>
          <w:szCs w:val="20"/>
        </w:rPr>
        <w:t xml:space="preserve"> </w:t>
      </w:r>
      <w:r w:rsidRPr="00F976B4">
        <w:rPr>
          <w:rFonts w:ascii="Arial" w:hAnsi="Arial"/>
          <w:sz w:val="20"/>
          <w:szCs w:val="20"/>
        </w:rPr>
        <w:t>T</w:t>
      </w:r>
      <w:r w:rsidR="009665A6">
        <w:rPr>
          <w:rFonts w:ascii="Arial" w:hAnsi="Arial"/>
          <w:sz w:val="20"/>
          <w:szCs w:val="20"/>
        </w:rPr>
        <w:t xml:space="preserve">he example of Shaul, which the </w:t>
      </w:r>
      <w:r w:rsidR="009665A6" w:rsidRPr="009665A6">
        <w:rPr>
          <w:rFonts w:ascii="Arial" w:hAnsi="Arial"/>
          <w:i/>
          <w:iCs/>
          <w:sz w:val="20"/>
          <w:szCs w:val="20"/>
        </w:rPr>
        <w:t>m</w:t>
      </w:r>
      <w:r w:rsidRPr="009665A6">
        <w:rPr>
          <w:rFonts w:ascii="Arial" w:hAnsi="Arial"/>
          <w:i/>
          <w:iCs/>
          <w:sz w:val="20"/>
          <w:szCs w:val="20"/>
        </w:rPr>
        <w:t>idrash</w:t>
      </w:r>
      <w:r w:rsidRPr="00F976B4">
        <w:rPr>
          <w:rFonts w:ascii="Arial" w:hAnsi="Arial"/>
          <w:sz w:val="20"/>
          <w:szCs w:val="20"/>
        </w:rPr>
        <w:t xml:space="preserve"> speaks of, is brought in this context by Meir Sternberg in an important essay dedicated to the significance of the order of facts in the narrative: M.</w:t>
      </w:r>
      <w:r w:rsidRPr="00F976B4">
        <w:rPr>
          <w:rFonts w:ascii="Arial" w:hAnsi="Arial"/>
          <w:i/>
          <w:sz w:val="20"/>
          <w:szCs w:val="20"/>
        </w:rPr>
        <w:t xml:space="preserve"> </w:t>
      </w:r>
      <w:r w:rsidRPr="00F976B4">
        <w:rPr>
          <w:rFonts w:ascii="Arial" w:hAnsi="Arial"/>
          <w:sz w:val="20"/>
          <w:szCs w:val="20"/>
        </w:rPr>
        <w:t>Sternberg, "Time and Space in Biblical (Hi)story Telling: The Grand Chronology</w:t>
      </w:r>
      <w:r w:rsidR="009665A6">
        <w:rPr>
          <w:rFonts w:ascii="Arial" w:hAnsi="Arial"/>
          <w:sz w:val="20"/>
          <w:szCs w:val="20"/>
        </w:rPr>
        <w:t>," in</w:t>
      </w:r>
      <w:r w:rsidRPr="00F976B4">
        <w:rPr>
          <w:rFonts w:ascii="Arial" w:hAnsi="Arial"/>
          <w:sz w:val="20"/>
          <w:szCs w:val="20"/>
        </w:rPr>
        <w:t xml:space="preserve"> R.</w:t>
      </w:r>
      <w:r w:rsidRPr="00F976B4">
        <w:rPr>
          <w:rFonts w:ascii="Arial" w:hAnsi="Arial"/>
          <w:i/>
          <w:sz w:val="20"/>
          <w:szCs w:val="20"/>
        </w:rPr>
        <w:t xml:space="preserve"> </w:t>
      </w:r>
      <w:r w:rsidRPr="00F976B4">
        <w:rPr>
          <w:rFonts w:ascii="Arial" w:hAnsi="Arial"/>
          <w:sz w:val="20"/>
          <w:szCs w:val="20"/>
        </w:rPr>
        <w:t>M.</w:t>
      </w:r>
      <w:r w:rsidRPr="00F976B4">
        <w:rPr>
          <w:rFonts w:ascii="Arial" w:hAnsi="Arial"/>
          <w:i/>
          <w:sz w:val="20"/>
          <w:szCs w:val="20"/>
        </w:rPr>
        <w:t xml:space="preserve"> </w:t>
      </w:r>
      <w:r w:rsidRPr="00F976B4">
        <w:rPr>
          <w:rFonts w:ascii="Arial" w:hAnsi="Arial"/>
          <w:sz w:val="20"/>
          <w:szCs w:val="20"/>
        </w:rPr>
        <w:t xml:space="preserve">Schwartz (ed.), </w:t>
      </w:r>
      <w:r w:rsidRPr="00F976B4">
        <w:rPr>
          <w:rFonts w:ascii="Arial" w:hAnsi="Arial"/>
          <w:i/>
          <w:iCs/>
          <w:sz w:val="20"/>
          <w:szCs w:val="20"/>
        </w:rPr>
        <w:t>The Book and the Text - The Bible and Literary Theory</w:t>
      </w:r>
      <w:r w:rsidRPr="00F976B4">
        <w:rPr>
          <w:rFonts w:ascii="Arial" w:hAnsi="Arial"/>
          <w:sz w:val="20"/>
          <w:szCs w:val="20"/>
        </w:rPr>
        <w:t xml:space="preserve"> </w:t>
      </w:r>
      <w:r w:rsidR="009665A6">
        <w:rPr>
          <w:rFonts w:ascii="Arial" w:hAnsi="Arial"/>
          <w:sz w:val="20"/>
          <w:szCs w:val="20"/>
        </w:rPr>
        <w:t>(</w:t>
      </w:r>
      <w:r w:rsidRPr="00F976B4">
        <w:rPr>
          <w:rFonts w:ascii="Arial" w:hAnsi="Arial"/>
          <w:sz w:val="20"/>
          <w:szCs w:val="20"/>
        </w:rPr>
        <w:t>Oxford</w:t>
      </w:r>
      <w:r w:rsidR="009665A6">
        <w:rPr>
          <w:rFonts w:ascii="Arial" w:hAnsi="Arial"/>
          <w:sz w:val="20"/>
          <w:szCs w:val="20"/>
        </w:rPr>
        <w:t>,</w:t>
      </w:r>
      <w:r w:rsidRPr="00F976B4">
        <w:rPr>
          <w:rFonts w:ascii="Arial" w:hAnsi="Arial"/>
          <w:sz w:val="20"/>
          <w:szCs w:val="20"/>
        </w:rPr>
        <w:t xml:space="preserve"> 1990</w:t>
      </w:r>
      <w:r w:rsidR="009665A6">
        <w:rPr>
          <w:rFonts w:ascii="Arial" w:hAnsi="Arial"/>
          <w:sz w:val="20"/>
          <w:szCs w:val="20"/>
        </w:rPr>
        <w:t>)</w:t>
      </w:r>
      <w:r w:rsidRPr="00F976B4">
        <w:rPr>
          <w:rFonts w:ascii="Arial" w:hAnsi="Arial"/>
          <w:sz w:val="20"/>
          <w:szCs w:val="20"/>
        </w:rPr>
        <w:t>, pp.</w:t>
      </w:r>
      <w:r w:rsidRPr="00F976B4">
        <w:rPr>
          <w:rFonts w:ascii="Arial" w:hAnsi="Arial"/>
          <w:i/>
          <w:sz w:val="20"/>
          <w:szCs w:val="20"/>
        </w:rPr>
        <w:t xml:space="preserve"> </w:t>
      </w:r>
      <w:r w:rsidRPr="00F976B4">
        <w:rPr>
          <w:rFonts w:ascii="Arial" w:hAnsi="Arial"/>
          <w:sz w:val="20"/>
          <w:szCs w:val="20"/>
        </w:rPr>
        <w:t>81-145.</w:t>
      </w:r>
    </w:p>
  </w:footnote>
  <w:footnote w:id="17">
    <w:p w:rsidR="00E27434" w:rsidRPr="00F976B4" w:rsidRDefault="00E27434" w:rsidP="004C2C25">
      <w:pPr>
        <w:pStyle w:val="a3"/>
        <w:tabs>
          <w:tab w:val="left" w:pos="425"/>
        </w:tabs>
        <w:bidi w:val="0"/>
        <w:spacing w:line="240" w:lineRule="auto"/>
        <w:ind w:left="0" w:firstLine="0"/>
        <w:rPr>
          <w:rFonts w:ascii="Arial" w:hAnsi="Arial"/>
          <w:sz w:val="20"/>
          <w:szCs w:val="20"/>
        </w:rPr>
      </w:pPr>
      <w:r w:rsidRPr="00F976B4">
        <w:rPr>
          <w:rStyle w:val="FootnoteCharacters"/>
          <w:rFonts w:ascii="Arial" w:hAnsi="Arial" w:cs="Arial"/>
          <w:sz w:val="20"/>
          <w:szCs w:val="20"/>
        </w:rPr>
        <w:footnoteRef/>
      </w:r>
      <w:r w:rsidRPr="00F976B4">
        <w:rPr>
          <w:rFonts w:ascii="Arial" w:hAnsi="Arial"/>
          <w:sz w:val="20"/>
          <w:szCs w:val="20"/>
        </w:rPr>
        <w:tab/>
      </w:r>
      <w:r w:rsidRPr="00F976B4">
        <w:rPr>
          <w:rFonts w:ascii="Arial" w:hAnsi="Arial"/>
          <w:i/>
          <w:sz w:val="20"/>
          <w:szCs w:val="20"/>
        </w:rPr>
        <w:t xml:space="preserve"> </w:t>
      </w:r>
      <w:r w:rsidRPr="00F976B4">
        <w:rPr>
          <w:rFonts w:ascii="Arial" w:hAnsi="Arial"/>
          <w:sz w:val="20"/>
          <w:szCs w:val="20"/>
        </w:rPr>
        <w:t>As is well-known, the Sages expand a great deal on this tension, present</w:t>
      </w:r>
      <w:r w:rsidR="009665A6">
        <w:rPr>
          <w:rFonts w:ascii="Arial" w:hAnsi="Arial"/>
          <w:sz w:val="20"/>
          <w:szCs w:val="20"/>
        </w:rPr>
        <w:t>ing</w:t>
      </w:r>
      <w:r w:rsidRPr="00F976B4">
        <w:rPr>
          <w:rFonts w:ascii="Arial" w:hAnsi="Arial"/>
          <w:sz w:val="20"/>
          <w:szCs w:val="20"/>
        </w:rPr>
        <w:t xml:space="preserve"> Est</w:t>
      </w:r>
      <w:r w:rsidR="009665A6">
        <w:rPr>
          <w:rFonts w:ascii="Arial" w:hAnsi="Arial"/>
          <w:sz w:val="20"/>
          <w:szCs w:val="20"/>
        </w:rPr>
        <w:t>h</w:t>
      </w:r>
      <w:r w:rsidRPr="00F976B4">
        <w:rPr>
          <w:rFonts w:ascii="Arial" w:hAnsi="Arial"/>
          <w:sz w:val="20"/>
          <w:szCs w:val="20"/>
        </w:rPr>
        <w:t>er as the wife of Mordekhai</w:t>
      </w:r>
      <w:r w:rsidR="00A95668" w:rsidRPr="00F976B4">
        <w:rPr>
          <w:rFonts w:ascii="Arial" w:hAnsi="Arial"/>
          <w:sz w:val="20"/>
          <w:szCs w:val="20"/>
        </w:rPr>
        <w:t>, taken from his bed</w:t>
      </w:r>
      <w:r w:rsidRPr="00F976B4">
        <w:rPr>
          <w:rFonts w:ascii="Arial" w:hAnsi="Arial"/>
          <w:sz w:val="20"/>
          <w:szCs w:val="20"/>
        </w:rPr>
        <w:t xml:space="preserve"> to the royal palace.</w:t>
      </w:r>
      <w:r w:rsidR="00A95668" w:rsidRPr="00F976B4">
        <w:rPr>
          <w:rFonts w:ascii="Arial" w:hAnsi="Arial"/>
          <w:sz w:val="20"/>
          <w:szCs w:val="20"/>
        </w:rPr>
        <w:t xml:space="preserve"> </w:t>
      </w:r>
      <w:r w:rsidRPr="00F976B4">
        <w:rPr>
          <w:rFonts w:ascii="Arial" w:hAnsi="Arial"/>
          <w:i/>
          <w:sz w:val="20"/>
          <w:szCs w:val="20"/>
        </w:rPr>
        <w:t xml:space="preserve"> </w:t>
      </w:r>
      <w:r w:rsidRPr="00F976B4">
        <w:rPr>
          <w:rFonts w:ascii="Arial" w:hAnsi="Arial"/>
          <w:sz w:val="20"/>
          <w:szCs w:val="20"/>
        </w:rPr>
        <w:t>This reading is also reflected by the Septuagint ad loc., which renders the verse as “He took her as his wife</w:t>
      </w:r>
      <w:r w:rsidR="009665A6">
        <w:rPr>
          <w:rFonts w:ascii="Arial" w:hAnsi="Arial"/>
          <w:sz w:val="20"/>
          <w:szCs w:val="20"/>
        </w:rPr>
        <w:t>,”</w:t>
      </w:r>
      <w:r w:rsidRPr="00F976B4">
        <w:rPr>
          <w:rFonts w:ascii="Arial" w:hAnsi="Arial"/>
          <w:sz w:val="20"/>
          <w:szCs w:val="20"/>
        </w:rPr>
        <w:t xml:space="preserve"> echoing the words of the Sages (</w:t>
      </w:r>
      <w:r w:rsidRPr="009665A6">
        <w:rPr>
          <w:rFonts w:ascii="Arial" w:hAnsi="Arial"/>
          <w:i/>
          <w:iCs/>
          <w:sz w:val="20"/>
          <w:szCs w:val="20"/>
        </w:rPr>
        <w:t>Megilla</w:t>
      </w:r>
      <w:r w:rsidRPr="00F976B4">
        <w:rPr>
          <w:rFonts w:ascii="Arial" w:hAnsi="Arial"/>
          <w:sz w:val="20"/>
          <w:szCs w:val="20"/>
        </w:rPr>
        <w:t xml:space="preserve"> 13a): “Do not read it ‘as his daughter</w:t>
      </w:r>
      <w:r w:rsidR="00A95668" w:rsidRPr="00F976B4">
        <w:rPr>
          <w:rFonts w:ascii="Arial" w:hAnsi="Arial"/>
          <w:sz w:val="20"/>
          <w:szCs w:val="20"/>
        </w:rPr>
        <w:t xml:space="preserve"> (</w:t>
      </w:r>
      <w:r w:rsidR="00A95668" w:rsidRPr="00F976B4">
        <w:rPr>
          <w:rFonts w:ascii="Arial" w:hAnsi="Arial"/>
          <w:i/>
          <w:iCs/>
          <w:sz w:val="20"/>
          <w:szCs w:val="20"/>
        </w:rPr>
        <w:t>bat</w:t>
      </w:r>
      <w:r w:rsidR="00A95668" w:rsidRPr="00F976B4">
        <w:rPr>
          <w:rFonts w:ascii="Arial" w:hAnsi="Arial"/>
          <w:sz w:val="20"/>
          <w:szCs w:val="20"/>
        </w:rPr>
        <w:t>)</w:t>
      </w:r>
      <w:r w:rsidRPr="00F976B4">
        <w:rPr>
          <w:rFonts w:ascii="Arial" w:hAnsi="Arial"/>
          <w:sz w:val="20"/>
          <w:szCs w:val="20"/>
        </w:rPr>
        <w:t>’ but rather: as his house</w:t>
      </w:r>
      <w:r w:rsidR="00A95668" w:rsidRPr="00F976B4">
        <w:rPr>
          <w:rFonts w:ascii="Arial" w:hAnsi="Arial"/>
          <w:sz w:val="20"/>
          <w:szCs w:val="20"/>
        </w:rPr>
        <w:t xml:space="preserve"> (</w:t>
      </w:r>
      <w:r w:rsidR="00A95668" w:rsidRPr="00F976B4">
        <w:rPr>
          <w:rFonts w:ascii="Arial" w:hAnsi="Arial"/>
          <w:i/>
          <w:iCs/>
          <w:sz w:val="20"/>
          <w:szCs w:val="20"/>
        </w:rPr>
        <w:t>bayit</w:t>
      </w:r>
      <w:r w:rsidR="00A95668" w:rsidRPr="00F976B4">
        <w:rPr>
          <w:rFonts w:ascii="Arial" w:hAnsi="Arial"/>
          <w:sz w:val="20"/>
          <w:szCs w:val="20"/>
        </w:rPr>
        <w:t>).</w:t>
      </w:r>
      <w:r w:rsidRPr="00F976B4">
        <w:rPr>
          <w:rFonts w:ascii="Arial" w:hAnsi="Arial"/>
          <w:sz w:val="20"/>
          <w:szCs w:val="20"/>
        </w:rPr>
        <w:t xml:space="preserve">” </w:t>
      </w:r>
      <w:r w:rsidR="00A95668" w:rsidRPr="00F976B4">
        <w:rPr>
          <w:rFonts w:ascii="Arial" w:hAnsi="Arial"/>
          <w:sz w:val="20"/>
          <w:szCs w:val="20"/>
        </w:rPr>
        <w:t xml:space="preserve"> According to</w:t>
      </w:r>
      <w:r w:rsidRPr="00F976B4">
        <w:rPr>
          <w:rFonts w:ascii="Arial" w:hAnsi="Arial"/>
          <w:sz w:val="20"/>
          <w:szCs w:val="20"/>
        </w:rPr>
        <w:t xml:space="preserve"> the simple meaning</w:t>
      </w:r>
      <w:r w:rsidR="00A95668" w:rsidRPr="00F976B4">
        <w:rPr>
          <w:rFonts w:ascii="Arial" w:hAnsi="Arial"/>
          <w:sz w:val="20"/>
          <w:szCs w:val="20"/>
        </w:rPr>
        <w:t xml:space="preserve"> of the text</w:t>
      </w:r>
      <w:r w:rsidRPr="00F976B4">
        <w:rPr>
          <w:rFonts w:ascii="Arial" w:hAnsi="Arial"/>
          <w:sz w:val="20"/>
          <w:szCs w:val="20"/>
        </w:rPr>
        <w:t>, this is impossible, because it is virgin girls, not married women, who a</w:t>
      </w:r>
      <w:r w:rsidR="009665A6">
        <w:rPr>
          <w:rFonts w:ascii="Arial" w:hAnsi="Arial"/>
          <w:sz w:val="20"/>
          <w:szCs w:val="20"/>
        </w:rPr>
        <w:t>re being rounded up by the king.</w:t>
      </w:r>
      <w:r w:rsidRPr="00F976B4">
        <w:rPr>
          <w:rFonts w:ascii="Arial" w:hAnsi="Arial"/>
          <w:sz w:val="20"/>
          <w:szCs w:val="20"/>
        </w:rPr>
        <w:t xml:space="preserve"> </w:t>
      </w:r>
      <w:r w:rsidR="009665A6">
        <w:rPr>
          <w:rFonts w:ascii="Arial" w:hAnsi="Arial"/>
          <w:sz w:val="20"/>
          <w:szCs w:val="20"/>
        </w:rPr>
        <w:t>H</w:t>
      </w:r>
      <w:r w:rsidRPr="00F976B4">
        <w:rPr>
          <w:rFonts w:ascii="Arial" w:hAnsi="Arial"/>
          <w:sz w:val="20"/>
          <w:szCs w:val="20"/>
        </w:rPr>
        <w:t>owever</w:t>
      </w:r>
      <w:r w:rsidR="009665A6">
        <w:rPr>
          <w:rFonts w:ascii="Arial" w:hAnsi="Arial"/>
          <w:sz w:val="20"/>
          <w:szCs w:val="20"/>
        </w:rPr>
        <w:t>,</w:t>
      </w:r>
      <w:r w:rsidRPr="00F976B4">
        <w:rPr>
          <w:rFonts w:ascii="Arial" w:hAnsi="Arial"/>
          <w:sz w:val="20"/>
          <w:szCs w:val="20"/>
        </w:rPr>
        <w:t xml:space="preserve"> it appears that the narrative itself alludes to a similar tension</w:t>
      </w:r>
      <w:r w:rsidR="00A95668" w:rsidRPr="00F976B4">
        <w:rPr>
          <w:rFonts w:ascii="Arial" w:hAnsi="Arial"/>
          <w:sz w:val="20"/>
          <w:szCs w:val="20"/>
        </w:rPr>
        <w:t>. (W</w:t>
      </w:r>
      <w:r w:rsidRPr="00F976B4">
        <w:rPr>
          <w:rFonts w:ascii="Arial" w:hAnsi="Arial"/>
          <w:sz w:val="20"/>
          <w:szCs w:val="20"/>
        </w:rPr>
        <w:t>e should also remember that in the ancient world, fostering a young girl was often the first step towards an eventual marriage</w:t>
      </w:r>
      <w:r w:rsidR="00A95668" w:rsidRPr="00F976B4">
        <w:rPr>
          <w:rFonts w:ascii="Arial" w:hAnsi="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34" w:rsidRDefault="00E27434">
    <w:pPr>
      <w:tabs>
        <w:tab w:val="center" w:pos="4818"/>
        <w:tab w:val="right" w:pos="8220"/>
      </w:tabs>
      <w:rPr>
        <w:sz w:val="10"/>
        <w:szCs w:val="10"/>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ABA"/>
    <w:multiLevelType w:val="hybridMultilevel"/>
    <w:tmpl w:val="5F247F98"/>
    <w:lvl w:ilvl="0" w:tplc="8D6E35B0">
      <w:start w:val="1"/>
      <w:numFmt w:val="bullet"/>
      <w:lvlText w:val=""/>
      <w:lvlJc w:val="left"/>
      <w:pPr>
        <w:tabs>
          <w:tab w:val="num" w:pos="1080"/>
        </w:tabs>
        <w:ind w:left="1080" w:hanging="360"/>
      </w:pPr>
      <w:rPr>
        <w:rFonts w:ascii="Symbol" w:eastAsia="Times New Roman" w:hAnsi="Symbol" w:cs="David" w:hint="default"/>
        <w:lang w:bidi="he-I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BD0543"/>
    <w:multiLevelType w:val="hybridMultilevel"/>
    <w:tmpl w:val="297A8706"/>
    <w:lvl w:ilvl="0" w:tplc="0409000F">
      <w:start w:val="1"/>
      <w:numFmt w:val="decimal"/>
      <w:lvlText w:val="%1."/>
      <w:lvlJc w:val="left"/>
      <w:pPr>
        <w:ind w:left="1610" w:hanging="360"/>
      </w:p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2" w15:restartNumberingAfterBreak="0">
    <w:nsid w:val="04C35FB4"/>
    <w:multiLevelType w:val="hybridMultilevel"/>
    <w:tmpl w:val="6E3A184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A4E7BAA"/>
    <w:multiLevelType w:val="hybridMultilevel"/>
    <w:tmpl w:val="DCAAE772"/>
    <w:lvl w:ilvl="0" w:tplc="67EAFD4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27477"/>
    <w:multiLevelType w:val="hybridMultilevel"/>
    <w:tmpl w:val="0B0E804E"/>
    <w:lvl w:ilvl="0" w:tplc="A06E36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06582"/>
    <w:multiLevelType w:val="hybridMultilevel"/>
    <w:tmpl w:val="E67E2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36633"/>
    <w:multiLevelType w:val="hybridMultilevel"/>
    <w:tmpl w:val="01E2B972"/>
    <w:lvl w:ilvl="0" w:tplc="E0BE55AA">
      <w:start w:val="1"/>
      <w:numFmt w:val="hebrew1"/>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B6E8C"/>
    <w:multiLevelType w:val="hybridMultilevel"/>
    <w:tmpl w:val="7DF21F2C"/>
    <w:lvl w:ilvl="0" w:tplc="0409000F">
      <w:start w:val="1"/>
      <w:numFmt w:val="decimal"/>
      <w:lvlText w:val="%1."/>
      <w:lvlJc w:val="left"/>
      <w:pPr>
        <w:ind w:left="2140" w:hanging="360"/>
      </w:p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8" w15:restartNumberingAfterBreak="0">
    <w:nsid w:val="1FF251DA"/>
    <w:multiLevelType w:val="hybridMultilevel"/>
    <w:tmpl w:val="5E24E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1850FE"/>
    <w:multiLevelType w:val="hybridMultilevel"/>
    <w:tmpl w:val="99E21B5E"/>
    <w:lvl w:ilvl="0" w:tplc="8438D338">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E29B8"/>
    <w:multiLevelType w:val="hybridMultilevel"/>
    <w:tmpl w:val="2D081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24972"/>
    <w:multiLevelType w:val="hybridMultilevel"/>
    <w:tmpl w:val="7AF20FD8"/>
    <w:lvl w:ilvl="0" w:tplc="0409000F">
      <w:start w:val="1"/>
      <w:numFmt w:val="decimal"/>
      <w:lvlText w:val="%1."/>
      <w:lvlJc w:val="left"/>
      <w:pPr>
        <w:tabs>
          <w:tab w:val="num" w:pos="720"/>
        </w:tabs>
        <w:ind w:left="720" w:hanging="360"/>
      </w:pPr>
      <w:rPr>
        <w:rFonts w:hint="default"/>
      </w:rPr>
    </w:lvl>
    <w:lvl w:ilvl="1" w:tplc="58D201F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F6F6F"/>
    <w:multiLevelType w:val="hybridMultilevel"/>
    <w:tmpl w:val="66F40EC4"/>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13" w15:restartNumberingAfterBreak="0">
    <w:nsid w:val="39165246"/>
    <w:multiLevelType w:val="hybridMultilevel"/>
    <w:tmpl w:val="AA981C90"/>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15:restartNumberingAfterBreak="0">
    <w:nsid w:val="3D25673A"/>
    <w:multiLevelType w:val="hybridMultilevel"/>
    <w:tmpl w:val="6F48A42C"/>
    <w:lvl w:ilvl="0" w:tplc="70CCD87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F3AA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1A63F27"/>
    <w:multiLevelType w:val="hybridMultilevel"/>
    <w:tmpl w:val="06487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D22F82"/>
    <w:multiLevelType w:val="hybridMultilevel"/>
    <w:tmpl w:val="308CC8AA"/>
    <w:lvl w:ilvl="0" w:tplc="B2FE2F9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144DE8"/>
    <w:multiLevelType w:val="hybridMultilevel"/>
    <w:tmpl w:val="36ACCC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BB31D9"/>
    <w:multiLevelType w:val="hybridMultilevel"/>
    <w:tmpl w:val="6CECFBEA"/>
    <w:lvl w:ilvl="0" w:tplc="E8640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94D6D"/>
    <w:multiLevelType w:val="hybridMultilevel"/>
    <w:tmpl w:val="123A8D02"/>
    <w:lvl w:ilvl="0" w:tplc="47783F62">
      <w:start w:val="1"/>
      <w:numFmt w:val="decimal"/>
      <w:lvlText w:val="%1)"/>
      <w:lvlJc w:val="left"/>
      <w:pPr>
        <w:ind w:left="930" w:hanging="57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60FBB"/>
    <w:multiLevelType w:val="hybridMultilevel"/>
    <w:tmpl w:val="7376F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7743B0"/>
    <w:multiLevelType w:val="hybridMultilevel"/>
    <w:tmpl w:val="0FB03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F0D85"/>
    <w:multiLevelType w:val="hybridMultilevel"/>
    <w:tmpl w:val="11DEDF84"/>
    <w:lvl w:ilvl="0" w:tplc="BD9A6B1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5F76FE"/>
    <w:multiLevelType w:val="hybridMultilevel"/>
    <w:tmpl w:val="07BACBE2"/>
    <w:lvl w:ilvl="0" w:tplc="8D1E4810">
      <w:start w:val="33"/>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01821"/>
    <w:multiLevelType w:val="hybridMultilevel"/>
    <w:tmpl w:val="7E002A6C"/>
    <w:lvl w:ilvl="0" w:tplc="0540CAF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E3676"/>
    <w:multiLevelType w:val="hybridMultilevel"/>
    <w:tmpl w:val="22DA8D6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15:restartNumberingAfterBreak="0">
    <w:nsid w:val="696F137E"/>
    <w:multiLevelType w:val="hybridMultilevel"/>
    <w:tmpl w:val="6EE24418"/>
    <w:lvl w:ilvl="0" w:tplc="C91CF44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981768"/>
    <w:multiLevelType w:val="hybridMultilevel"/>
    <w:tmpl w:val="55A29AE4"/>
    <w:lvl w:ilvl="0" w:tplc="E30AA81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D87903"/>
    <w:multiLevelType w:val="hybridMultilevel"/>
    <w:tmpl w:val="7BA28876"/>
    <w:lvl w:ilvl="0" w:tplc="E070B182">
      <w:start w:val="2"/>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6C9553FA"/>
    <w:multiLevelType w:val="hybridMultilevel"/>
    <w:tmpl w:val="AD9CB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F3CAB"/>
    <w:multiLevelType w:val="hybridMultilevel"/>
    <w:tmpl w:val="7AAA5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A42AD6"/>
    <w:multiLevelType w:val="hybridMultilevel"/>
    <w:tmpl w:val="297A8706"/>
    <w:lvl w:ilvl="0" w:tplc="0409000F">
      <w:start w:val="1"/>
      <w:numFmt w:val="decimal"/>
      <w:lvlText w:val="%1."/>
      <w:lvlJc w:val="left"/>
      <w:pPr>
        <w:ind w:left="1610" w:hanging="360"/>
      </w:p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33" w15:restartNumberingAfterBreak="0">
    <w:nsid w:val="73EC7574"/>
    <w:multiLevelType w:val="hybridMultilevel"/>
    <w:tmpl w:val="51AA6974"/>
    <w:lvl w:ilvl="0" w:tplc="3AA2C53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15:restartNumberingAfterBreak="0">
    <w:nsid w:val="75132EB5"/>
    <w:multiLevelType w:val="hybridMultilevel"/>
    <w:tmpl w:val="1D662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E2704E"/>
    <w:multiLevelType w:val="hybridMultilevel"/>
    <w:tmpl w:val="58CE73D2"/>
    <w:lvl w:ilvl="0" w:tplc="04090013">
      <w:start w:val="1"/>
      <w:numFmt w:val="hebrew1"/>
      <w:lvlText w:val="%1."/>
      <w:lvlJc w:val="center"/>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DA31CF7"/>
    <w:multiLevelType w:val="hybridMultilevel"/>
    <w:tmpl w:val="A39ADA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C223D"/>
    <w:multiLevelType w:val="hybridMultilevel"/>
    <w:tmpl w:val="416AFA42"/>
    <w:lvl w:ilvl="0" w:tplc="FFB0C4A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4"/>
  </w:num>
  <w:num w:numId="4">
    <w:abstractNumId w:val="3"/>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6"/>
  </w:num>
  <w:num w:numId="8">
    <w:abstractNumId w:val="17"/>
  </w:num>
  <w:num w:numId="9">
    <w:abstractNumId w:val="27"/>
  </w:num>
  <w:num w:numId="10">
    <w:abstractNumId w:val="1"/>
  </w:num>
  <w:num w:numId="11">
    <w:abstractNumId w:val="36"/>
  </w:num>
  <w:num w:numId="12">
    <w:abstractNumId w:val="5"/>
  </w:num>
  <w:num w:numId="13">
    <w:abstractNumId w:val="10"/>
  </w:num>
  <w:num w:numId="14">
    <w:abstractNumId w:val="32"/>
  </w:num>
  <w:num w:numId="15">
    <w:abstractNumId w:val="24"/>
  </w:num>
  <w:num w:numId="16">
    <w:abstractNumId w:val="34"/>
  </w:num>
  <w:num w:numId="17">
    <w:abstractNumId w:val="18"/>
  </w:num>
  <w:num w:numId="18">
    <w:abstractNumId w:val="31"/>
  </w:num>
  <w:num w:numId="19">
    <w:abstractNumId w:val="13"/>
  </w:num>
  <w:num w:numId="20">
    <w:abstractNumId w:val="6"/>
  </w:num>
  <w:num w:numId="21">
    <w:abstractNumId w:val="0"/>
  </w:num>
  <w:num w:numId="22">
    <w:abstractNumId w:val="37"/>
  </w:num>
  <w:num w:numId="23">
    <w:abstractNumId w:val="19"/>
  </w:num>
  <w:num w:numId="24">
    <w:abstractNumId w:val="14"/>
  </w:num>
  <w:num w:numId="25">
    <w:abstractNumId w:val="26"/>
  </w:num>
  <w:num w:numId="26">
    <w:abstractNumId w:val="2"/>
  </w:num>
  <w:num w:numId="27">
    <w:abstractNumId w:val="21"/>
  </w:num>
  <w:num w:numId="28">
    <w:abstractNumId w:val="12"/>
  </w:num>
  <w:num w:numId="29">
    <w:abstractNumId w:val="29"/>
  </w:num>
  <w:num w:numId="30">
    <w:abstractNumId w:val="9"/>
  </w:num>
  <w:num w:numId="31">
    <w:abstractNumId w:val="33"/>
  </w:num>
  <w:num w:numId="32">
    <w:abstractNumId w:val="8"/>
  </w:num>
  <w:num w:numId="33">
    <w:abstractNumId w:val="7"/>
  </w:num>
  <w:num w:numId="34">
    <w:abstractNumId w:val="25"/>
  </w:num>
  <w:num w:numId="35">
    <w:abstractNumId w:val="28"/>
  </w:num>
  <w:num w:numId="36">
    <w:abstractNumId w:val="23"/>
  </w:num>
  <w:num w:numId="37">
    <w:abstractNumId w:val="22"/>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5B8"/>
    <w:rsid w:val="00001D85"/>
    <w:rsid w:val="00002994"/>
    <w:rsid w:val="00010D52"/>
    <w:rsid w:val="00011A33"/>
    <w:rsid w:val="000133A2"/>
    <w:rsid w:val="0001654E"/>
    <w:rsid w:val="00022E50"/>
    <w:rsid w:val="00022EF9"/>
    <w:rsid w:val="000259C6"/>
    <w:rsid w:val="00050DAC"/>
    <w:rsid w:val="00060942"/>
    <w:rsid w:val="00067F53"/>
    <w:rsid w:val="00073288"/>
    <w:rsid w:val="00081FD3"/>
    <w:rsid w:val="0008260A"/>
    <w:rsid w:val="00082688"/>
    <w:rsid w:val="0008413E"/>
    <w:rsid w:val="00084980"/>
    <w:rsid w:val="00084BD9"/>
    <w:rsid w:val="00086357"/>
    <w:rsid w:val="0008701F"/>
    <w:rsid w:val="00087522"/>
    <w:rsid w:val="00092858"/>
    <w:rsid w:val="00092B4B"/>
    <w:rsid w:val="00093189"/>
    <w:rsid w:val="00093539"/>
    <w:rsid w:val="00094B49"/>
    <w:rsid w:val="000969DA"/>
    <w:rsid w:val="000972AF"/>
    <w:rsid w:val="000A06ED"/>
    <w:rsid w:val="000A39C3"/>
    <w:rsid w:val="000A47EB"/>
    <w:rsid w:val="000B0AD0"/>
    <w:rsid w:val="000B36C2"/>
    <w:rsid w:val="000C7A63"/>
    <w:rsid w:val="000D20E6"/>
    <w:rsid w:val="000D4094"/>
    <w:rsid w:val="000D51EB"/>
    <w:rsid w:val="000D53FB"/>
    <w:rsid w:val="000D614E"/>
    <w:rsid w:val="000E025C"/>
    <w:rsid w:val="000E1FD1"/>
    <w:rsid w:val="000E27D0"/>
    <w:rsid w:val="000E35FA"/>
    <w:rsid w:val="000E7D09"/>
    <w:rsid w:val="000F0600"/>
    <w:rsid w:val="000F1FDC"/>
    <w:rsid w:val="000F2CEF"/>
    <w:rsid w:val="001000B8"/>
    <w:rsid w:val="00101AF4"/>
    <w:rsid w:val="00103DA0"/>
    <w:rsid w:val="00110728"/>
    <w:rsid w:val="00111C4E"/>
    <w:rsid w:val="001125E9"/>
    <w:rsid w:val="00113410"/>
    <w:rsid w:val="001148FD"/>
    <w:rsid w:val="00121887"/>
    <w:rsid w:val="00124888"/>
    <w:rsid w:val="0012662F"/>
    <w:rsid w:val="00146B69"/>
    <w:rsid w:val="00147E15"/>
    <w:rsid w:val="00152A67"/>
    <w:rsid w:val="00154C43"/>
    <w:rsid w:val="00155750"/>
    <w:rsid w:val="0015575D"/>
    <w:rsid w:val="001639ED"/>
    <w:rsid w:val="001654F3"/>
    <w:rsid w:val="00165C6E"/>
    <w:rsid w:val="00166D26"/>
    <w:rsid w:val="00170D5B"/>
    <w:rsid w:val="001732FD"/>
    <w:rsid w:val="00174B1E"/>
    <w:rsid w:val="0017561D"/>
    <w:rsid w:val="00176D34"/>
    <w:rsid w:val="001840C7"/>
    <w:rsid w:val="001870BC"/>
    <w:rsid w:val="00190E8F"/>
    <w:rsid w:val="001920D8"/>
    <w:rsid w:val="00194542"/>
    <w:rsid w:val="001950D5"/>
    <w:rsid w:val="001960A1"/>
    <w:rsid w:val="00196478"/>
    <w:rsid w:val="001972CB"/>
    <w:rsid w:val="001A02B6"/>
    <w:rsid w:val="001A2301"/>
    <w:rsid w:val="001A31CB"/>
    <w:rsid w:val="001B0460"/>
    <w:rsid w:val="001B2B11"/>
    <w:rsid w:val="001B38BC"/>
    <w:rsid w:val="001B5C2C"/>
    <w:rsid w:val="001B62DF"/>
    <w:rsid w:val="001B636C"/>
    <w:rsid w:val="001B6CF3"/>
    <w:rsid w:val="001C05C7"/>
    <w:rsid w:val="001C2DD0"/>
    <w:rsid w:val="001C361C"/>
    <w:rsid w:val="001C37F3"/>
    <w:rsid w:val="001C55DE"/>
    <w:rsid w:val="001C6379"/>
    <w:rsid w:val="001C7431"/>
    <w:rsid w:val="001D09A0"/>
    <w:rsid w:val="001D11BB"/>
    <w:rsid w:val="001D18EF"/>
    <w:rsid w:val="001D1945"/>
    <w:rsid w:val="001D43F3"/>
    <w:rsid w:val="001D526A"/>
    <w:rsid w:val="001D720E"/>
    <w:rsid w:val="001D7585"/>
    <w:rsid w:val="001E184F"/>
    <w:rsid w:val="001E5C0C"/>
    <w:rsid w:val="001E5CC7"/>
    <w:rsid w:val="001E7DD3"/>
    <w:rsid w:val="001F0E20"/>
    <w:rsid w:val="001F23C1"/>
    <w:rsid w:val="001F414B"/>
    <w:rsid w:val="001F7BEE"/>
    <w:rsid w:val="00200011"/>
    <w:rsid w:val="00200124"/>
    <w:rsid w:val="00200FA8"/>
    <w:rsid w:val="00202A41"/>
    <w:rsid w:val="00207093"/>
    <w:rsid w:val="0021437F"/>
    <w:rsid w:val="002151F8"/>
    <w:rsid w:val="002221C4"/>
    <w:rsid w:val="00223DFF"/>
    <w:rsid w:val="002245C8"/>
    <w:rsid w:val="002262FB"/>
    <w:rsid w:val="0022750F"/>
    <w:rsid w:val="00230B7C"/>
    <w:rsid w:val="00233EAD"/>
    <w:rsid w:val="00237A9F"/>
    <w:rsid w:val="00247289"/>
    <w:rsid w:val="00251543"/>
    <w:rsid w:val="0025742E"/>
    <w:rsid w:val="00260D34"/>
    <w:rsid w:val="00265C54"/>
    <w:rsid w:val="00281C1B"/>
    <w:rsid w:val="00284C16"/>
    <w:rsid w:val="00290D5C"/>
    <w:rsid w:val="00294BDA"/>
    <w:rsid w:val="0029683A"/>
    <w:rsid w:val="002A1EDF"/>
    <w:rsid w:val="002A3F3C"/>
    <w:rsid w:val="002A5191"/>
    <w:rsid w:val="002A6379"/>
    <w:rsid w:val="002A70C1"/>
    <w:rsid w:val="002B071A"/>
    <w:rsid w:val="002B1C41"/>
    <w:rsid w:val="002B6A74"/>
    <w:rsid w:val="002B6D92"/>
    <w:rsid w:val="002C12CC"/>
    <w:rsid w:val="002C1BED"/>
    <w:rsid w:val="002C32B5"/>
    <w:rsid w:val="002C51C0"/>
    <w:rsid w:val="002C5A8D"/>
    <w:rsid w:val="002C7BC7"/>
    <w:rsid w:val="002D0275"/>
    <w:rsid w:val="002D22D2"/>
    <w:rsid w:val="002D2F09"/>
    <w:rsid w:val="002D3A2D"/>
    <w:rsid w:val="002D5787"/>
    <w:rsid w:val="002E13FD"/>
    <w:rsid w:val="002E2C9D"/>
    <w:rsid w:val="002E2F44"/>
    <w:rsid w:val="002E30F0"/>
    <w:rsid w:val="002E32BD"/>
    <w:rsid w:val="002E39F7"/>
    <w:rsid w:val="002E3C13"/>
    <w:rsid w:val="002E501E"/>
    <w:rsid w:val="002E5AB7"/>
    <w:rsid w:val="002E5BA1"/>
    <w:rsid w:val="002E6286"/>
    <w:rsid w:val="002E7F6B"/>
    <w:rsid w:val="002F354F"/>
    <w:rsid w:val="002F38BB"/>
    <w:rsid w:val="002F4D35"/>
    <w:rsid w:val="002F5BA8"/>
    <w:rsid w:val="002F69C2"/>
    <w:rsid w:val="002F69FF"/>
    <w:rsid w:val="002F6F45"/>
    <w:rsid w:val="002F7EF7"/>
    <w:rsid w:val="00300CB2"/>
    <w:rsid w:val="003032CF"/>
    <w:rsid w:val="00306A61"/>
    <w:rsid w:val="00306E18"/>
    <w:rsid w:val="003073B1"/>
    <w:rsid w:val="0031234C"/>
    <w:rsid w:val="00315487"/>
    <w:rsid w:val="003200FC"/>
    <w:rsid w:val="00320332"/>
    <w:rsid w:val="00320514"/>
    <w:rsid w:val="00320B68"/>
    <w:rsid w:val="00321D8E"/>
    <w:rsid w:val="00325628"/>
    <w:rsid w:val="00333DA5"/>
    <w:rsid w:val="003343C7"/>
    <w:rsid w:val="0033514E"/>
    <w:rsid w:val="00337305"/>
    <w:rsid w:val="00337481"/>
    <w:rsid w:val="00337524"/>
    <w:rsid w:val="00342558"/>
    <w:rsid w:val="00342971"/>
    <w:rsid w:val="00344982"/>
    <w:rsid w:val="00345809"/>
    <w:rsid w:val="0034741D"/>
    <w:rsid w:val="003521E2"/>
    <w:rsid w:val="00353CA5"/>
    <w:rsid w:val="003559CA"/>
    <w:rsid w:val="00356125"/>
    <w:rsid w:val="00357195"/>
    <w:rsid w:val="00357BAB"/>
    <w:rsid w:val="00363BA3"/>
    <w:rsid w:val="00363F85"/>
    <w:rsid w:val="0037050C"/>
    <w:rsid w:val="003716A4"/>
    <w:rsid w:val="0037465E"/>
    <w:rsid w:val="00374C89"/>
    <w:rsid w:val="0038108F"/>
    <w:rsid w:val="0038327C"/>
    <w:rsid w:val="003845A1"/>
    <w:rsid w:val="00385FDC"/>
    <w:rsid w:val="00387836"/>
    <w:rsid w:val="003907C7"/>
    <w:rsid w:val="00390B74"/>
    <w:rsid w:val="003936EC"/>
    <w:rsid w:val="003976F2"/>
    <w:rsid w:val="003977EA"/>
    <w:rsid w:val="003A2AEB"/>
    <w:rsid w:val="003B69E3"/>
    <w:rsid w:val="003B7DA8"/>
    <w:rsid w:val="003C06E9"/>
    <w:rsid w:val="003C138C"/>
    <w:rsid w:val="003C1EC2"/>
    <w:rsid w:val="003C4303"/>
    <w:rsid w:val="003C5991"/>
    <w:rsid w:val="003C5E6E"/>
    <w:rsid w:val="003C7641"/>
    <w:rsid w:val="003D0110"/>
    <w:rsid w:val="003D282F"/>
    <w:rsid w:val="003D3936"/>
    <w:rsid w:val="003D44BC"/>
    <w:rsid w:val="003D72E3"/>
    <w:rsid w:val="003E0B50"/>
    <w:rsid w:val="003E2413"/>
    <w:rsid w:val="003E2A04"/>
    <w:rsid w:val="003E34F6"/>
    <w:rsid w:val="003F0C59"/>
    <w:rsid w:val="003F3BBE"/>
    <w:rsid w:val="003F75CF"/>
    <w:rsid w:val="00400EE6"/>
    <w:rsid w:val="004029E2"/>
    <w:rsid w:val="00405B60"/>
    <w:rsid w:val="00407116"/>
    <w:rsid w:val="00411CAC"/>
    <w:rsid w:val="0041304F"/>
    <w:rsid w:val="004147F4"/>
    <w:rsid w:val="0041589F"/>
    <w:rsid w:val="00416795"/>
    <w:rsid w:val="004168D9"/>
    <w:rsid w:val="00422DE9"/>
    <w:rsid w:val="00425BF6"/>
    <w:rsid w:val="004310E0"/>
    <w:rsid w:val="00431BF3"/>
    <w:rsid w:val="004326F9"/>
    <w:rsid w:val="00432789"/>
    <w:rsid w:val="00433833"/>
    <w:rsid w:val="00441DA9"/>
    <w:rsid w:val="00444303"/>
    <w:rsid w:val="004446D8"/>
    <w:rsid w:val="00447378"/>
    <w:rsid w:val="00451B7A"/>
    <w:rsid w:val="00452E58"/>
    <w:rsid w:val="004531BA"/>
    <w:rsid w:val="00455541"/>
    <w:rsid w:val="00460F7E"/>
    <w:rsid w:val="00463B80"/>
    <w:rsid w:val="00467E3F"/>
    <w:rsid w:val="00471EDC"/>
    <w:rsid w:val="004763FF"/>
    <w:rsid w:val="00477FD9"/>
    <w:rsid w:val="004829CC"/>
    <w:rsid w:val="00484F26"/>
    <w:rsid w:val="00486D45"/>
    <w:rsid w:val="004A2823"/>
    <w:rsid w:val="004A435D"/>
    <w:rsid w:val="004B3864"/>
    <w:rsid w:val="004B4EEC"/>
    <w:rsid w:val="004B7B34"/>
    <w:rsid w:val="004C2C25"/>
    <w:rsid w:val="004D2B86"/>
    <w:rsid w:val="004D3429"/>
    <w:rsid w:val="004E4952"/>
    <w:rsid w:val="004E66B9"/>
    <w:rsid w:val="004F0248"/>
    <w:rsid w:val="004F1544"/>
    <w:rsid w:val="004F3B73"/>
    <w:rsid w:val="004F7ACD"/>
    <w:rsid w:val="004F7DF8"/>
    <w:rsid w:val="00500578"/>
    <w:rsid w:val="005015C6"/>
    <w:rsid w:val="00501E0C"/>
    <w:rsid w:val="00502D9E"/>
    <w:rsid w:val="00502DAD"/>
    <w:rsid w:val="0050513E"/>
    <w:rsid w:val="00511062"/>
    <w:rsid w:val="0051525A"/>
    <w:rsid w:val="0051560A"/>
    <w:rsid w:val="0051753D"/>
    <w:rsid w:val="00520177"/>
    <w:rsid w:val="00525D3F"/>
    <w:rsid w:val="0052736C"/>
    <w:rsid w:val="00527BE4"/>
    <w:rsid w:val="005304B4"/>
    <w:rsid w:val="005319F6"/>
    <w:rsid w:val="0053722C"/>
    <w:rsid w:val="00542484"/>
    <w:rsid w:val="00545E23"/>
    <w:rsid w:val="00550654"/>
    <w:rsid w:val="00550DF9"/>
    <w:rsid w:val="00551007"/>
    <w:rsid w:val="005527E0"/>
    <w:rsid w:val="00552B20"/>
    <w:rsid w:val="005572C0"/>
    <w:rsid w:val="00567590"/>
    <w:rsid w:val="005678E2"/>
    <w:rsid w:val="00573230"/>
    <w:rsid w:val="005755F0"/>
    <w:rsid w:val="005758A6"/>
    <w:rsid w:val="00580775"/>
    <w:rsid w:val="00586D62"/>
    <w:rsid w:val="00591F3A"/>
    <w:rsid w:val="0059346C"/>
    <w:rsid w:val="005A1F76"/>
    <w:rsid w:val="005A2601"/>
    <w:rsid w:val="005A3C23"/>
    <w:rsid w:val="005A5053"/>
    <w:rsid w:val="005A766B"/>
    <w:rsid w:val="005B050B"/>
    <w:rsid w:val="005B06FA"/>
    <w:rsid w:val="005B4685"/>
    <w:rsid w:val="005B6B6D"/>
    <w:rsid w:val="005C2274"/>
    <w:rsid w:val="005C352B"/>
    <w:rsid w:val="005C3DD0"/>
    <w:rsid w:val="005D0F30"/>
    <w:rsid w:val="005D1555"/>
    <w:rsid w:val="005D3FE4"/>
    <w:rsid w:val="005D4882"/>
    <w:rsid w:val="005D71C7"/>
    <w:rsid w:val="005E0F9D"/>
    <w:rsid w:val="005E3660"/>
    <w:rsid w:val="005E66A6"/>
    <w:rsid w:val="005E6B41"/>
    <w:rsid w:val="005E7407"/>
    <w:rsid w:val="005F1C72"/>
    <w:rsid w:val="005F24CA"/>
    <w:rsid w:val="005F3C96"/>
    <w:rsid w:val="005F4A2C"/>
    <w:rsid w:val="005F6144"/>
    <w:rsid w:val="005F666D"/>
    <w:rsid w:val="00600B71"/>
    <w:rsid w:val="0060709F"/>
    <w:rsid w:val="0061161F"/>
    <w:rsid w:val="006127F7"/>
    <w:rsid w:val="00615EF4"/>
    <w:rsid w:val="00622808"/>
    <w:rsid w:val="006234DD"/>
    <w:rsid w:val="00623D55"/>
    <w:rsid w:val="006274A7"/>
    <w:rsid w:val="00631119"/>
    <w:rsid w:val="006326E5"/>
    <w:rsid w:val="0063419F"/>
    <w:rsid w:val="00634630"/>
    <w:rsid w:val="006346F0"/>
    <w:rsid w:val="00635D14"/>
    <w:rsid w:val="0064060F"/>
    <w:rsid w:val="00640EE5"/>
    <w:rsid w:val="00642C57"/>
    <w:rsid w:val="00643119"/>
    <w:rsid w:val="0064432D"/>
    <w:rsid w:val="00644421"/>
    <w:rsid w:val="00647041"/>
    <w:rsid w:val="006472EE"/>
    <w:rsid w:val="006477C9"/>
    <w:rsid w:val="00647D00"/>
    <w:rsid w:val="00647E0D"/>
    <w:rsid w:val="0065037D"/>
    <w:rsid w:val="00651A71"/>
    <w:rsid w:val="00652CB6"/>
    <w:rsid w:val="0065435D"/>
    <w:rsid w:val="0066036A"/>
    <w:rsid w:val="00660408"/>
    <w:rsid w:val="0066069B"/>
    <w:rsid w:val="00661C79"/>
    <w:rsid w:val="00662043"/>
    <w:rsid w:val="006652D1"/>
    <w:rsid w:val="0066667B"/>
    <w:rsid w:val="00666C61"/>
    <w:rsid w:val="00673DB4"/>
    <w:rsid w:val="006751C1"/>
    <w:rsid w:val="00675B28"/>
    <w:rsid w:val="0067676D"/>
    <w:rsid w:val="00682809"/>
    <w:rsid w:val="00683660"/>
    <w:rsid w:val="006901DB"/>
    <w:rsid w:val="006905B8"/>
    <w:rsid w:val="00690E87"/>
    <w:rsid w:val="0069545D"/>
    <w:rsid w:val="006A04A6"/>
    <w:rsid w:val="006A1B79"/>
    <w:rsid w:val="006A61AF"/>
    <w:rsid w:val="006B2803"/>
    <w:rsid w:val="006B338A"/>
    <w:rsid w:val="006B47F2"/>
    <w:rsid w:val="006D114B"/>
    <w:rsid w:val="006D16FA"/>
    <w:rsid w:val="006D1D8E"/>
    <w:rsid w:val="006D6D81"/>
    <w:rsid w:val="006E3E56"/>
    <w:rsid w:val="006E3EF1"/>
    <w:rsid w:val="006F1274"/>
    <w:rsid w:val="006F2DEE"/>
    <w:rsid w:val="006F4A22"/>
    <w:rsid w:val="006F6E63"/>
    <w:rsid w:val="00704294"/>
    <w:rsid w:val="007047A7"/>
    <w:rsid w:val="00713336"/>
    <w:rsid w:val="00715451"/>
    <w:rsid w:val="0072198F"/>
    <w:rsid w:val="0072568A"/>
    <w:rsid w:val="007342CC"/>
    <w:rsid w:val="007358B4"/>
    <w:rsid w:val="00741358"/>
    <w:rsid w:val="00741978"/>
    <w:rsid w:val="00743685"/>
    <w:rsid w:val="007448BD"/>
    <w:rsid w:val="007465D4"/>
    <w:rsid w:val="00746EAC"/>
    <w:rsid w:val="00750D68"/>
    <w:rsid w:val="00751056"/>
    <w:rsid w:val="007541A0"/>
    <w:rsid w:val="007555ED"/>
    <w:rsid w:val="00755A31"/>
    <w:rsid w:val="007622D5"/>
    <w:rsid w:val="00764226"/>
    <w:rsid w:val="0076585E"/>
    <w:rsid w:val="00772B03"/>
    <w:rsid w:val="00774239"/>
    <w:rsid w:val="0077753E"/>
    <w:rsid w:val="007775C3"/>
    <w:rsid w:val="00782B2C"/>
    <w:rsid w:val="007838C7"/>
    <w:rsid w:val="00784ECD"/>
    <w:rsid w:val="00786DE6"/>
    <w:rsid w:val="00790868"/>
    <w:rsid w:val="00793B42"/>
    <w:rsid w:val="007944F1"/>
    <w:rsid w:val="007A0699"/>
    <w:rsid w:val="007A2CE3"/>
    <w:rsid w:val="007A3881"/>
    <w:rsid w:val="007B0292"/>
    <w:rsid w:val="007B15FA"/>
    <w:rsid w:val="007B5855"/>
    <w:rsid w:val="007B78E0"/>
    <w:rsid w:val="007C19D6"/>
    <w:rsid w:val="007C670B"/>
    <w:rsid w:val="007D319A"/>
    <w:rsid w:val="007E5B8C"/>
    <w:rsid w:val="007F0FFE"/>
    <w:rsid w:val="007F22D9"/>
    <w:rsid w:val="007F6D1E"/>
    <w:rsid w:val="007F6D3B"/>
    <w:rsid w:val="00800F85"/>
    <w:rsid w:val="00801D49"/>
    <w:rsid w:val="008025DF"/>
    <w:rsid w:val="008025E2"/>
    <w:rsid w:val="00803DB9"/>
    <w:rsid w:val="008073B6"/>
    <w:rsid w:val="00813D79"/>
    <w:rsid w:val="00817357"/>
    <w:rsid w:val="00822485"/>
    <w:rsid w:val="008234E9"/>
    <w:rsid w:val="00826F86"/>
    <w:rsid w:val="00834950"/>
    <w:rsid w:val="00835481"/>
    <w:rsid w:val="008361D4"/>
    <w:rsid w:val="00837A13"/>
    <w:rsid w:val="00837F91"/>
    <w:rsid w:val="008420F3"/>
    <w:rsid w:val="008461F1"/>
    <w:rsid w:val="00856E65"/>
    <w:rsid w:val="00861C62"/>
    <w:rsid w:val="008652E9"/>
    <w:rsid w:val="00866AC8"/>
    <w:rsid w:val="00867664"/>
    <w:rsid w:val="00867D4B"/>
    <w:rsid w:val="008835E4"/>
    <w:rsid w:val="008853D4"/>
    <w:rsid w:val="0088552B"/>
    <w:rsid w:val="00886BAD"/>
    <w:rsid w:val="0089168E"/>
    <w:rsid w:val="00892842"/>
    <w:rsid w:val="0089326A"/>
    <w:rsid w:val="0089471B"/>
    <w:rsid w:val="008A1E6B"/>
    <w:rsid w:val="008A306A"/>
    <w:rsid w:val="008A407C"/>
    <w:rsid w:val="008A707A"/>
    <w:rsid w:val="008A7A6B"/>
    <w:rsid w:val="008B1377"/>
    <w:rsid w:val="008B2A85"/>
    <w:rsid w:val="008B4EA1"/>
    <w:rsid w:val="008B4FA3"/>
    <w:rsid w:val="008B5CBA"/>
    <w:rsid w:val="008B6224"/>
    <w:rsid w:val="008B67A7"/>
    <w:rsid w:val="008B7C35"/>
    <w:rsid w:val="008B7D35"/>
    <w:rsid w:val="008C100D"/>
    <w:rsid w:val="008C258F"/>
    <w:rsid w:val="008C30B4"/>
    <w:rsid w:val="008C447F"/>
    <w:rsid w:val="008C45DC"/>
    <w:rsid w:val="008C5BF5"/>
    <w:rsid w:val="008E07B7"/>
    <w:rsid w:val="008E403C"/>
    <w:rsid w:val="008E5861"/>
    <w:rsid w:val="008F01CF"/>
    <w:rsid w:val="008F6054"/>
    <w:rsid w:val="008F6479"/>
    <w:rsid w:val="008F6CC8"/>
    <w:rsid w:val="008F710E"/>
    <w:rsid w:val="008F7C41"/>
    <w:rsid w:val="009076D8"/>
    <w:rsid w:val="009116B9"/>
    <w:rsid w:val="00913C4B"/>
    <w:rsid w:val="00913D37"/>
    <w:rsid w:val="00915FA4"/>
    <w:rsid w:val="009178A0"/>
    <w:rsid w:val="00927EF5"/>
    <w:rsid w:val="0093158D"/>
    <w:rsid w:val="009326B9"/>
    <w:rsid w:val="00934713"/>
    <w:rsid w:val="00940215"/>
    <w:rsid w:val="00943075"/>
    <w:rsid w:val="00944108"/>
    <w:rsid w:val="009460F4"/>
    <w:rsid w:val="00946547"/>
    <w:rsid w:val="0094673A"/>
    <w:rsid w:val="00947114"/>
    <w:rsid w:val="0095074C"/>
    <w:rsid w:val="009520E2"/>
    <w:rsid w:val="0095276A"/>
    <w:rsid w:val="00953376"/>
    <w:rsid w:val="009607A0"/>
    <w:rsid w:val="00961EAD"/>
    <w:rsid w:val="00963C55"/>
    <w:rsid w:val="009665A6"/>
    <w:rsid w:val="00966DEE"/>
    <w:rsid w:val="0097072F"/>
    <w:rsid w:val="009716D0"/>
    <w:rsid w:val="0097185C"/>
    <w:rsid w:val="009802BD"/>
    <w:rsid w:val="00980550"/>
    <w:rsid w:val="00992C95"/>
    <w:rsid w:val="00994966"/>
    <w:rsid w:val="00996000"/>
    <w:rsid w:val="009977E6"/>
    <w:rsid w:val="009A11A8"/>
    <w:rsid w:val="009A1BC4"/>
    <w:rsid w:val="009A24EC"/>
    <w:rsid w:val="009B06D3"/>
    <w:rsid w:val="009B48C9"/>
    <w:rsid w:val="009B4D32"/>
    <w:rsid w:val="009C622C"/>
    <w:rsid w:val="009D4EE9"/>
    <w:rsid w:val="009D73C4"/>
    <w:rsid w:val="009E22C1"/>
    <w:rsid w:val="009E2607"/>
    <w:rsid w:val="009E28AC"/>
    <w:rsid w:val="009E386F"/>
    <w:rsid w:val="009E7C8F"/>
    <w:rsid w:val="009F3777"/>
    <w:rsid w:val="009F4934"/>
    <w:rsid w:val="009F7298"/>
    <w:rsid w:val="00A020AE"/>
    <w:rsid w:val="00A0440C"/>
    <w:rsid w:val="00A0555C"/>
    <w:rsid w:val="00A22981"/>
    <w:rsid w:val="00A2320C"/>
    <w:rsid w:val="00A2607A"/>
    <w:rsid w:val="00A30081"/>
    <w:rsid w:val="00A31920"/>
    <w:rsid w:val="00A328EF"/>
    <w:rsid w:val="00A33174"/>
    <w:rsid w:val="00A338B4"/>
    <w:rsid w:val="00A42B5B"/>
    <w:rsid w:val="00A438F4"/>
    <w:rsid w:val="00A50A84"/>
    <w:rsid w:val="00A53798"/>
    <w:rsid w:val="00A56C0E"/>
    <w:rsid w:val="00A57FC5"/>
    <w:rsid w:val="00A60B3C"/>
    <w:rsid w:val="00A6309D"/>
    <w:rsid w:val="00A63239"/>
    <w:rsid w:val="00A67742"/>
    <w:rsid w:val="00A67CAD"/>
    <w:rsid w:val="00A71AFE"/>
    <w:rsid w:val="00A73061"/>
    <w:rsid w:val="00A73B41"/>
    <w:rsid w:val="00A7740A"/>
    <w:rsid w:val="00A808F3"/>
    <w:rsid w:val="00A842D1"/>
    <w:rsid w:val="00A86CF5"/>
    <w:rsid w:val="00A909AB"/>
    <w:rsid w:val="00A9109E"/>
    <w:rsid w:val="00A95668"/>
    <w:rsid w:val="00A95E5D"/>
    <w:rsid w:val="00AA0D0D"/>
    <w:rsid w:val="00AA261C"/>
    <w:rsid w:val="00AA3121"/>
    <w:rsid w:val="00AA40EC"/>
    <w:rsid w:val="00AB56F7"/>
    <w:rsid w:val="00AB7E25"/>
    <w:rsid w:val="00AC00E7"/>
    <w:rsid w:val="00AC0E09"/>
    <w:rsid w:val="00AC1FD7"/>
    <w:rsid w:val="00AC2CEA"/>
    <w:rsid w:val="00AC455C"/>
    <w:rsid w:val="00AC70AD"/>
    <w:rsid w:val="00AC75E1"/>
    <w:rsid w:val="00AD222D"/>
    <w:rsid w:val="00AD5C69"/>
    <w:rsid w:val="00AE224E"/>
    <w:rsid w:val="00AE4FF1"/>
    <w:rsid w:val="00AE626F"/>
    <w:rsid w:val="00AE65E7"/>
    <w:rsid w:val="00AE728F"/>
    <w:rsid w:val="00AF1544"/>
    <w:rsid w:val="00AF2345"/>
    <w:rsid w:val="00AF4CA3"/>
    <w:rsid w:val="00AF4F09"/>
    <w:rsid w:val="00B00B96"/>
    <w:rsid w:val="00B019F2"/>
    <w:rsid w:val="00B0235D"/>
    <w:rsid w:val="00B03C40"/>
    <w:rsid w:val="00B0458F"/>
    <w:rsid w:val="00B045E2"/>
    <w:rsid w:val="00B07102"/>
    <w:rsid w:val="00B07B79"/>
    <w:rsid w:val="00B1096A"/>
    <w:rsid w:val="00B10BAD"/>
    <w:rsid w:val="00B11715"/>
    <w:rsid w:val="00B12B62"/>
    <w:rsid w:val="00B130CE"/>
    <w:rsid w:val="00B14A74"/>
    <w:rsid w:val="00B15BB1"/>
    <w:rsid w:val="00B21BAF"/>
    <w:rsid w:val="00B25189"/>
    <w:rsid w:val="00B274EF"/>
    <w:rsid w:val="00B33190"/>
    <w:rsid w:val="00B37C21"/>
    <w:rsid w:val="00B4253E"/>
    <w:rsid w:val="00B443B0"/>
    <w:rsid w:val="00B46662"/>
    <w:rsid w:val="00B5091F"/>
    <w:rsid w:val="00B51C4A"/>
    <w:rsid w:val="00B51D4E"/>
    <w:rsid w:val="00B570A6"/>
    <w:rsid w:val="00B6148F"/>
    <w:rsid w:val="00B62351"/>
    <w:rsid w:val="00B62F03"/>
    <w:rsid w:val="00B63C3F"/>
    <w:rsid w:val="00B63E50"/>
    <w:rsid w:val="00B65586"/>
    <w:rsid w:val="00B66163"/>
    <w:rsid w:val="00B6670C"/>
    <w:rsid w:val="00B66D8B"/>
    <w:rsid w:val="00B67D39"/>
    <w:rsid w:val="00B71A74"/>
    <w:rsid w:val="00B72BBB"/>
    <w:rsid w:val="00B72BE3"/>
    <w:rsid w:val="00B7537A"/>
    <w:rsid w:val="00B75508"/>
    <w:rsid w:val="00B8067A"/>
    <w:rsid w:val="00B81407"/>
    <w:rsid w:val="00B8196C"/>
    <w:rsid w:val="00B82115"/>
    <w:rsid w:val="00B82230"/>
    <w:rsid w:val="00B82B10"/>
    <w:rsid w:val="00B82F46"/>
    <w:rsid w:val="00B835A3"/>
    <w:rsid w:val="00B83F4A"/>
    <w:rsid w:val="00B846CA"/>
    <w:rsid w:val="00B851F2"/>
    <w:rsid w:val="00B85B52"/>
    <w:rsid w:val="00B86180"/>
    <w:rsid w:val="00B900EE"/>
    <w:rsid w:val="00B92232"/>
    <w:rsid w:val="00B92768"/>
    <w:rsid w:val="00B942B4"/>
    <w:rsid w:val="00B96084"/>
    <w:rsid w:val="00B9663D"/>
    <w:rsid w:val="00BA020D"/>
    <w:rsid w:val="00BA03CC"/>
    <w:rsid w:val="00BA0EA8"/>
    <w:rsid w:val="00BA107B"/>
    <w:rsid w:val="00BA3095"/>
    <w:rsid w:val="00BA31FF"/>
    <w:rsid w:val="00BA4736"/>
    <w:rsid w:val="00BA4DEE"/>
    <w:rsid w:val="00BA6CEF"/>
    <w:rsid w:val="00BB372E"/>
    <w:rsid w:val="00BB71CC"/>
    <w:rsid w:val="00BB778A"/>
    <w:rsid w:val="00BC24F4"/>
    <w:rsid w:val="00BC5F94"/>
    <w:rsid w:val="00BC7AF5"/>
    <w:rsid w:val="00BD0833"/>
    <w:rsid w:val="00BD2685"/>
    <w:rsid w:val="00BD4515"/>
    <w:rsid w:val="00BD5432"/>
    <w:rsid w:val="00BD6B1D"/>
    <w:rsid w:val="00BE1999"/>
    <w:rsid w:val="00BE3FB4"/>
    <w:rsid w:val="00BE6BD5"/>
    <w:rsid w:val="00BF57CB"/>
    <w:rsid w:val="00C00E7B"/>
    <w:rsid w:val="00C014A6"/>
    <w:rsid w:val="00C02DFF"/>
    <w:rsid w:val="00C06BAD"/>
    <w:rsid w:val="00C07A93"/>
    <w:rsid w:val="00C11CF0"/>
    <w:rsid w:val="00C1255B"/>
    <w:rsid w:val="00C12EA5"/>
    <w:rsid w:val="00C14A75"/>
    <w:rsid w:val="00C15DDB"/>
    <w:rsid w:val="00C17C79"/>
    <w:rsid w:val="00C17D47"/>
    <w:rsid w:val="00C30F13"/>
    <w:rsid w:val="00C31B73"/>
    <w:rsid w:val="00C332B0"/>
    <w:rsid w:val="00C34BAA"/>
    <w:rsid w:val="00C36561"/>
    <w:rsid w:val="00C373BC"/>
    <w:rsid w:val="00C473E7"/>
    <w:rsid w:val="00C5351F"/>
    <w:rsid w:val="00C5423A"/>
    <w:rsid w:val="00C542A7"/>
    <w:rsid w:val="00C55E13"/>
    <w:rsid w:val="00C56F8D"/>
    <w:rsid w:val="00C60136"/>
    <w:rsid w:val="00C63D2C"/>
    <w:rsid w:val="00C64880"/>
    <w:rsid w:val="00C655BB"/>
    <w:rsid w:val="00C66372"/>
    <w:rsid w:val="00C668FF"/>
    <w:rsid w:val="00C67587"/>
    <w:rsid w:val="00C7148D"/>
    <w:rsid w:val="00C75B95"/>
    <w:rsid w:val="00C80569"/>
    <w:rsid w:val="00C832C8"/>
    <w:rsid w:val="00C865F5"/>
    <w:rsid w:val="00C90EDE"/>
    <w:rsid w:val="00C90F35"/>
    <w:rsid w:val="00C91B7F"/>
    <w:rsid w:val="00C93624"/>
    <w:rsid w:val="00C9376F"/>
    <w:rsid w:val="00C95511"/>
    <w:rsid w:val="00CA076A"/>
    <w:rsid w:val="00CA1869"/>
    <w:rsid w:val="00CA214B"/>
    <w:rsid w:val="00CA2875"/>
    <w:rsid w:val="00CA2E80"/>
    <w:rsid w:val="00CA3949"/>
    <w:rsid w:val="00CA49F5"/>
    <w:rsid w:val="00CA6A6C"/>
    <w:rsid w:val="00CA6CC2"/>
    <w:rsid w:val="00CB3250"/>
    <w:rsid w:val="00CB3F65"/>
    <w:rsid w:val="00CB6878"/>
    <w:rsid w:val="00CB780B"/>
    <w:rsid w:val="00CC43DB"/>
    <w:rsid w:val="00CC51A2"/>
    <w:rsid w:val="00CD1274"/>
    <w:rsid w:val="00CD185A"/>
    <w:rsid w:val="00CD1AB6"/>
    <w:rsid w:val="00CD1F02"/>
    <w:rsid w:val="00CD777C"/>
    <w:rsid w:val="00CE1F2F"/>
    <w:rsid w:val="00CE372B"/>
    <w:rsid w:val="00CE50EA"/>
    <w:rsid w:val="00CE72B9"/>
    <w:rsid w:val="00CF1102"/>
    <w:rsid w:val="00CF28EF"/>
    <w:rsid w:val="00CF6791"/>
    <w:rsid w:val="00D00966"/>
    <w:rsid w:val="00D02263"/>
    <w:rsid w:val="00D03D33"/>
    <w:rsid w:val="00D07362"/>
    <w:rsid w:val="00D077FA"/>
    <w:rsid w:val="00D07AD8"/>
    <w:rsid w:val="00D17CDC"/>
    <w:rsid w:val="00D20DD8"/>
    <w:rsid w:val="00D20EB3"/>
    <w:rsid w:val="00D26E77"/>
    <w:rsid w:val="00D27ED4"/>
    <w:rsid w:val="00D323D9"/>
    <w:rsid w:val="00D32BD6"/>
    <w:rsid w:val="00D333F8"/>
    <w:rsid w:val="00D34458"/>
    <w:rsid w:val="00D3535E"/>
    <w:rsid w:val="00D36D16"/>
    <w:rsid w:val="00D378A4"/>
    <w:rsid w:val="00D451F5"/>
    <w:rsid w:val="00D4521B"/>
    <w:rsid w:val="00D51BA8"/>
    <w:rsid w:val="00D541B2"/>
    <w:rsid w:val="00D5759F"/>
    <w:rsid w:val="00D6079F"/>
    <w:rsid w:val="00D613E5"/>
    <w:rsid w:val="00D63C5D"/>
    <w:rsid w:val="00D70033"/>
    <w:rsid w:val="00D70473"/>
    <w:rsid w:val="00D7103A"/>
    <w:rsid w:val="00D74CCF"/>
    <w:rsid w:val="00D75DDB"/>
    <w:rsid w:val="00D7666A"/>
    <w:rsid w:val="00D819C4"/>
    <w:rsid w:val="00D853E7"/>
    <w:rsid w:val="00D904D1"/>
    <w:rsid w:val="00D92D3E"/>
    <w:rsid w:val="00D95738"/>
    <w:rsid w:val="00D9619B"/>
    <w:rsid w:val="00D972DF"/>
    <w:rsid w:val="00DA00B8"/>
    <w:rsid w:val="00DA409F"/>
    <w:rsid w:val="00DA4130"/>
    <w:rsid w:val="00DA44E8"/>
    <w:rsid w:val="00DA5937"/>
    <w:rsid w:val="00DB01A0"/>
    <w:rsid w:val="00DB48ED"/>
    <w:rsid w:val="00DB568F"/>
    <w:rsid w:val="00DB7ACA"/>
    <w:rsid w:val="00DC1F2A"/>
    <w:rsid w:val="00DC2771"/>
    <w:rsid w:val="00DC428E"/>
    <w:rsid w:val="00DC5D38"/>
    <w:rsid w:val="00DC7639"/>
    <w:rsid w:val="00DC774F"/>
    <w:rsid w:val="00DD02CD"/>
    <w:rsid w:val="00DE137C"/>
    <w:rsid w:val="00DF256D"/>
    <w:rsid w:val="00DF6101"/>
    <w:rsid w:val="00E00977"/>
    <w:rsid w:val="00E00E7C"/>
    <w:rsid w:val="00E04649"/>
    <w:rsid w:val="00E059F3"/>
    <w:rsid w:val="00E122FA"/>
    <w:rsid w:val="00E12D8E"/>
    <w:rsid w:val="00E176FB"/>
    <w:rsid w:val="00E25A12"/>
    <w:rsid w:val="00E27434"/>
    <w:rsid w:val="00E32723"/>
    <w:rsid w:val="00E331E4"/>
    <w:rsid w:val="00E3692A"/>
    <w:rsid w:val="00E414E3"/>
    <w:rsid w:val="00E41D0D"/>
    <w:rsid w:val="00E436FF"/>
    <w:rsid w:val="00E474C6"/>
    <w:rsid w:val="00E4791E"/>
    <w:rsid w:val="00E50839"/>
    <w:rsid w:val="00E512D9"/>
    <w:rsid w:val="00E5434A"/>
    <w:rsid w:val="00E60DF9"/>
    <w:rsid w:val="00E62D46"/>
    <w:rsid w:val="00E63620"/>
    <w:rsid w:val="00E66428"/>
    <w:rsid w:val="00E70544"/>
    <w:rsid w:val="00E70E83"/>
    <w:rsid w:val="00E71E3A"/>
    <w:rsid w:val="00E742E0"/>
    <w:rsid w:val="00E808C3"/>
    <w:rsid w:val="00E82235"/>
    <w:rsid w:val="00E82DAC"/>
    <w:rsid w:val="00E82EF7"/>
    <w:rsid w:val="00E83670"/>
    <w:rsid w:val="00E83A58"/>
    <w:rsid w:val="00E8436F"/>
    <w:rsid w:val="00E9378A"/>
    <w:rsid w:val="00E970B3"/>
    <w:rsid w:val="00EA028C"/>
    <w:rsid w:val="00EA0EA5"/>
    <w:rsid w:val="00EA2728"/>
    <w:rsid w:val="00EA2F37"/>
    <w:rsid w:val="00EA5B5A"/>
    <w:rsid w:val="00EA77C3"/>
    <w:rsid w:val="00EB2325"/>
    <w:rsid w:val="00EB3B08"/>
    <w:rsid w:val="00EB46D4"/>
    <w:rsid w:val="00EB576E"/>
    <w:rsid w:val="00EC0704"/>
    <w:rsid w:val="00EC29BF"/>
    <w:rsid w:val="00EC7BAF"/>
    <w:rsid w:val="00EE0B0C"/>
    <w:rsid w:val="00EE1D5B"/>
    <w:rsid w:val="00EE4B45"/>
    <w:rsid w:val="00EE5111"/>
    <w:rsid w:val="00EE5319"/>
    <w:rsid w:val="00EE6E1B"/>
    <w:rsid w:val="00EF06C5"/>
    <w:rsid w:val="00EF761D"/>
    <w:rsid w:val="00F01539"/>
    <w:rsid w:val="00F029E1"/>
    <w:rsid w:val="00F04E55"/>
    <w:rsid w:val="00F04F97"/>
    <w:rsid w:val="00F05275"/>
    <w:rsid w:val="00F058D2"/>
    <w:rsid w:val="00F06B69"/>
    <w:rsid w:val="00F103E5"/>
    <w:rsid w:val="00F14736"/>
    <w:rsid w:val="00F15077"/>
    <w:rsid w:val="00F15865"/>
    <w:rsid w:val="00F17FAF"/>
    <w:rsid w:val="00F201BE"/>
    <w:rsid w:val="00F27434"/>
    <w:rsid w:val="00F30C2C"/>
    <w:rsid w:val="00F3123D"/>
    <w:rsid w:val="00F33B49"/>
    <w:rsid w:val="00F372A5"/>
    <w:rsid w:val="00F3798F"/>
    <w:rsid w:val="00F47ADC"/>
    <w:rsid w:val="00F5388A"/>
    <w:rsid w:val="00F54163"/>
    <w:rsid w:val="00F60B62"/>
    <w:rsid w:val="00F60B87"/>
    <w:rsid w:val="00F669C8"/>
    <w:rsid w:val="00F67951"/>
    <w:rsid w:val="00F71EE4"/>
    <w:rsid w:val="00F74FD1"/>
    <w:rsid w:val="00F77ACF"/>
    <w:rsid w:val="00F80E6A"/>
    <w:rsid w:val="00F8255C"/>
    <w:rsid w:val="00F83066"/>
    <w:rsid w:val="00F83DE2"/>
    <w:rsid w:val="00F855C2"/>
    <w:rsid w:val="00F858CA"/>
    <w:rsid w:val="00F87D74"/>
    <w:rsid w:val="00F90854"/>
    <w:rsid w:val="00F90F8E"/>
    <w:rsid w:val="00F9189D"/>
    <w:rsid w:val="00F91F8F"/>
    <w:rsid w:val="00F94202"/>
    <w:rsid w:val="00F976B4"/>
    <w:rsid w:val="00F97DA8"/>
    <w:rsid w:val="00FA24DE"/>
    <w:rsid w:val="00FA3BBA"/>
    <w:rsid w:val="00FA46CB"/>
    <w:rsid w:val="00FA503D"/>
    <w:rsid w:val="00FA50A4"/>
    <w:rsid w:val="00FB1D7B"/>
    <w:rsid w:val="00FB70E3"/>
    <w:rsid w:val="00FC2B5E"/>
    <w:rsid w:val="00FC4BB4"/>
    <w:rsid w:val="00FC58CE"/>
    <w:rsid w:val="00FD1DCB"/>
    <w:rsid w:val="00FD4FBF"/>
    <w:rsid w:val="00FD633B"/>
    <w:rsid w:val="00FE128B"/>
    <w:rsid w:val="00FE24E2"/>
    <w:rsid w:val="00FE7598"/>
    <w:rsid w:val="00FF0242"/>
    <w:rsid w:val="00FF262C"/>
    <w:rsid w:val="00FF2AE8"/>
    <w:rsid w:val="00FF2E1B"/>
    <w:rsid w:val="00FF6360"/>
    <w:rsid w:val="00FF79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CCDC"/>
  <w15:chartTrackingRefBased/>
  <w15:docId w15:val="{DB5D928A-1C9B-47D0-AAA4-A5FF9F81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B8"/>
    <w:pPr>
      <w:bidi/>
      <w:ind w:firstLine="360"/>
    </w:pPr>
    <w:rPr>
      <w:rFonts w:eastAsia="Times New Roman"/>
      <w:sz w:val="22"/>
      <w:szCs w:val="22"/>
    </w:rPr>
  </w:style>
  <w:style w:type="paragraph" w:styleId="1">
    <w:name w:val="heading 1"/>
    <w:basedOn w:val="a"/>
    <w:next w:val="a"/>
    <w:link w:val="10"/>
    <w:uiPriority w:val="9"/>
    <w:qFormat/>
    <w:rsid w:val="00B0458F"/>
    <w:pPr>
      <w:keepNext/>
      <w:keepLines/>
      <w:spacing w:before="480"/>
      <w:outlineLvl w:val="0"/>
    </w:pPr>
    <w:rPr>
      <w:rFonts w:ascii="Cambria" w:hAnsi="Cambria" w:cs="Times New Roman"/>
      <w:b/>
      <w:bCs/>
      <w:color w:val="365F91"/>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a3">
    <w:name w:val="footnote text"/>
    <w:aliases w:val="הערות שוליים דוקטורט,ע"/>
    <w:basedOn w:val="a"/>
    <w:link w:val="a4"/>
    <w:rsid w:val="006905B8"/>
    <w:pPr>
      <w:spacing w:line="260" w:lineRule="exact"/>
      <w:ind w:left="227" w:hanging="227"/>
      <w:jc w:val="both"/>
    </w:pPr>
    <w:rPr>
      <w:rFonts w:cs="Times New Roman"/>
      <w:position w:val="2"/>
      <w:sz w:val="16"/>
      <w:szCs w:val="18"/>
      <w:lang w:val="x-none" w:eastAsia="x-none"/>
    </w:rPr>
  </w:style>
  <w:style w:type="character" w:customStyle="1" w:styleId="a4">
    <w:name w:val="טקסט הערת שוליים תו"/>
    <w:aliases w:val="הערות שוליים דוקטורט תו,ע תו"/>
    <w:link w:val="a3"/>
    <w:rsid w:val="006905B8"/>
    <w:rPr>
      <w:rFonts w:ascii="Calibri" w:eastAsia="Times New Roman" w:hAnsi="Calibri" w:cs="Arial"/>
      <w:position w:val="2"/>
      <w:sz w:val="16"/>
      <w:szCs w:val="18"/>
    </w:rPr>
  </w:style>
  <w:style w:type="character" w:customStyle="1" w:styleId="il">
    <w:name w:val="il"/>
    <w:rsid w:val="006905B8"/>
  </w:style>
  <w:style w:type="character" w:styleId="a5">
    <w:name w:val="footnote reference"/>
    <w:semiHidden/>
    <w:rsid w:val="00B0458F"/>
    <w:rPr>
      <w:rFonts w:cs="Narkisim"/>
      <w:position w:val="6"/>
      <w:sz w:val="17"/>
      <w:szCs w:val="17"/>
      <w:lang w:bidi="he-IL"/>
    </w:rPr>
  </w:style>
  <w:style w:type="paragraph" w:customStyle="1" w:styleId="a6">
    <w:name w:val="פרשה"/>
    <w:basedOn w:val="1"/>
    <w:rsid w:val="00B0458F"/>
    <w:pPr>
      <w:keepLines w:val="0"/>
      <w:autoSpaceDE w:val="0"/>
      <w:autoSpaceDN w:val="0"/>
      <w:spacing w:before="120" w:after="240"/>
      <w:ind w:firstLine="0"/>
      <w:jc w:val="center"/>
    </w:pPr>
    <w:rPr>
      <w:rFonts w:ascii="Times New Roman" w:hAnsi="Times New Roman" w:cs="Arial"/>
      <w:color w:val="auto"/>
      <w:sz w:val="46"/>
      <w:szCs w:val="50"/>
    </w:rPr>
  </w:style>
  <w:style w:type="character" w:customStyle="1" w:styleId="10">
    <w:name w:val="כותרת 1 תו"/>
    <w:link w:val="1"/>
    <w:uiPriority w:val="9"/>
    <w:rsid w:val="00B0458F"/>
    <w:rPr>
      <w:rFonts w:ascii="Cambria" w:eastAsia="Times New Roman" w:hAnsi="Cambria" w:cs="Times New Roman"/>
      <w:b/>
      <w:bCs/>
      <w:color w:val="365F91"/>
      <w:sz w:val="28"/>
      <w:szCs w:val="28"/>
    </w:rPr>
  </w:style>
  <w:style w:type="table" w:styleId="a7">
    <w:name w:val="Table Grid"/>
    <w:basedOn w:val="a1"/>
    <w:uiPriority w:val="59"/>
    <w:rsid w:val="0055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st">
    <w:name w:val="npst"/>
    <w:basedOn w:val="a"/>
    <w:rsid w:val="008F6054"/>
    <w:pPr>
      <w:bidi w:val="0"/>
      <w:spacing w:before="100" w:beforeAutospacing="1" w:after="100" w:afterAutospacing="1"/>
      <w:ind w:firstLine="0"/>
    </w:pPr>
    <w:rPr>
      <w:rFonts w:ascii="Times New Roman" w:hAnsi="Times New Roman" w:cs="Times New Roman"/>
      <w:sz w:val="24"/>
      <w:szCs w:val="24"/>
    </w:rPr>
  </w:style>
  <w:style w:type="character" w:customStyle="1" w:styleId="reftext">
    <w:name w:val="reftext"/>
    <w:basedOn w:val="a0"/>
    <w:rsid w:val="008F6054"/>
  </w:style>
  <w:style w:type="character" w:styleId="Hyperlink">
    <w:name w:val="Hyperlink"/>
    <w:uiPriority w:val="99"/>
    <w:unhideWhenUsed/>
    <w:rsid w:val="008F6054"/>
    <w:rPr>
      <w:color w:val="0000FF"/>
      <w:u w:val="single"/>
    </w:rPr>
  </w:style>
  <w:style w:type="paragraph" w:styleId="a8">
    <w:name w:val="List Paragraph"/>
    <w:basedOn w:val="a"/>
    <w:uiPriority w:val="34"/>
    <w:qFormat/>
    <w:rsid w:val="0037050C"/>
    <w:pPr>
      <w:ind w:left="720"/>
      <w:contextualSpacing/>
    </w:pPr>
  </w:style>
  <w:style w:type="paragraph" w:customStyle="1" w:styleId="a9">
    <w:name w:val="הערות שוליים"/>
    <w:basedOn w:val="a"/>
    <w:link w:val="aa"/>
    <w:rsid w:val="00F27434"/>
    <w:pPr>
      <w:spacing w:line="360" w:lineRule="auto"/>
      <w:ind w:firstLine="0"/>
      <w:jc w:val="both"/>
    </w:pPr>
    <w:rPr>
      <w:rFonts w:ascii="Times New Roman" w:hAnsi="Times New Roman" w:cs="Times New Roman"/>
      <w:sz w:val="20"/>
      <w:szCs w:val="20"/>
      <w:lang w:val="x-none" w:eastAsia="he-IL"/>
    </w:rPr>
  </w:style>
  <w:style w:type="character" w:customStyle="1" w:styleId="nivsmallcaps">
    <w:name w:val="nivsmallcaps"/>
    <w:basedOn w:val="a0"/>
    <w:rsid w:val="005D0F30"/>
  </w:style>
  <w:style w:type="character" w:customStyle="1" w:styleId="nivfootnote">
    <w:name w:val="nivfootnote"/>
    <w:basedOn w:val="a0"/>
    <w:rsid w:val="005D0F30"/>
  </w:style>
  <w:style w:type="paragraph" w:styleId="NormalWeb">
    <w:name w:val="Normal (Web)"/>
    <w:basedOn w:val="a"/>
    <w:uiPriority w:val="99"/>
    <w:unhideWhenUsed/>
    <w:rsid w:val="003E0B50"/>
    <w:pPr>
      <w:bidi w:val="0"/>
      <w:spacing w:before="100" w:beforeAutospacing="1" w:after="100" w:afterAutospacing="1"/>
      <w:ind w:firstLine="0"/>
    </w:pPr>
    <w:rPr>
      <w:rFonts w:ascii="Times New Roman" w:hAnsi="Times New Roman" w:cs="Times New Roman"/>
      <w:sz w:val="24"/>
      <w:szCs w:val="24"/>
    </w:rPr>
  </w:style>
  <w:style w:type="paragraph" w:customStyle="1" w:styleId="ab">
    <w:name w:val="לוגו תחתון"/>
    <w:basedOn w:val="a"/>
    <w:rsid w:val="00092B4B"/>
    <w:pPr>
      <w:tabs>
        <w:tab w:val="right" w:pos="3895"/>
      </w:tabs>
      <w:autoSpaceDE w:val="0"/>
      <w:autoSpaceDN w:val="0"/>
      <w:ind w:firstLine="0"/>
      <w:jc w:val="center"/>
    </w:pPr>
    <w:rPr>
      <w:rFonts w:ascii="Arial" w:hAnsi="Arial" w:cs="Narkisim"/>
      <w:b/>
      <w:bCs/>
      <w:noProof/>
      <w:sz w:val="16"/>
      <w:szCs w:val="16"/>
    </w:rPr>
  </w:style>
  <w:style w:type="character" w:customStyle="1" w:styleId="aa">
    <w:name w:val="הערות שוליים תו"/>
    <w:link w:val="a9"/>
    <w:rsid w:val="006B47F2"/>
    <w:rPr>
      <w:rFonts w:ascii="Times New Roman" w:eastAsia="Times New Roman" w:hAnsi="Times New Roman" w:cs="David"/>
      <w:sz w:val="20"/>
      <w:szCs w:val="20"/>
      <w:lang w:eastAsia="he-IL"/>
    </w:rPr>
  </w:style>
  <w:style w:type="character" w:customStyle="1" w:styleId="hps">
    <w:name w:val="hps"/>
    <w:basedOn w:val="a0"/>
    <w:rsid w:val="006652D1"/>
  </w:style>
  <w:style w:type="character" w:customStyle="1" w:styleId="atn">
    <w:name w:val="atn"/>
    <w:basedOn w:val="a0"/>
    <w:rsid w:val="006652D1"/>
  </w:style>
  <w:style w:type="character" w:customStyle="1" w:styleId="contnote">
    <w:name w:val="contnote"/>
    <w:basedOn w:val="a0"/>
    <w:rsid w:val="00AE4FF1"/>
  </w:style>
  <w:style w:type="paragraph" w:customStyle="1" w:styleId="standardtop">
    <w:name w:val="standardtop"/>
    <w:basedOn w:val="a"/>
    <w:rsid w:val="00050DAC"/>
    <w:pPr>
      <w:bidi w:val="0"/>
      <w:spacing w:before="100" w:beforeAutospacing="1" w:after="100" w:afterAutospacing="1"/>
      <w:ind w:firstLine="0"/>
    </w:pPr>
    <w:rPr>
      <w:rFonts w:ascii="Times New Roman" w:hAnsi="Times New Roman" w:cs="Times New Roman"/>
      <w:sz w:val="24"/>
      <w:szCs w:val="24"/>
    </w:rPr>
  </w:style>
  <w:style w:type="paragraph" w:customStyle="1" w:styleId="npsthalf">
    <w:name w:val="npsthalf"/>
    <w:basedOn w:val="a"/>
    <w:rsid w:val="00050DAC"/>
    <w:pPr>
      <w:bidi w:val="0"/>
      <w:spacing w:before="100" w:beforeAutospacing="1" w:after="100" w:afterAutospacing="1"/>
      <w:ind w:firstLine="0"/>
    </w:pPr>
    <w:rPr>
      <w:rFonts w:ascii="Times New Roman" w:hAnsi="Times New Roman" w:cs="Times New Roman"/>
      <w:sz w:val="24"/>
      <w:szCs w:val="24"/>
    </w:rPr>
  </w:style>
  <w:style w:type="paragraph" w:customStyle="1" w:styleId="subatop">
    <w:name w:val="subatop"/>
    <w:basedOn w:val="a"/>
    <w:rsid w:val="002C7BC7"/>
    <w:pPr>
      <w:bidi w:val="0"/>
      <w:spacing w:before="100" w:beforeAutospacing="1" w:after="100" w:afterAutospacing="1"/>
      <w:ind w:firstLine="0"/>
    </w:pPr>
    <w:rPr>
      <w:rFonts w:ascii="Times New Roman" w:hAnsi="Times New Roman" w:cs="Times New Roman"/>
      <w:sz w:val="24"/>
      <w:szCs w:val="24"/>
    </w:rPr>
  </w:style>
  <w:style w:type="paragraph" w:customStyle="1" w:styleId="suba">
    <w:name w:val="suba"/>
    <w:basedOn w:val="a"/>
    <w:rsid w:val="002C7BC7"/>
    <w:pPr>
      <w:bidi w:val="0"/>
      <w:spacing w:before="100" w:beforeAutospacing="1" w:after="100" w:afterAutospacing="1"/>
      <w:ind w:firstLine="0"/>
    </w:pPr>
    <w:rPr>
      <w:rFonts w:ascii="Times New Roman" w:hAnsi="Times New Roman" w:cs="Times New Roman"/>
      <w:sz w:val="24"/>
      <w:szCs w:val="24"/>
    </w:rPr>
  </w:style>
  <w:style w:type="paragraph" w:styleId="ac">
    <w:name w:val="header"/>
    <w:basedOn w:val="a"/>
    <w:link w:val="ad"/>
    <w:uiPriority w:val="99"/>
    <w:unhideWhenUsed/>
    <w:rsid w:val="000E27D0"/>
    <w:pPr>
      <w:tabs>
        <w:tab w:val="center" w:pos="4153"/>
        <w:tab w:val="right" w:pos="8306"/>
      </w:tabs>
    </w:pPr>
    <w:rPr>
      <w:rFonts w:cs="Times New Roman"/>
      <w:sz w:val="20"/>
      <w:szCs w:val="20"/>
      <w:lang w:val="x-none" w:eastAsia="x-none"/>
    </w:rPr>
  </w:style>
  <w:style w:type="character" w:customStyle="1" w:styleId="ad">
    <w:name w:val="כותרת עליונה תו"/>
    <w:link w:val="ac"/>
    <w:uiPriority w:val="99"/>
    <w:rsid w:val="000E27D0"/>
    <w:rPr>
      <w:rFonts w:ascii="Calibri" w:eastAsia="Times New Roman" w:hAnsi="Calibri" w:cs="Arial"/>
    </w:rPr>
  </w:style>
  <w:style w:type="paragraph" w:styleId="ae">
    <w:name w:val="footer"/>
    <w:basedOn w:val="a"/>
    <w:link w:val="af"/>
    <w:uiPriority w:val="99"/>
    <w:unhideWhenUsed/>
    <w:rsid w:val="000E27D0"/>
    <w:pPr>
      <w:tabs>
        <w:tab w:val="center" w:pos="4153"/>
        <w:tab w:val="right" w:pos="8306"/>
      </w:tabs>
    </w:pPr>
    <w:rPr>
      <w:rFonts w:cs="Times New Roman"/>
      <w:sz w:val="20"/>
      <w:szCs w:val="20"/>
      <w:lang w:val="x-none" w:eastAsia="x-none"/>
    </w:rPr>
  </w:style>
  <w:style w:type="character" w:customStyle="1" w:styleId="af">
    <w:name w:val="כותרת תחתונה תו"/>
    <w:link w:val="ae"/>
    <w:uiPriority w:val="99"/>
    <w:rsid w:val="000E27D0"/>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66">
      <w:bodyDiv w:val="1"/>
      <w:marLeft w:val="0"/>
      <w:marRight w:val="0"/>
      <w:marTop w:val="0"/>
      <w:marBottom w:val="0"/>
      <w:divBdr>
        <w:top w:val="none" w:sz="0" w:space="0" w:color="auto"/>
        <w:left w:val="none" w:sz="0" w:space="0" w:color="auto"/>
        <w:bottom w:val="none" w:sz="0" w:space="0" w:color="auto"/>
        <w:right w:val="none" w:sz="0" w:space="0" w:color="auto"/>
      </w:divBdr>
    </w:div>
    <w:div w:id="159544149">
      <w:bodyDiv w:val="1"/>
      <w:marLeft w:val="0"/>
      <w:marRight w:val="0"/>
      <w:marTop w:val="0"/>
      <w:marBottom w:val="0"/>
      <w:divBdr>
        <w:top w:val="none" w:sz="0" w:space="0" w:color="auto"/>
        <w:left w:val="none" w:sz="0" w:space="0" w:color="auto"/>
        <w:bottom w:val="none" w:sz="0" w:space="0" w:color="auto"/>
        <w:right w:val="none" w:sz="0" w:space="0" w:color="auto"/>
      </w:divBdr>
    </w:div>
    <w:div w:id="283199959">
      <w:bodyDiv w:val="1"/>
      <w:marLeft w:val="0"/>
      <w:marRight w:val="0"/>
      <w:marTop w:val="0"/>
      <w:marBottom w:val="0"/>
      <w:divBdr>
        <w:top w:val="none" w:sz="0" w:space="0" w:color="auto"/>
        <w:left w:val="none" w:sz="0" w:space="0" w:color="auto"/>
        <w:bottom w:val="none" w:sz="0" w:space="0" w:color="auto"/>
        <w:right w:val="none" w:sz="0" w:space="0" w:color="auto"/>
      </w:divBdr>
    </w:div>
    <w:div w:id="361783780">
      <w:bodyDiv w:val="1"/>
      <w:marLeft w:val="0"/>
      <w:marRight w:val="0"/>
      <w:marTop w:val="0"/>
      <w:marBottom w:val="0"/>
      <w:divBdr>
        <w:top w:val="none" w:sz="0" w:space="0" w:color="auto"/>
        <w:left w:val="none" w:sz="0" w:space="0" w:color="auto"/>
        <w:bottom w:val="none" w:sz="0" w:space="0" w:color="auto"/>
        <w:right w:val="none" w:sz="0" w:space="0" w:color="auto"/>
      </w:divBdr>
    </w:div>
    <w:div w:id="385034884">
      <w:bodyDiv w:val="1"/>
      <w:marLeft w:val="0"/>
      <w:marRight w:val="0"/>
      <w:marTop w:val="0"/>
      <w:marBottom w:val="0"/>
      <w:divBdr>
        <w:top w:val="none" w:sz="0" w:space="0" w:color="auto"/>
        <w:left w:val="none" w:sz="0" w:space="0" w:color="auto"/>
        <w:bottom w:val="none" w:sz="0" w:space="0" w:color="auto"/>
        <w:right w:val="none" w:sz="0" w:space="0" w:color="auto"/>
      </w:divBdr>
    </w:div>
    <w:div w:id="406920417">
      <w:bodyDiv w:val="1"/>
      <w:marLeft w:val="0"/>
      <w:marRight w:val="0"/>
      <w:marTop w:val="0"/>
      <w:marBottom w:val="0"/>
      <w:divBdr>
        <w:top w:val="none" w:sz="0" w:space="0" w:color="auto"/>
        <w:left w:val="none" w:sz="0" w:space="0" w:color="auto"/>
        <w:bottom w:val="none" w:sz="0" w:space="0" w:color="auto"/>
        <w:right w:val="none" w:sz="0" w:space="0" w:color="auto"/>
      </w:divBdr>
    </w:div>
    <w:div w:id="610434313">
      <w:bodyDiv w:val="1"/>
      <w:marLeft w:val="0"/>
      <w:marRight w:val="0"/>
      <w:marTop w:val="0"/>
      <w:marBottom w:val="0"/>
      <w:divBdr>
        <w:top w:val="none" w:sz="0" w:space="0" w:color="auto"/>
        <w:left w:val="none" w:sz="0" w:space="0" w:color="auto"/>
        <w:bottom w:val="none" w:sz="0" w:space="0" w:color="auto"/>
        <w:right w:val="none" w:sz="0" w:space="0" w:color="auto"/>
      </w:divBdr>
    </w:div>
    <w:div w:id="655763547">
      <w:bodyDiv w:val="1"/>
      <w:marLeft w:val="0"/>
      <w:marRight w:val="0"/>
      <w:marTop w:val="0"/>
      <w:marBottom w:val="0"/>
      <w:divBdr>
        <w:top w:val="none" w:sz="0" w:space="0" w:color="auto"/>
        <w:left w:val="none" w:sz="0" w:space="0" w:color="auto"/>
        <w:bottom w:val="none" w:sz="0" w:space="0" w:color="auto"/>
        <w:right w:val="none" w:sz="0" w:space="0" w:color="auto"/>
      </w:divBdr>
    </w:div>
    <w:div w:id="671108799">
      <w:bodyDiv w:val="1"/>
      <w:marLeft w:val="0"/>
      <w:marRight w:val="0"/>
      <w:marTop w:val="0"/>
      <w:marBottom w:val="0"/>
      <w:divBdr>
        <w:top w:val="none" w:sz="0" w:space="0" w:color="auto"/>
        <w:left w:val="none" w:sz="0" w:space="0" w:color="auto"/>
        <w:bottom w:val="none" w:sz="0" w:space="0" w:color="auto"/>
        <w:right w:val="none" w:sz="0" w:space="0" w:color="auto"/>
      </w:divBdr>
    </w:div>
    <w:div w:id="710421020">
      <w:bodyDiv w:val="1"/>
      <w:marLeft w:val="0"/>
      <w:marRight w:val="0"/>
      <w:marTop w:val="0"/>
      <w:marBottom w:val="0"/>
      <w:divBdr>
        <w:top w:val="none" w:sz="0" w:space="0" w:color="auto"/>
        <w:left w:val="none" w:sz="0" w:space="0" w:color="auto"/>
        <w:bottom w:val="none" w:sz="0" w:space="0" w:color="auto"/>
        <w:right w:val="none" w:sz="0" w:space="0" w:color="auto"/>
      </w:divBdr>
    </w:div>
    <w:div w:id="741758528">
      <w:bodyDiv w:val="1"/>
      <w:marLeft w:val="0"/>
      <w:marRight w:val="0"/>
      <w:marTop w:val="0"/>
      <w:marBottom w:val="0"/>
      <w:divBdr>
        <w:top w:val="none" w:sz="0" w:space="0" w:color="auto"/>
        <w:left w:val="none" w:sz="0" w:space="0" w:color="auto"/>
        <w:bottom w:val="none" w:sz="0" w:space="0" w:color="auto"/>
        <w:right w:val="none" w:sz="0" w:space="0" w:color="auto"/>
      </w:divBdr>
    </w:div>
    <w:div w:id="855998165">
      <w:bodyDiv w:val="1"/>
      <w:marLeft w:val="0"/>
      <w:marRight w:val="0"/>
      <w:marTop w:val="0"/>
      <w:marBottom w:val="0"/>
      <w:divBdr>
        <w:top w:val="none" w:sz="0" w:space="0" w:color="auto"/>
        <w:left w:val="none" w:sz="0" w:space="0" w:color="auto"/>
        <w:bottom w:val="none" w:sz="0" w:space="0" w:color="auto"/>
        <w:right w:val="none" w:sz="0" w:space="0" w:color="auto"/>
      </w:divBdr>
    </w:div>
    <w:div w:id="902259442">
      <w:bodyDiv w:val="1"/>
      <w:marLeft w:val="0"/>
      <w:marRight w:val="0"/>
      <w:marTop w:val="0"/>
      <w:marBottom w:val="0"/>
      <w:divBdr>
        <w:top w:val="none" w:sz="0" w:space="0" w:color="auto"/>
        <w:left w:val="none" w:sz="0" w:space="0" w:color="auto"/>
        <w:bottom w:val="none" w:sz="0" w:space="0" w:color="auto"/>
        <w:right w:val="none" w:sz="0" w:space="0" w:color="auto"/>
      </w:divBdr>
    </w:div>
    <w:div w:id="958996264">
      <w:bodyDiv w:val="1"/>
      <w:marLeft w:val="0"/>
      <w:marRight w:val="0"/>
      <w:marTop w:val="0"/>
      <w:marBottom w:val="0"/>
      <w:divBdr>
        <w:top w:val="none" w:sz="0" w:space="0" w:color="auto"/>
        <w:left w:val="none" w:sz="0" w:space="0" w:color="auto"/>
        <w:bottom w:val="none" w:sz="0" w:space="0" w:color="auto"/>
        <w:right w:val="none" w:sz="0" w:space="0" w:color="auto"/>
      </w:divBdr>
    </w:div>
    <w:div w:id="1090587243">
      <w:bodyDiv w:val="1"/>
      <w:marLeft w:val="0"/>
      <w:marRight w:val="0"/>
      <w:marTop w:val="0"/>
      <w:marBottom w:val="0"/>
      <w:divBdr>
        <w:top w:val="none" w:sz="0" w:space="0" w:color="auto"/>
        <w:left w:val="none" w:sz="0" w:space="0" w:color="auto"/>
        <w:bottom w:val="none" w:sz="0" w:space="0" w:color="auto"/>
        <w:right w:val="none" w:sz="0" w:space="0" w:color="auto"/>
      </w:divBdr>
    </w:div>
    <w:div w:id="1133060958">
      <w:bodyDiv w:val="1"/>
      <w:marLeft w:val="0"/>
      <w:marRight w:val="0"/>
      <w:marTop w:val="0"/>
      <w:marBottom w:val="0"/>
      <w:divBdr>
        <w:top w:val="none" w:sz="0" w:space="0" w:color="auto"/>
        <w:left w:val="none" w:sz="0" w:space="0" w:color="auto"/>
        <w:bottom w:val="none" w:sz="0" w:space="0" w:color="auto"/>
        <w:right w:val="none" w:sz="0" w:space="0" w:color="auto"/>
      </w:divBdr>
    </w:div>
    <w:div w:id="1247958381">
      <w:bodyDiv w:val="1"/>
      <w:marLeft w:val="0"/>
      <w:marRight w:val="0"/>
      <w:marTop w:val="0"/>
      <w:marBottom w:val="0"/>
      <w:divBdr>
        <w:top w:val="none" w:sz="0" w:space="0" w:color="auto"/>
        <w:left w:val="none" w:sz="0" w:space="0" w:color="auto"/>
        <w:bottom w:val="none" w:sz="0" w:space="0" w:color="auto"/>
        <w:right w:val="none" w:sz="0" w:space="0" w:color="auto"/>
      </w:divBdr>
    </w:div>
    <w:div w:id="1404066959">
      <w:bodyDiv w:val="1"/>
      <w:marLeft w:val="0"/>
      <w:marRight w:val="0"/>
      <w:marTop w:val="0"/>
      <w:marBottom w:val="0"/>
      <w:divBdr>
        <w:top w:val="none" w:sz="0" w:space="0" w:color="auto"/>
        <w:left w:val="none" w:sz="0" w:space="0" w:color="auto"/>
        <w:bottom w:val="none" w:sz="0" w:space="0" w:color="auto"/>
        <w:right w:val="none" w:sz="0" w:space="0" w:color="auto"/>
      </w:divBdr>
    </w:div>
    <w:div w:id="1945310452">
      <w:bodyDiv w:val="1"/>
      <w:marLeft w:val="0"/>
      <w:marRight w:val="0"/>
      <w:marTop w:val="0"/>
      <w:marBottom w:val="0"/>
      <w:divBdr>
        <w:top w:val="none" w:sz="0" w:space="0" w:color="auto"/>
        <w:left w:val="none" w:sz="0" w:space="0" w:color="auto"/>
        <w:bottom w:val="none" w:sz="0" w:space="0" w:color="auto"/>
        <w:right w:val="none" w:sz="0" w:space="0" w:color="auto"/>
      </w:divBdr>
    </w:div>
    <w:div w:id="2018844394">
      <w:bodyDiv w:val="1"/>
      <w:marLeft w:val="0"/>
      <w:marRight w:val="0"/>
      <w:marTop w:val="0"/>
      <w:marBottom w:val="0"/>
      <w:divBdr>
        <w:top w:val="none" w:sz="0" w:space="0" w:color="auto"/>
        <w:left w:val="none" w:sz="0" w:space="0" w:color="auto"/>
        <w:bottom w:val="none" w:sz="0" w:space="0" w:color="auto"/>
        <w:right w:val="none" w:sz="0" w:space="0" w:color="auto"/>
      </w:divBdr>
    </w:div>
    <w:div w:id="2034577635">
      <w:bodyDiv w:val="1"/>
      <w:marLeft w:val="0"/>
      <w:marRight w:val="0"/>
      <w:marTop w:val="0"/>
      <w:marBottom w:val="0"/>
      <w:divBdr>
        <w:top w:val="none" w:sz="0" w:space="0" w:color="auto"/>
        <w:left w:val="none" w:sz="0" w:space="0" w:color="auto"/>
        <w:bottom w:val="none" w:sz="0" w:space="0" w:color="auto"/>
        <w:right w:val="none" w:sz="0" w:space="0" w:color="auto"/>
      </w:divBdr>
    </w:div>
    <w:div w:id="21037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tzion.org.il/vbm/archive/11-ester/06ester.rt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66E5-7121-4D2C-89B0-4ABCD49A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4182</Words>
  <Characters>20913</Characters>
  <Application>Microsoft Office Word</Application>
  <DocSecurity>0</DocSecurity>
  <Lines>174</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25045</CharactersWithSpaces>
  <SharedDoc>false</SharedDoc>
  <HLinks>
    <vt:vector size="12" baseType="variant">
      <vt:variant>
        <vt:i4>5374033</vt:i4>
      </vt:variant>
      <vt:variant>
        <vt:i4>0</vt:i4>
      </vt:variant>
      <vt:variant>
        <vt:i4>0</vt:i4>
      </vt:variant>
      <vt:variant>
        <vt:i4>5</vt:i4>
      </vt:variant>
      <vt:variant>
        <vt:lpwstr>http://www.vbm-torah.org/archive/biblit/28biblit.htm</vt:lpwstr>
      </vt:variant>
      <vt:variant>
        <vt:lpwstr/>
      </vt:variant>
      <vt:variant>
        <vt:i4>983056</vt:i4>
      </vt:variant>
      <vt:variant>
        <vt:i4>0</vt:i4>
      </vt:variant>
      <vt:variant>
        <vt:i4>0</vt:i4>
      </vt:variant>
      <vt:variant>
        <vt:i4>5</vt:i4>
      </vt:variant>
      <vt:variant>
        <vt:lpwstr>http://www.etzion.org.il/vbm/archive/11-ester/06ester.rtf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yossie</dc:creator>
  <cp:keywords/>
  <cp:lastModifiedBy>User</cp:lastModifiedBy>
  <cp:revision>2</cp:revision>
  <dcterms:created xsi:type="dcterms:W3CDTF">2022-05-29T06:02:00Z</dcterms:created>
  <dcterms:modified xsi:type="dcterms:W3CDTF">2022-05-29T06:02:00Z</dcterms:modified>
</cp:coreProperties>
</file>