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02C90" w14:textId="53ECC4B1" w:rsidR="00505FAD" w:rsidRDefault="007A36C9" w:rsidP="00505FAD">
      <w:pPr>
        <w:spacing w:line="480" w:lineRule="auto"/>
        <w:ind w:firstLine="360"/>
        <w:rPr>
          <w:rFonts w:asciiTheme="minorBidi" w:hAnsiTheme="minorBidi"/>
          <w:sz w:val="20"/>
          <w:szCs w:val="20"/>
        </w:rPr>
      </w:pPr>
      <w:r>
        <w:rPr>
          <w:rFonts w:asciiTheme="minorBidi" w:hAnsiTheme="minorBidi"/>
          <w:sz w:val="20"/>
          <w:szCs w:val="20"/>
        </w:rPr>
        <w:t xml:space="preserve">  </w:t>
      </w:r>
      <w:r w:rsidR="00505FAD">
        <w:rPr>
          <w:rFonts w:asciiTheme="minorBidi" w:hAnsiTheme="minorBidi"/>
          <w:sz w:val="20"/>
          <w:szCs w:val="20"/>
        </w:rPr>
        <w:tab/>
      </w:r>
    </w:p>
    <w:p w14:paraId="6B9A47AF" w14:textId="509F283B" w:rsidR="00505FAD" w:rsidRPr="00310A76" w:rsidRDefault="00505FAD" w:rsidP="00393E91">
      <w:pPr>
        <w:spacing w:line="480" w:lineRule="auto"/>
        <w:ind w:firstLine="720"/>
        <w:rPr>
          <w:rFonts w:asciiTheme="minorBidi" w:hAnsiTheme="minorBidi"/>
          <w:sz w:val="20"/>
          <w:szCs w:val="20"/>
        </w:rPr>
      </w:pPr>
      <w:r>
        <w:rPr>
          <w:rFonts w:asciiTheme="minorBidi" w:hAnsiTheme="minorBidi"/>
          <w:sz w:val="20"/>
          <w:szCs w:val="20"/>
        </w:rPr>
        <w:t>A m</w:t>
      </w:r>
      <w:bookmarkStart w:id="0" w:name="_GoBack"/>
      <w:bookmarkEnd w:id="0"/>
      <w:r>
        <w:rPr>
          <w:rFonts w:asciiTheme="minorBidi" w:hAnsiTheme="minorBidi"/>
          <w:sz w:val="20"/>
          <w:szCs w:val="20"/>
        </w:rPr>
        <w:t>edieval itinerant scholar arrives in a foreign land, bereft of physical belongings but proudly bearing the rich cultural and religious traditions of the land he left behind.  As his sojourns continue, he learns to communicate</w:t>
      </w:r>
      <w:r w:rsidR="007C7E69" w:rsidRPr="007C7E69">
        <w:rPr>
          <w:rFonts w:asciiTheme="minorBidi" w:hAnsiTheme="minorBidi"/>
          <w:sz w:val="20"/>
          <w:szCs w:val="20"/>
        </w:rPr>
        <w:t xml:space="preserve"> </w:t>
      </w:r>
      <w:r w:rsidR="007C7E69">
        <w:rPr>
          <w:rFonts w:asciiTheme="minorBidi" w:hAnsiTheme="minorBidi"/>
          <w:sz w:val="20"/>
          <w:szCs w:val="20"/>
        </w:rPr>
        <w:t>with the locals</w:t>
      </w:r>
      <w:r w:rsidR="005F6257">
        <w:rPr>
          <w:rFonts w:asciiTheme="minorBidi" w:hAnsiTheme="minorBidi"/>
          <w:sz w:val="20"/>
          <w:szCs w:val="20"/>
        </w:rPr>
        <w:t xml:space="preserve">, </w:t>
      </w:r>
      <w:r w:rsidR="00220256" w:rsidRPr="005F6257">
        <w:rPr>
          <w:rFonts w:asciiTheme="minorBidi" w:hAnsiTheme="minorBidi"/>
          <w:sz w:val="20"/>
          <w:szCs w:val="20"/>
        </w:rPr>
        <w:t>shar</w:t>
      </w:r>
      <w:r w:rsidR="005F6257">
        <w:rPr>
          <w:rFonts w:asciiTheme="minorBidi" w:hAnsiTheme="minorBidi"/>
          <w:sz w:val="20"/>
          <w:szCs w:val="20"/>
        </w:rPr>
        <w:t>ing</w:t>
      </w:r>
      <w:r w:rsidR="00220256" w:rsidRPr="005F6257">
        <w:rPr>
          <w:rFonts w:asciiTheme="minorBidi" w:hAnsiTheme="minorBidi"/>
          <w:sz w:val="20"/>
          <w:szCs w:val="20"/>
        </w:rPr>
        <w:t xml:space="preserve"> his unique knowledge</w:t>
      </w:r>
      <w:r w:rsidRPr="005F6257">
        <w:rPr>
          <w:rFonts w:asciiTheme="minorBidi" w:hAnsiTheme="minorBidi"/>
          <w:sz w:val="20"/>
          <w:szCs w:val="20"/>
        </w:rPr>
        <w:t xml:space="preserve"> with</w:t>
      </w:r>
      <w:r w:rsidR="00220256" w:rsidRPr="005F6257">
        <w:rPr>
          <w:rFonts w:asciiTheme="minorBidi" w:hAnsiTheme="minorBidi"/>
          <w:sz w:val="20"/>
          <w:szCs w:val="20"/>
        </w:rPr>
        <w:t xml:space="preserve"> </w:t>
      </w:r>
      <w:r w:rsidR="007C7E69" w:rsidRPr="005F6257">
        <w:rPr>
          <w:rFonts w:asciiTheme="minorBidi" w:hAnsiTheme="minorBidi"/>
          <w:sz w:val="20"/>
          <w:szCs w:val="20"/>
        </w:rPr>
        <w:t>some in the process</w:t>
      </w:r>
      <w:r>
        <w:rPr>
          <w:rFonts w:asciiTheme="minorBidi" w:hAnsiTheme="minorBidi"/>
          <w:sz w:val="20"/>
          <w:szCs w:val="20"/>
        </w:rPr>
        <w:t xml:space="preserve">.  This scholar is the illustrious Sephardic Rishon, R. Abraham b. Meir ibn Ezra, whose biblical commentaries are ubiquitous today and are studied alongside those of </w:t>
      </w:r>
      <w:proofErr w:type="spellStart"/>
      <w:r>
        <w:rPr>
          <w:rFonts w:asciiTheme="minorBidi" w:hAnsiTheme="minorBidi"/>
          <w:sz w:val="20"/>
          <w:szCs w:val="20"/>
        </w:rPr>
        <w:t>Rashi</w:t>
      </w:r>
      <w:proofErr w:type="spellEnd"/>
      <w:r>
        <w:rPr>
          <w:rFonts w:asciiTheme="minorBidi" w:hAnsiTheme="minorBidi"/>
          <w:sz w:val="20"/>
          <w:szCs w:val="20"/>
        </w:rPr>
        <w:t xml:space="preserve">, </w:t>
      </w:r>
      <w:proofErr w:type="spellStart"/>
      <w:r>
        <w:rPr>
          <w:rFonts w:asciiTheme="minorBidi" w:hAnsiTheme="minorBidi"/>
          <w:sz w:val="20"/>
          <w:szCs w:val="20"/>
        </w:rPr>
        <w:t>Ramban</w:t>
      </w:r>
      <w:proofErr w:type="spellEnd"/>
      <w:r>
        <w:rPr>
          <w:rFonts w:asciiTheme="minorBidi" w:hAnsiTheme="minorBidi"/>
          <w:sz w:val="20"/>
          <w:szCs w:val="20"/>
        </w:rPr>
        <w:t xml:space="preserve">, and other Torah giants.  </w:t>
      </w:r>
      <w:r w:rsidR="00393E91">
        <w:rPr>
          <w:rFonts w:ascii="Arial" w:hAnsi="Arial" w:cs="Arial"/>
          <w:sz w:val="20"/>
          <w:szCs w:val="20"/>
        </w:rPr>
        <w:t>Ibn Ezra was b</w:t>
      </w:r>
      <w:r>
        <w:rPr>
          <w:rFonts w:ascii="Arial" w:hAnsi="Arial" w:cs="Arial"/>
          <w:sz w:val="20"/>
          <w:szCs w:val="20"/>
        </w:rPr>
        <w:t>orn in Muslim Spain in 1089</w:t>
      </w:r>
      <w:r w:rsidR="00393E91">
        <w:rPr>
          <w:rFonts w:ascii="Arial" w:hAnsi="Arial" w:cs="Arial"/>
          <w:sz w:val="20"/>
          <w:szCs w:val="20"/>
        </w:rPr>
        <w:t>.  In</w:t>
      </w:r>
      <w:r>
        <w:rPr>
          <w:rFonts w:ascii="Arial" w:hAnsi="Arial" w:cs="Arial"/>
          <w:sz w:val="20"/>
          <w:szCs w:val="20"/>
        </w:rPr>
        <w:t xml:space="preserve"> 1140 at the age of 50</w:t>
      </w:r>
      <w:r w:rsidR="00310A76">
        <w:rPr>
          <w:rFonts w:ascii="Arial" w:hAnsi="Arial" w:cs="Arial"/>
          <w:sz w:val="20"/>
          <w:szCs w:val="20"/>
        </w:rPr>
        <w:t>,</w:t>
      </w:r>
      <w:r w:rsidR="00393E91">
        <w:rPr>
          <w:rFonts w:ascii="Arial" w:hAnsi="Arial" w:cs="Arial"/>
          <w:sz w:val="20"/>
          <w:szCs w:val="20"/>
        </w:rPr>
        <w:t xml:space="preserve"> he</w:t>
      </w:r>
      <w:r>
        <w:rPr>
          <w:rFonts w:ascii="Arial" w:hAnsi="Arial" w:cs="Arial"/>
          <w:sz w:val="20"/>
          <w:szCs w:val="20"/>
        </w:rPr>
        <w:t xml:space="preserve"> was forced to leave Spain</w:t>
      </w:r>
      <w:r w:rsidR="00393E91">
        <w:rPr>
          <w:rFonts w:ascii="Arial" w:hAnsi="Arial" w:cs="Arial"/>
          <w:sz w:val="20"/>
          <w:szCs w:val="20"/>
        </w:rPr>
        <w:t xml:space="preserve"> –</w:t>
      </w:r>
      <w:r>
        <w:rPr>
          <w:rFonts w:ascii="Arial" w:hAnsi="Arial" w:cs="Arial"/>
          <w:sz w:val="20"/>
          <w:szCs w:val="20"/>
        </w:rPr>
        <w:t xml:space="preserve"> </w:t>
      </w:r>
      <w:r w:rsidR="00310A76" w:rsidRPr="00FB1CFF">
        <w:rPr>
          <w:rFonts w:ascii="Arial" w:hAnsi="Arial" w:cs="Arial"/>
          <w:sz w:val="20"/>
          <w:szCs w:val="20"/>
        </w:rPr>
        <w:t>p</w:t>
      </w:r>
      <w:r w:rsidR="000532D1" w:rsidRPr="00FB1CFF">
        <w:rPr>
          <w:rFonts w:ascii="Arial" w:hAnsi="Arial" w:cs="Arial"/>
          <w:sz w:val="20"/>
          <w:szCs w:val="20"/>
        </w:rPr>
        <w:t>ossibly</w:t>
      </w:r>
      <w:r>
        <w:rPr>
          <w:rFonts w:ascii="Arial" w:hAnsi="Arial" w:cs="Arial"/>
          <w:sz w:val="20"/>
          <w:szCs w:val="20"/>
        </w:rPr>
        <w:t xml:space="preserve"> due to t</w:t>
      </w:r>
      <w:r w:rsidR="000627FC">
        <w:rPr>
          <w:rFonts w:ascii="Arial" w:hAnsi="Arial" w:cs="Arial"/>
          <w:sz w:val="20"/>
          <w:szCs w:val="20"/>
        </w:rPr>
        <w:t xml:space="preserve">he </w:t>
      </w:r>
      <w:r>
        <w:rPr>
          <w:rFonts w:ascii="Arial" w:hAnsi="Arial" w:cs="Arial"/>
          <w:sz w:val="20"/>
          <w:szCs w:val="20"/>
        </w:rPr>
        <w:t>persecutions wrought by</w:t>
      </w:r>
      <w:r w:rsidR="008E0648">
        <w:rPr>
          <w:rFonts w:ascii="Arial" w:hAnsi="Arial" w:cs="Arial"/>
          <w:sz w:val="20"/>
          <w:szCs w:val="20"/>
        </w:rPr>
        <w:t xml:space="preserve"> the</w:t>
      </w:r>
      <w:r>
        <w:rPr>
          <w:rFonts w:ascii="Arial" w:hAnsi="Arial" w:cs="Arial"/>
          <w:sz w:val="20"/>
          <w:szCs w:val="20"/>
        </w:rPr>
        <w:t xml:space="preserve"> radical Islamic Almohad invaders.</w:t>
      </w:r>
      <w:r w:rsidR="00310A76">
        <w:rPr>
          <w:rStyle w:val="a6"/>
          <w:rFonts w:ascii="Arial" w:hAnsi="Arial" w:cs="Arial"/>
          <w:sz w:val="20"/>
          <w:szCs w:val="20"/>
        </w:rPr>
        <w:footnoteReference w:id="1"/>
      </w:r>
      <w:r>
        <w:rPr>
          <w:rFonts w:ascii="Arial" w:hAnsi="Arial" w:cs="Arial"/>
          <w:sz w:val="20"/>
          <w:szCs w:val="20"/>
        </w:rPr>
        <w:t xml:space="preserve">  While the Almohad oppression also forced out other illustrious Jewish notables from Spain, (</w:t>
      </w:r>
      <w:r w:rsidR="000532D1">
        <w:rPr>
          <w:rFonts w:ascii="Arial" w:hAnsi="Arial" w:cs="Arial"/>
          <w:sz w:val="20"/>
          <w:szCs w:val="20"/>
        </w:rPr>
        <w:t>e.g.</w:t>
      </w:r>
      <w:r w:rsidR="00A97C7E">
        <w:rPr>
          <w:rFonts w:ascii="Arial" w:hAnsi="Arial" w:cs="Arial"/>
          <w:sz w:val="20"/>
          <w:szCs w:val="20"/>
        </w:rPr>
        <w:t>,</w:t>
      </w:r>
      <w:r w:rsidR="000532D1">
        <w:rPr>
          <w:rFonts w:ascii="Arial" w:hAnsi="Arial" w:cs="Arial"/>
          <w:sz w:val="20"/>
          <w:szCs w:val="20"/>
        </w:rPr>
        <w:t xml:space="preserve"> </w:t>
      </w:r>
      <w:r>
        <w:rPr>
          <w:rFonts w:ascii="Arial" w:hAnsi="Arial" w:cs="Arial"/>
          <w:sz w:val="20"/>
          <w:szCs w:val="20"/>
        </w:rPr>
        <w:t xml:space="preserve">the </w:t>
      </w:r>
      <w:proofErr w:type="spellStart"/>
      <w:r>
        <w:rPr>
          <w:rFonts w:ascii="Arial" w:hAnsi="Arial" w:cs="Arial"/>
          <w:sz w:val="20"/>
          <w:szCs w:val="20"/>
        </w:rPr>
        <w:t>Maimon</w:t>
      </w:r>
      <w:proofErr w:type="spellEnd"/>
      <w:r>
        <w:rPr>
          <w:rFonts w:ascii="Arial" w:hAnsi="Arial" w:cs="Arial"/>
          <w:sz w:val="20"/>
          <w:szCs w:val="20"/>
        </w:rPr>
        <w:t xml:space="preserve"> family [</w:t>
      </w:r>
      <w:proofErr w:type="spellStart"/>
      <w:r>
        <w:rPr>
          <w:rFonts w:ascii="Arial" w:hAnsi="Arial" w:cs="Arial"/>
          <w:sz w:val="20"/>
          <w:szCs w:val="20"/>
        </w:rPr>
        <w:t>Rambam</w:t>
      </w:r>
      <w:proofErr w:type="spellEnd"/>
      <w:r>
        <w:rPr>
          <w:rFonts w:ascii="Arial" w:hAnsi="Arial" w:cs="Arial"/>
          <w:sz w:val="20"/>
          <w:szCs w:val="20"/>
        </w:rPr>
        <w:t xml:space="preserve">], the </w:t>
      </w:r>
      <w:proofErr w:type="spellStart"/>
      <w:r>
        <w:rPr>
          <w:rFonts w:ascii="Arial" w:hAnsi="Arial" w:cs="Arial"/>
          <w:sz w:val="20"/>
          <w:szCs w:val="20"/>
        </w:rPr>
        <w:t>Kimchis</w:t>
      </w:r>
      <w:proofErr w:type="spellEnd"/>
      <w:r>
        <w:rPr>
          <w:rFonts w:ascii="Arial" w:hAnsi="Arial" w:cs="Arial"/>
          <w:sz w:val="20"/>
          <w:szCs w:val="20"/>
        </w:rPr>
        <w:t xml:space="preserve">, and the ibn </w:t>
      </w:r>
      <w:proofErr w:type="spellStart"/>
      <w:r>
        <w:rPr>
          <w:rFonts w:ascii="Arial" w:hAnsi="Arial" w:cs="Arial"/>
          <w:sz w:val="20"/>
          <w:szCs w:val="20"/>
        </w:rPr>
        <w:t>Tib</w:t>
      </w:r>
      <w:r w:rsidR="00A97C7E">
        <w:rPr>
          <w:rFonts w:ascii="Arial" w:hAnsi="Arial" w:cs="Arial"/>
          <w:sz w:val="20"/>
          <w:szCs w:val="20"/>
        </w:rPr>
        <w:t>b</w:t>
      </w:r>
      <w:r>
        <w:rPr>
          <w:rFonts w:ascii="Arial" w:hAnsi="Arial" w:cs="Arial"/>
          <w:sz w:val="20"/>
          <w:szCs w:val="20"/>
        </w:rPr>
        <w:t>ons</w:t>
      </w:r>
      <w:proofErr w:type="spellEnd"/>
      <w:r>
        <w:rPr>
          <w:rFonts w:ascii="Arial" w:hAnsi="Arial" w:cs="Arial"/>
          <w:sz w:val="20"/>
          <w:szCs w:val="20"/>
        </w:rPr>
        <w:t xml:space="preserve">), Ibn Ezra’s trajectory was unique.  After residing in Italy for several years, a perpetually impoverished Ibn Ezra wandered throughout Christian Europe for the </w:t>
      </w:r>
      <w:r w:rsidR="00A97C7E">
        <w:rPr>
          <w:rFonts w:ascii="Arial" w:hAnsi="Arial" w:cs="Arial"/>
          <w:sz w:val="20"/>
          <w:szCs w:val="20"/>
        </w:rPr>
        <w:t xml:space="preserve">last 25 years </w:t>
      </w:r>
      <w:r>
        <w:rPr>
          <w:rFonts w:ascii="Arial" w:hAnsi="Arial" w:cs="Arial"/>
          <w:sz w:val="20"/>
          <w:szCs w:val="20"/>
        </w:rPr>
        <w:t>of his life</w:t>
      </w:r>
      <w:r w:rsidR="00A97C7E">
        <w:rPr>
          <w:rFonts w:ascii="Arial" w:hAnsi="Arial" w:cs="Arial"/>
          <w:sz w:val="20"/>
          <w:szCs w:val="20"/>
        </w:rPr>
        <w:t>,</w:t>
      </w:r>
      <w:r>
        <w:rPr>
          <w:rFonts w:ascii="Arial" w:hAnsi="Arial" w:cs="Arial"/>
          <w:sz w:val="20"/>
          <w:szCs w:val="20"/>
        </w:rPr>
        <w:t xml:space="preserve"> seeking the support of Ashkenazic patrons in Italy, Provence, Northern France, and England, where he died, presumably in London, in 1164.</w:t>
      </w:r>
      <w:r w:rsidR="00A20EAD">
        <w:rPr>
          <w:rStyle w:val="a6"/>
          <w:rFonts w:ascii="Arial" w:hAnsi="Arial" w:cs="Arial"/>
          <w:sz w:val="20"/>
          <w:szCs w:val="20"/>
        </w:rPr>
        <w:footnoteReference w:id="2"/>
      </w:r>
      <w:r>
        <w:rPr>
          <w:rFonts w:ascii="Arial" w:hAnsi="Arial" w:cs="Arial"/>
          <w:sz w:val="20"/>
          <w:szCs w:val="20"/>
        </w:rPr>
        <w:t xml:space="preserve">  </w:t>
      </w:r>
    </w:p>
    <w:p w14:paraId="18BCE755" w14:textId="04D7451D" w:rsidR="00505FAD" w:rsidRPr="00F20EB0" w:rsidRDefault="00505FAD" w:rsidP="00F20EB0">
      <w:pPr>
        <w:spacing w:line="480" w:lineRule="auto"/>
        <w:ind w:firstLine="720"/>
        <w:rPr>
          <w:rFonts w:ascii="Arial" w:hAnsi="Arial" w:cs="Arial"/>
          <w:sz w:val="18"/>
          <w:szCs w:val="18"/>
        </w:rPr>
      </w:pPr>
      <w:r>
        <w:rPr>
          <w:rFonts w:ascii="Arial" w:hAnsi="Arial" w:cs="Arial"/>
          <w:sz w:val="20"/>
          <w:szCs w:val="20"/>
        </w:rPr>
        <w:t xml:space="preserve">Ibn Ezra’s extant exegetical and grammatical works contain an “encyclopedic wealth” of </w:t>
      </w:r>
      <w:r>
        <w:rPr>
          <w:rFonts w:asciiTheme="minorBidi" w:hAnsiTheme="minorBidi" w:cstheme="minorBidi"/>
          <w:sz w:val="20"/>
          <w:szCs w:val="20"/>
        </w:rPr>
        <w:t>recognized literary resources available to Sephardic commentators of the Golden Age of Spain</w:t>
      </w:r>
      <w:r w:rsidR="00A97C7E">
        <w:rPr>
          <w:rFonts w:asciiTheme="minorBidi" w:hAnsiTheme="minorBidi" w:cstheme="minorBidi"/>
          <w:sz w:val="20"/>
          <w:szCs w:val="20"/>
        </w:rPr>
        <w:t>.</w:t>
      </w:r>
      <w:r w:rsidR="002F2B16" w:rsidRPr="002F2B16">
        <w:rPr>
          <w:rFonts w:asciiTheme="minorBidi" w:hAnsiTheme="minorBidi" w:cstheme="minorBidi"/>
          <w:sz w:val="20"/>
          <w:szCs w:val="20"/>
        </w:rPr>
        <w:t xml:space="preserve">  </w:t>
      </w:r>
      <w:r>
        <w:rPr>
          <w:rFonts w:ascii="Arial" w:hAnsi="Arial" w:cs="Arial"/>
          <w:sz w:val="20"/>
          <w:szCs w:val="20"/>
        </w:rPr>
        <w:t>His extensive erudition includ</w:t>
      </w:r>
      <w:r w:rsidRPr="00691C94">
        <w:rPr>
          <w:rFonts w:ascii="Arial" w:hAnsi="Arial" w:cs="Arial"/>
          <w:sz w:val="20"/>
          <w:szCs w:val="20"/>
        </w:rPr>
        <w:t>e</w:t>
      </w:r>
      <w:r w:rsidR="00694266" w:rsidRPr="00691C94">
        <w:rPr>
          <w:rFonts w:ascii="Arial" w:hAnsi="Arial" w:cs="Arial"/>
          <w:sz w:val="20"/>
          <w:szCs w:val="20"/>
        </w:rPr>
        <w:t>s</w:t>
      </w:r>
      <w:r>
        <w:rPr>
          <w:rFonts w:ascii="Arial" w:hAnsi="Arial" w:cs="Arial"/>
          <w:sz w:val="20"/>
          <w:szCs w:val="20"/>
        </w:rPr>
        <w:t xml:space="preserve"> diverse sources “ranging from traditional rabbinic literature (Tannaitic through </w:t>
      </w:r>
      <w:proofErr w:type="spellStart"/>
      <w:r>
        <w:rPr>
          <w:rFonts w:ascii="Arial" w:hAnsi="Arial" w:cs="Arial"/>
          <w:sz w:val="20"/>
          <w:szCs w:val="20"/>
        </w:rPr>
        <w:t>Geonic</w:t>
      </w:r>
      <w:proofErr w:type="spellEnd"/>
      <w:r>
        <w:rPr>
          <w:rFonts w:ascii="Arial" w:hAnsi="Arial" w:cs="Arial"/>
          <w:sz w:val="20"/>
          <w:szCs w:val="20"/>
        </w:rPr>
        <w:t xml:space="preserve">); Sephardic and </w:t>
      </w:r>
      <w:proofErr w:type="spellStart"/>
      <w:r>
        <w:rPr>
          <w:rFonts w:ascii="Arial" w:hAnsi="Arial" w:cs="Arial"/>
          <w:sz w:val="20"/>
          <w:szCs w:val="20"/>
        </w:rPr>
        <w:t>Karaitic</w:t>
      </w:r>
      <w:proofErr w:type="spellEnd"/>
      <w:r>
        <w:rPr>
          <w:rFonts w:ascii="Arial" w:hAnsi="Arial" w:cs="Arial"/>
          <w:sz w:val="20"/>
          <w:szCs w:val="20"/>
        </w:rPr>
        <w:t xml:space="preserve"> exegesis; polemical, philological, poetic and liturgical works; as well as works of historiography, philosophy, mathematics and astronomy, among others.”</w:t>
      </w:r>
      <w:r>
        <w:rPr>
          <w:rStyle w:val="a6"/>
          <w:rFonts w:ascii="Arial" w:hAnsi="Arial" w:cs="Arial"/>
          <w:sz w:val="20"/>
          <w:szCs w:val="20"/>
        </w:rPr>
        <w:footnoteReference w:id="3"/>
      </w:r>
      <w:r>
        <w:rPr>
          <w:rFonts w:ascii="Arial" w:hAnsi="Arial" w:cs="Arial"/>
          <w:sz w:val="20"/>
          <w:szCs w:val="20"/>
        </w:rPr>
        <w:t xml:space="preserve">  All of Ibn Ezra’s surviving literary works are in Hebrew – written in Christian Europe, with his earlier Arabic compositions having been lost or “relegate[ed]… to oblivion”</w:t>
      </w:r>
      <w:r>
        <w:rPr>
          <w:rStyle w:val="a6"/>
          <w:rFonts w:ascii="Arial" w:hAnsi="Arial" w:cs="Arial"/>
          <w:sz w:val="20"/>
          <w:szCs w:val="20"/>
        </w:rPr>
        <w:footnoteReference w:id="4"/>
      </w:r>
      <w:r>
        <w:rPr>
          <w:rFonts w:ascii="Arial" w:hAnsi="Arial" w:cs="Arial"/>
          <w:sz w:val="20"/>
          <w:szCs w:val="20"/>
        </w:rPr>
        <w:t xml:space="preserve"> by the ravages of time and historical circumstances.  </w:t>
      </w:r>
    </w:p>
    <w:p w14:paraId="22036AF1" w14:textId="0195AFE6" w:rsidR="005A236F" w:rsidRDefault="00505FAD" w:rsidP="00F62506">
      <w:pPr>
        <w:spacing w:line="480" w:lineRule="auto"/>
        <w:ind w:firstLine="720"/>
        <w:rPr>
          <w:rFonts w:ascii="Arial" w:hAnsi="Arial" w:cs="Arial"/>
          <w:sz w:val="20"/>
          <w:szCs w:val="20"/>
        </w:rPr>
      </w:pPr>
      <w:r>
        <w:rPr>
          <w:rFonts w:ascii="Arial" w:hAnsi="Arial" w:cs="Arial"/>
          <w:sz w:val="20"/>
          <w:szCs w:val="20"/>
        </w:rPr>
        <w:lastRenderedPageBreak/>
        <w:t>The question arises: was Ibn Ezra’s biblical commentary – by virtue of his 25-year sojourn throughout Christendom</w:t>
      </w:r>
      <w:r w:rsidR="00F62506" w:rsidRPr="00F62506">
        <w:rPr>
          <w:rFonts w:ascii="Arial" w:hAnsi="Arial" w:cs="Arial"/>
          <w:sz w:val="20"/>
          <w:szCs w:val="20"/>
        </w:rPr>
        <w:t xml:space="preserve"> – </w:t>
      </w:r>
      <w:r>
        <w:rPr>
          <w:rFonts w:ascii="Arial" w:hAnsi="Arial" w:cs="Arial"/>
          <w:sz w:val="20"/>
          <w:szCs w:val="20"/>
        </w:rPr>
        <w:t>influenced by his Ashkenazic surroundings? This essay attempts to assess the extent to which various Ashkenazic cultural and literary traditions, as well as Ibn Ezra’s personal experiences in Christian lands, may have influenced or factored into his biblical commentary</w:t>
      </w:r>
      <w:r w:rsidR="008E6963">
        <w:rPr>
          <w:rFonts w:ascii="Arial" w:hAnsi="Arial" w:cs="Arial"/>
          <w:sz w:val="20"/>
          <w:szCs w:val="20"/>
        </w:rPr>
        <w:t xml:space="preserve">. The methodology used herein examines Ibn Ezra’s </w:t>
      </w:r>
      <w:r w:rsidR="00960719">
        <w:rPr>
          <w:rFonts w:ascii="Arial" w:hAnsi="Arial" w:cs="Arial"/>
          <w:sz w:val="20"/>
          <w:szCs w:val="20"/>
        </w:rPr>
        <w:t xml:space="preserve">exegetical </w:t>
      </w:r>
      <w:r w:rsidR="008E6963">
        <w:rPr>
          <w:rFonts w:ascii="Arial" w:hAnsi="Arial" w:cs="Arial"/>
          <w:sz w:val="20"/>
          <w:szCs w:val="20"/>
        </w:rPr>
        <w:t>works</w:t>
      </w:r>
      <w:r w:rsidR="007651FC">
        <w:rPr>
          <w:rFonts w:ascii="Arial" w:hAnsi="Arial" w:cs="Arial"/>
          <w:sz w:val="20"/>
          <w:szCs w:val="20"/>
        </w:rPr>
        <w:t>,</w:t>
      </w:r>
      <w:r>
        <w:rPr>
          <w:rFonts w:ascii="Arial" w:hAnsi="Arial" w:cs="Arial"/>
          <w:sz w:val="20"/>
          <w:szCs w:val="20"/>
        </w:rPr>
        <w:t xml:space="preserve"> both in form and in content,</w:t>
      </w:r>
      <w:r w:rsidR="007651FC">
        <w:rPr>
          <w:rFonts w:ascii="Arial" w:hAnsi="Arial" w:cs="Arial"/>
          <w:sz w:val="20"/>
          <w:szCs w:val="20"/>
        </w:rPr>
        <w:t xml:space="preserve"> for possible traces of Ashkenazic influence,</w:t>
      </w:r>
      <w:r>
        <w:rPr>
          <w:rFonts w:ascii="Arial" w:hAnsi="Arial" w:cs="Arial"/>
          <w:sz w:val="20"/>
          <w:szCs w:val="20"/>
        </w:rPr>
        <w:t xml:space="preserve"> through a two-way</w:t>
      </w:r>
      <w:r w:rsidR="007651FC">
        <w:rPr>
          <w:rFonts w:ascii="Arial" w:hAnsi="Arial" w:cs="Arial"/>
          <w:sz w:val="20"/>
          <w:szCs w:val="20"/>
        </w:rPr>
        <w:t xml:space="preserve"> comparison</w:t>
      </w:r>
      <w:r w:rsidR="009C7F76">
        <w:rPr>
          <w:rFonts w:ascii="Arial" w:hAnsi="Arial" w:cs="Arial"/>
          <w:sz w:val="20"/>
          <w:szCs w:val="20"/>
        </w:rPr>
        <w:t xml:space="preserve">: </w:t>
      </w:r>
      <w:r w:rsidR="007651FC">
        <w:rPr>
          <w:rFonts w:ascii="Arial" w:hAnsi="Arial" w:cs="Arial"/>
          <w:sz w:val="20"/>
          <w:szCs w:val="20"/>
        </w:rPr>
        <w:t xml:space="preserve">relative to those of </w:t>
      </w:r>
      <w:proofErr w:type="spellStart"/>
      <w:r w:rsidR="005A236F">
        <w:rPr>
          <w:rFonts w:ascii="Arial" w:hAnsi="Arial" w:cs="Arial"/>
          <w:sz w:val="20"/>
          <w:szCs w:val="20"/>
        </w:rPr>
        <w:t>Rashi</w:t>
      </w:r>
      <w:proofErr w:type="spellEnd"/>
      <w:r w:rsidR="00960719">
        <w:rPr>
          <w:rFonts w:ascii="Arial" w:hAnsi="Arial" w:cs="Arial"/>
          <w:sz w:val="20"/>
          <w:szCs w:val="20"/>
        </w:rPr>
        <w:t xml:space="preserve"> (1040-1104)</w:t>
      </w:r>
      <w:r w:rsidR="005A236F">
        <w:rPr>
          <w:rFonts w:ascii="Arial" w:hAnsi="Arial" w:cs="Arial"/>
          <w:sz w:val="20"/>
          <w:szCs w:val="20"/>
        </w:rPr>
        <w:t>, the emblematic Ashkenazic exegete of the time</w:t>
      </w:r>
      <w:r w:rsidR="00DC0A47">
        <w:rPr>
          <w:rFonts w:ascii="Arial" w:hAnsi="Arial" w:cs="Arial"/>
          <w:sz w:val="20"/>
          <w:szCs w:val="20"/>
        </w:rPr>
        <w:t>,</w:t>
      </w:r>
      <w:r w:rsidR="007651FC">
        <w:rPr>
          <w:rFonts w:ascii="Arial" w:hAnsi="Arial" w:cs="Arial"/>
          <w:sz w:val="20"/>
          <w:szCs w:val="20"/>
        </w:rPr>
        <w:t xml:space="preserve"> and relative to his own w</w:t>
      </w:r>
      <w:r w:rsidR="005A236F">
        <w:rPr>
          <w:rFonts w:ascii="Arial" w:hAnsi="Arial" w:cs="Arial"/>
          <w:sz w:val="20"/>
          <w:szCs w:val="20"/>
        </w:rPr>
        <w:t>orks</w:t>
      </w:r>
      <w:r w:rsidR="007651FC">
        <w:rPr>
          <w:rFonts w:ascii="Arial" w:hAnsi="Arial" w:cs="Arial"/>
          <w:sz w:val="20"/>
          <w:szCs w:val="20"/>
        </w:rPr>
        <w:t xml:space="preserve"> </w:t>
      </w:r>
      <w:r w:rsidR="005A236F">
        <w:rPr>
          <w:rFonts w:ascii="Arial" w:hAnsi="Arial" w:cs="Arial"/>
          <w:sz w:val="20"/>
          <w:szCs w:val="20"/>
        </w:rPr>
        <w:t>from</w:t>
      </w:r>
      <w:r w:rsidR="007651FC">
        <w:rPr>
          <w:rFonts w:ascii="Arial" w:hAnsi="Arial" w:cs="Arial"/>
          <w:sz w:val="20"/>
          <w:szCs w:val="20"/>
        </w:rPr>
        <w:t xml:space="preserve"> another</w:t>
      </w:r>
      <w:r w:rsidR="009C7F76">
        <w:rPr>
          <w:rFonts w:ascii="Arial" w:hAnsi="Arial" w:cs="Arial"/>
          <w:sz w:val="20"/>
          <w:szCs w:val="20"/>
        </w:rPr>
        <w:t xml:space="preserve"> time and</w:t>
      </w:r>
      <w:r w:rsidR="007651FC">
        <w:rPr>
          <w:rFonts w:ascii="Arial" w:hAnsi="Arial" w:cs="Arial"/>
          <w:sz w:val="20"/>
          <w:szCs w:val="20"/>
        </w:rPr>
        <w:t xml:space="preserve"> </w:t>
      </w:r>
      <w:r w:rsidR="005A236F">
        <w:rPr>
          <w:rFonts w:ascii="Arial" w:hAnsi="Arial" w:cs="Arial"/>
          <w:sz w:val="20"/>
          <w:szCs w:val="20"/>
        </w:rPr>
        <w:t>place</w:t>
      </w:r>
      <w:r w:rsidR="007651FC">
        <w:rPr>
          <w:rFonts w:ascii="Arial" w:hAnsi="Arial" w:cs="Arial"/>
          <w:sz w:val="20"/>
          <w:szCs w:val="20"/>
        </w:rPr>
        <w:t xml:space="preserve">. </w:t>
      </w:r>
      <w:r>
        <w:rPr>
          <w:rFonts w:ascii="Arial" w:hAnsi="Arial" w:cs="Arial"/>
          <w:sz w:val="20"/>
          <w:szCs w:val="20"/>
        </w:rPr>
        <w:t xml:space="preserve">  </w:t>
      </w:r>
    </w:p>
    <w:p w14:paraId="782A68D4" w14:textId="49F5EE12" w:rsidR="00505FAD" w:rsidRDefault="008846F3" w:rsidP="00505FAD">
      <w:pPr>
        <w:spacing w:line="480" w:lineRule="auto"/>
        <w:ind w:firstLine="720"/>
        <w:rPr>
          <w:rFonts w:ascii="Arial" w:hAnsi="Arial" w:cs="Arial"/>
          <w:sz w:val="20"/>
          <w:szCs w:val="20"/>
        </w:rPr>
      </w:pPr>
      <w:r>
        <w:rPr>
          <w:rFonts w:ascii="Arial" w:hAnsi="Arial" w:cs="Arial"/>
          <w:sz w:val="20"/>
          <w:szCs w:val="20"/>
        </w:rPr>
        <w:t>T</w:t>
      </w:r>
      <w:r w:rsidR="00505FAD">
        <w:rPr>
          <w:rFonts w:ascii="Arial" w:hAnsi="Arial" w:cs="Arial"/>
          <w:sz w:val="20"/>
          <w:szCs w:val="20"/>
        </w:rPr>
        <w:t xml:space="preserve">he first method compares Ibn Ezra’s </w:t>
      </w:r>
      <w:r w:rsidR="00960719">
        <w:rPr>
          <w:rFonts w:ascii="Arial" w:hAnsi="Arial" w:cs="Arial"/>
          <w:sz w:val="20"/>
          <w:szCs w:val="20"/>
        </w:rPr>
        <w:t>commentaries</w:t>
      </w:r>
      <w:r w:rsidR="00505FAD">
        <w:rPr>
          <w:rFonts w:ascii="Arial" w:hAnsi="Arial" w:cs="Arial"/>
          <w:sz w:val="20"/>
          <w:szCs w:val="20"/>
        </w:rPr>
        <w:t xml:space="preserve"> with those of </w:t>
      </w:r>
      <w:proofErr w:type="spellStart"/>
      <w:r w:rsidR="00960719">
        <w:rPr>
          <w:rFonts w:ascii="Arial" w:hAnsi="Arial" w:cs="Arial"/>
          <w:sz w:val="20"/>
          <w:szCs w:val="20"/>
        </w:rPr>
        <w:t>Rashi</w:t>
      </w:r>
      <w:proofErr w:type="spellEnd"/>
      <w:r w:rsidR="00960719">
        <w:rPr>
          <w:rFonts w:ascii="Arial" w:hAnsi="Arial" w:cs="Arial"/>
          <w:sz w:val="20"/>
          <w:szCs w:val="20"/>
        </w:rPr>
        <w:t xml:space="preserve">, </w:t>
      </w:r>
      <w:r w:rsidR="00505FAD">
        <w:rPr>
          <w:rFonts w:ascii="Arial" w:hAnsi="Arial" w:cs="Arial"/>
          <w:sz w:val="20"/>
          <w:szCs w:val="20"/>
        </w:rPr>
        <w:t>his renowned Ashkenazic predecessor.  “[O]</w:t>
      </w:r>
      <w:proofErr w:type="spellStart"/>
      <w:r w:rsidR="00505FAD">
        <w:rPr>
          <w:rFonts w:ascii="Arial" w:hAnsi="Arial" w:cs="Arial"/>
          <w:sz w:val="20"/>
          <w:szCs w:val="20"/>
        </w:rPr>
        <w:t>ne</w:t>
      </w:r>
      <w:proofErr w:type="spellEnd"/>
      <w:r w:rsidR="00505FAD">
        <w:rPr>
          <w:rFonts w:ascii="Arial" w:hAnsi="Arial" w:cs="Arial"/>
          <w:sz w:val="20"/>
          <w:szCs w:val="20"/>
        </w:rPr>
        <w:t xml:space="preserve"> of the most important Jewish Bible commentators of all time and the most famous and influential of all,”</w:t>
      </w:r>
      <w:r w:rsidR="00505FAD">
        <w:rPr>
          <w:rStyle w:val="a6"/>
          <w:rFonts w:ascii="Arial" w:hAnsi="Arial" w:cs="Arial"/>
          <w:sz w:val="20"/>
          <w:szCs w:val="20"/>
        </w:rPr>
        <w:footnoteReference w:id="5"/>
      </w:r>
      <w:r w:rsidR="00505FAD">
        <w:rPr>
          <w:rFonts w:ascii="Arial" w:hAnsi="Arial" w:cs="Arial"/>
          <w:sz w:val="20"/>
          <w:szCs w:val="20"/>
        </w:rPr>
        <w:t xml:space="preserve"> </w:t>
      </w:r>
      <w:proofErr w:type="spellStart"/>
      <w:r w:rsidR="00505FAD">
        <w:rPr>
          <w:rFonts w:ascii="Arial" w:hAnsi="Arial" w:cs="Arial"/>
          <w:sz w:val="20"/>
          <w:szCs w:val="20"/>
        </w:rPr>
        <w:t>Rashi</w:t>
      </w:r>
      <w:proofErr w:type="spellEnd"/>
      <w:r w:rsidR="00505FAD">
        <w:rPr>
          <w:rFonts w:ascii="Arial" w:hAnsi="Arial" w:cs="Arial"/>
          <w:sz w:val="20"/>
          <w:szCs w:val="20"/>
        </w:rPr>
        <w:t xml:space="preserve"> selectively integrated rabbinic homiletics (</w:t>
      </w:r>
      <w:proofErr w:type="spellStart"/>
      <w:r w:rsidR="00505FAD">
        <w:rPr>
          <w:rFonts w:ascii="Arial" w:hAnsi="Arial" w:cs="Arial"/>
          <w:i/>
          <w:sz w:val="20"/>
          <w:szCs w:val="20"/>
        </w:rPr>
        <w:t>derash</w:t>
      </w:r>
      <w:proofErr w:type="spellEnd"/>
      <w:r w:rsidR="00505FAD">
        <w:rPr>
          <w:rFonts w:ascii="Arial" w:hAnsi="Arial" w:cs="Arial"/>
          <w:sz w:val="20"/>
          <w:szCs w:val="20"/>
        </w:rPr>
        <w:t>) with the literal meaning (</w:t>
      </w:r>
      <w:proofErr w:type="spellStart"/>
      <w:r w:rsidR="00505FAD">
        <w:rPr>
          <w:rFonts w:ascii="Arial" w:hAnsi="Arial" w:cs="Arial"/>
          <w:i/>
          <w:sz w:val="20"/>
          <w:szCs w:val="20"/>
        </w:rPr>
        <w:t>peshat</w:t>
      </w:r>
      <w:proofErr w:type="spellEnd"/>
      <w:r w:rsidR="00505FAD">
        <w:rPr>
          <w:rFonts w:ascii="Arial" w:hAnsi="Arial" w:cs="Arial"/>
          <w:sz w:val="20"/>
          <w:szCs w:val="20"/>
        </w:rPr>
        <w:t xml:space="preserve">) of the text, according to available rules of grammar and linguistics.  </w:t>
      </w:r>
      <w:proofErr w:type="spellStart"/>
      <w:r w:rsidR="00505FAD">
        <w:rPr>
          <w:rFonts w:ascii="Arial" w:hAnsi="Arial" w:cs="Arial"/>
          <w:sz w:val="20"/>
          <w:szCs w:val="20"/>
        </w:rPr>
        <w:t>Rashi</w:t>
      </w:r>
      <w:proofErr w:type="spellEnd"/>
      <w:r w:rsidR="00505FAD">
        <w:rPr>
          <w:rFonts w:ascii="Arial" w:hAnsi="Arial" w:cs="Arial"/>
          <w:sz w:val="20"/>
          <w:szCs w:val="20"/>
        </w:rPr>
        <w:t xml:space="preserve"> states, “There are many </w:t>
      </w:r>
      <w:proofErr w:type="spellStart"/>
      <w:r w:rsidR="00505FAD">
        <w:rPr>
          <w:rFonts w:ascii="Arial" w:hAnsi="Arial" w:cs="Arial"/>
          <w:i/>
          <w:sz w:val="20"/>
          <w:szCs w:val="20"/>
        </w:rPr>
        <w:t>midreshe</w:t>
      </w:r>
      <w:proofErr w:type="spellEnd"/>
      <w:r w:rsidR="00505FAD">
        <w:rPr>
          <w:rFonts w:ascii="Arial" w:hAnsi="Arial" w:cs="Arial"/>
          <w:i/>
          <w:sz w:val="20"/>
          <w:szCs w:val="20"/>
        </w:rPr>
        <w:t xml:space="preserve"> </w:t>
      </w:r>
      <w:proofErr w:type="spellStart"/>
      <w:r w:rsidR="00505FAD">
        <w:rPr>
          <w:rFonts w:ascii="Arial" w:hAnsi="Arial" w:cs="Arial"/>
          <w:i/>
          <w:sz w:val="20"/>
          <w:szCs w:val="20"/>
        </w:rPr>
        <w:t>aggadah</w:t>
      </w:r>
      <w:proofErr w:type="spellEnd"/>
      <w:r w:rsidR="00505FAD">
        <w:rPr>
          <w:rFonts w:ascii="Arial" w:hAnsi="Arial" w:cs="Arial"/>
          <w:sz w:val="20"/>
          <w:szCs w:val="20"/>
        </w:rPr>
        <w:t xml:space="preserve">… As for me, I am only concerned with the plain meaning of the Scriptures and with such </w:t>
      </w:r>
      <w:proofErr w:type="spellStart"/>
      <w:r w:rsidR="00505FAD">
        <w:rPr>
          <w:rFonts w:ascii="Arial" w:hAnsi="Arial" w:cs="Arial"/>
          <w:i/>
          <w:sz w:val="20"/>
          <w:szCs w:val="20"/>
        </w:rPr>
        <w:t>aggadah</w:t>
      </w:r>
      <w:proofErr w:type="spellEnd"/>
      <w:r w:rsidR="00505FAD">
        <w:rPr>
          <w:rFonts w:ascii="Arial" w:hAnsi="Arial" w:cs="Arial"/>
          <w:sz w:val="20"/>
          <w:szCs w:val="20"/>
        </w:rPr>
        <w:t xml:space="preserve"> as explain the biblical passages in a fitting manner.”</w:t>
      </w:r>
      <w:r w:rsidR="00505FAD">
        <w:rPr>
          <w:rStyle w:val="a6"/>
          <w:rFonts w:ascii="Arial" w:hAnsi="Arial" w:cs="Arial"/>
          <w:sz w:val="20"/>
          <w:szCs w:val="20"/>
        </w:rPr>
        <w:footnoteReference w:id="6"/>
      </w:r>
      <w:r w:rsidR="00505FAD">
        <w:rPr>
          <w:rFonts w:ascii="Arial" w:hAnsi="Arial" w:cs="Arial"/>
          <w:sz w:val="20"/>
          <w:szCs w:val="20"/>
        </w:rPr>
        <w:t xml:space="preserve">  Ibn Ezra, too, focused on the literal – grammatical and linguistic – textual meaning, but unlike </w:t>
      </w:r>
      <w:proofErr w:type="spellStart"/>
      <w:r w:rsidR="00505FAD">
        <w:rPr>
          <w:rFonts w:ascii="Arial" w:hAnsi="Arial" w:cs="Arial"/>
          <w:sz w:val="20"/>
          <w:szCs w:val="20"/>
        </w:rPr>
        <w:t>Rashi</w:t>
      </w:r>
      <w:proofErr w:type="spellEnd"/>
      <w:r w:rsidR="00505FAD">
        <w:rPr>
          <w:rFonts w:ascii="Arial" w:hAnsi="Arial" w:cs="Arial"/>
          <w:sz w:val="20"/>
          <w:szCs w:val="20"/>
        </w:rPr>
        <w:t xml:space="preserve">, he bypassed </w:t>
      </w:r>
      <w:proofErr w:type="spellStart"/>
      <w:r w:rsidR="00505FAD">
        <w:rPr>
          <w:rFonts w:ascii="Arial" w:hAnsi="Arial" w:cs="Arial"/>
          <w:i/>
          <w:iCs/>
          <w:sz w:val="20"/>
          <w:szCs w:val="20"/>
        </w:rPr>
        <w:t>d</w:t>
      </w:r>
      <w:r w:rsidR="00DC0A47">
        <w:rPr>
          <w:rFonts w:ascii="Arial" w:hAnsi="Arial" w:cs="Arial"/>
          <w:i/>
          <w:iCs/>
          <w:sz w:val="20"/>
          <w:szCs w:val="20"/>
        </w:rPr>
        <w:t>e</w:t>
      </w:r>
      <w:r w:rsidR="00505FAD">
        <w:rPr>
          <w:rFonts w:ascii="Arial" w:hAnsi="Arial" w:cs="Arial"/>
          <w:i/>
          <w:iCs/>
          <w:sz w:val="20"/>
          <w:szCs w:val="20"/>
        </w:rPr>
        <w:t>rash</w:t>
      </w:r>
      <w:proofErr w:type="spellEnd"/>
      <w:r w:rsidR="00505FAD">
        <w:rPr>
          <w:rFonts w:ascii="Arial" w:hAnsi="Arial" w:cs="Arial"/>
          <w:sz w:val="20"/>
          <w:szCs w:val="20"/>
        </w:rPr>
        <w:t xml:space="preserve"> interpretations, except for </w:t>
      </w:r>
      <w:r w:rsidR="00505FAD">
        <w:rPr>
          <w:rFonts w:ascii="Arial" w:hAnsi="Arial" w:cs="Arial"/>
          <w:i/>
          <w:sz w:val="20"/>
          <w:szCs w:val="20"/>
        </w:rPr>
        <w:t>halachic</w:t>
      </w:r>
      <w:r w:rsidR="00505FAD">
        <w:rPr>
          <w:rFonts w:ascii="Arial" w:hAnsi="Arial" w:cs="Arial"/>
          <w:sz w:val="20"/>
          <w:szCs w:val="20"/>
        </w:rPr>
        <w:t xml:space="preserve"> matters</w:t>
      </w:r>
      <w:r w:rsidR="00505FAD">
        <w:rPr>
          <w:rFonts w:ascii="Arial" w:hAnsi="Arial" w:cs="Arial"/>
          <w:sz w:val="22"/>
          <w:szCs w:val="22"/>
        </w:rPr>
        <w:t>.</w:t>
      </w:r>
      <w:r w:rsidR="00505FAD">
        <w:rPr>
          <w:rStyle w:val="a6"/>
          <w:rFonts w:ascii="Arial" w:hAnsi="Arial" w:cs="Arial"/>
          <w:sz w:val="22"/>
          <w:szCs w:val="22"/>
        </w:rPr>
        <w:footnoteReference w:id="7"/>
      </w:r>
      <w:r w:rsidR="00505FAD">
        <w:rPr>
          <w:rFonts w:ascii="Arial" w:hAnsi="Arial" w:cs="Arial"/>
          <w:sz w:val="20"/>
          <w:szCs w:val="20"/>
        </w:rPr>
        <w:t xml:space="preserve">  He states, “Only regarding laws and statutes will I rely on our early Sages, according to whose words I will correct the grammar… Only … [where] there is no mitzvah will I state the correct interpretations.”</w:t>
      </w:r>
      <w:r w:rsidR="00505FAD">
        <w:rPr>
          <w:rStyle w:val="a6"/>
          <w:rFonts w:ascii="Arial" w:hAnsi="Arial" w:cs="Arial"/>
          <w:sz w:val="20"/>
          <w:szCs w:val="20"/>
        </w:rPr>
        <w:footnoteReference w:id="8"/>
      </w:r>
    </w:p>
    <w:p w14:paraId="0E047F96" w14:textId="77777777" w:rsidR="00274B75" w:rsidRDefault="00505FAD" w:rsidP="006A5AE5">
      <w:pPr>
        <w:spacing w:line="480" w:lineRule="auto"/>
        <w:rPr>
          <w:rFonts w:ascii="Arial" w:hAnsi="Arial" w:cs="Arial"/>
          <w:sz w:val="20"/>
          <w:szCs w:val="20"/>
        </w:rPr>
      </w:pPr>
      <w:r>
        <w:rPr>
          <w:rFonts w:ascii="Arial" w:hAnsi="Arial" w:cs="Arial"/>
          <w:sz w:val="20"/>
          <w:szCs w:val="20"/>
        </w:rPr>
        <w:tab/>
        <w:t xml:space="preserve">How familiar was Ibn Ezra with </w:t>
      </w:r>
      <w:proofErr w:type="spellStart"/>
      <w:r>
        <w:rPr>
          <w:rFonts w:ascii="Arial" w:hAnsi="Arial" w:cs="Arial"/>
          <w:sz w:val="20"/>
          <w:szCs w:val="20"/>
        </w:rPr>
        <w:t>Rashi’s</w:t>
      </w:r>
      <w:proofErr w:type="spellEnd"/>
      <w:r>
        <w:rPr>
          <w:rFonts w:ascii="Arial" w:hAnsi="Arial" w:cs="Arial"/>
          <w:sz w:val="20"/>
          <w:szCs w:val="20"/>
        </w:rPr>
        <w:t xml:space="preserve"> biblical commentary?  Several factors contribute to a reasonable expectation that he would have acquainted himself with </w:t>
      </w:r>
      <w:proofErr w:type="spellStart"/>
      <w:r>
        <w:rPr>
          <w:rFonts w:ascii="Arial" w:hAnsi="Arial" w:cs="Arial"/>
          <w:sz w:val="20"/>
          <w:szCs w:val="20"/>
        </w:rPr>
        <w:t>Rashi’s</w:t>
      </w:r>
      <w:proofErr w:type="spellEnd"/>
      <w:r>
        <w:rPr>
          <w:rFonts w:ascii="Arial" w:hAnsi="Arial" w:cs="Arial"/>
          <w:sz w:val="20"/>
          <w:szCs w:val="20"/>
        </w:rPr>
        <w:t xml:space="preserve"> </w:t>
      </w:r>
      <w:proofErr w:type="spellStart"/>
      <w:r>
        <w:rPr>
          <w:rFonts w:ascii="Arial" w:hAnsi="Arial" w:cs="Arial"/>
          <w:i/>
          <w:iCs/>
          <w:sz w:val="20"/>
          <w:szCs w:val="20"/>
        </w:rPr>
        <w:t>perush</w:t>
      </w:r>
      <w:proofErr w:type="spellEnd"/>
      <w:r>
        <w:rPr>
          <w:rFonts w:ascii="Arial" w:hAnsi="Arial" w:cs="Arial"/>
          <w:sz w:val="20"/>
          <w:szCs w:val="20"/>
        </w:rPr>
        <w:t xml:space="preserve"> during his long residence in Christendom.  First, </w:t>
      </w:r>
      <w:proofErr w:type="spellStart"/>
      <w:r>
        <w:rPr>
          <w:rFonts w:ascii="Arial" w:hAnsi="Arial" w:cs="Arial"/>
          <w:sz w:val="20"/>
          <w:szCs w:val="20"/>
        </w:rPr>
        <w:t>Rashi’s</w:t>
      </w:r>
      <w:proofErr w:type="spellEnd"/>
      <w:r>
        <w:rPr>
          <w:rFonts w:ascii="Arial" w:hAnsi="Arial" w:cs="Arial"/>
          <w:sz w:val="20"/>
          <w:szCs w:val="20"/>
        </w:rPr>
        <w:t xml:space="preserve"> revered status among the Ashkenazic readers for whom Ibn Ezra now wrote his own </w:t>
      </w:r>
      <w:proofErr w:type="spellStart"/>
      <w:r>
        <w:rPr>
          <w:rFonts w:ascii="Arial" w:hAnsi="Arial" w:cs="Arial"/>
          <w:i/>
          <w:sz w:val="20"/>
          <w:szCs w:val="20"/>
        </w:rPr>
        <w:t>peshat</w:t>
      </w:r>
      <w:proofErr w:type="spellEnd"/>
      <w:r>
        <w:rPr>
          <w:rFonts w:ascii="Arial" w:hAnsi="Arial" w:cs="Arial"/>
          <w:sz w:val="20"/>
          <w:szCs w:val="20"/>
        </w:rPr>
        <w:t>-based commentary would have demanded no less from a practical consideration</w:t>
      </w:r>
      <w:r w:rsidRPr="00FC6964">
        <w:rPr>
          <w:rFonts w:ascii="Arial" w:hAnsi="Arial" w:cs="Arial"/>
          <w:sz w:val="20"/>
          <w:szCs w:val="20"/>
        </w:rPr>
        <w:t xml:space="preserve">.  </w:t>
      </w:r>
      <w:r w:rsidR="00FC6964">
        <w:rPr>
          <w:rFonts w:ascii="Arial" w:hAnsi="Arial" w:cs="Arial"/>
          <w:sz w:val="20"/>
          <w:szCs w:val="20"/>
        </w:rPr>
        <w:t>In addition</w:t>
      </w:r>
      <w:r w:rsidR="00DB397D" w:rsidRPr="00FC6964">
        <w:rPr>
          <w:rFonts w:ascii="Arial" w:hAnsi="Arial" w:cs="Arial"/>
          <w:sz w:val="20"/>
          <w:szCs w:val="20"/>
        </w:rPr>
        <w:t xml:space="preserve">, Ibn Ezra’s total financial dependence on his Ashkenazic patrons, whom (or </w:t>
      </w:r>
      <w:r w:rsidR="00DB397D" w:rsidRPr="00FC6964">
        <w:rPr>
          <w:rFonts w:ascii="Arial" w:hAnsi="Arial" w:cs="Arial"/>
          <w:sz w:val="20"/>
          <w:szCs w:val="20"/>
        </w:rPr>
        <w:lastRenderedPageBreak/>
        <w:t xml:space="preserve">whose sons) he tutored in Bible studies and Hebrew grammar, should have necessitated an acquaintance with </w:t>
      </w:r>
      <w:proofErr w:type="spellStart"/>
      <w:r w:rsidR="00DB397D" w:rsidRPr="00FC6964">
        <w:rPr>
          <w:rFonts w:ascii="Arial" w:hAnsi="Arial" w:cs="Arial"/>
          <w:sz w:val="20"/>
          <w:szCs w:val="20"/>
        </w:rPr>
        <w:t>Rashi</w:t>
      </w:r>
      <w:proofErr w:type="spellEnd"/>
      <w:r w:rsidR="00DB397D" w:rsidRPr="00FC6964">
        <w:rPr>
          <w:rFonts w:ascii="Arial" w:hAnsi="Arial" w:cs="Arial"/>
          <w:sz w:val="20"/>
          <w:szCs w:val="20"/>
        </w:rPr>
        <w:t xml:space="preserve"> for practical, economic reasons</w:t>
      </w:r>
      <w:r w:rsidR="00DB397D">
        <w:rPr>
          <w:rFonts w:ascii="Arial" w:hAnsi="Arial" w:cs="Arial"/>
          <w:sz w:val="20"/>
          <w:szCs w:val="20"/>
        </w:rPr>
        <w:t>.  Finally</w:t>
      </w:r>
      <w:r>
        <w:rPr>
          <w:rFonts w:ascii="Arial" w:hAnsi="Arial" w:cs="Arial"/>
          <w:sz w:val="20"/>
          <w:szCs w:val="20"/>
        </w:rPr>
        <w:t>,</w:t>
      </w:r>
      <w:r w:rsidR="00FC6964">
        <w:rPr>
          <w:rFonts w:ascii="Arial" w:hAnsi="Arial" w:cs="Arial"/>
          <w:sz w:val="20"/>
          <w:szCs w:val="20"/>
        </w:rPr>
        <w:t xml:space="preserve"> hi</w:t>
      </w:r>
      <w:r>
        <w:rPr>
          <w:rFonts w:ascii="Arial" w:hAnsi="Arial" w:cs="Arial"/>
          <w:sz w:val="20"/>
          <w:szCs w:val="20"/>
        </w:rPr>
        <w:t>s</w:t>
      </w:r>
      <w:r w:rsidR="00FC6964">
        <w:rPr>
          <w:rFonts w:ascii="Arial" w:hAnsi="Arial" w:cs="Arial"/>
          <w:sz w:val="20"/>
          <w:szCs w:val="20"/>
        </w:rPr>
        <w:t xml:space="preserve"> </w:t>
      </w:r>
      <w:r>
        <w:rPr>
          <w:rFonts w:ascii="Arial" w:hAnsi="Arial" w:cs="Arial"/>
          <w:sz w:val="20"/>
          <w:szCs w:val="20"/>
        </w:rPr>
        <w:t>near-encyclopedic</w:t>
      </w:r>
      <w:r w:rsidR="006A5AE5">
        <w:rPr>
          <w:rFonts w:ascii="Arial" w:hAnsi="Arial" w:cs="Arial"/>
          <w:sz w:val="20"/>
          <w:szCs w:val="20"/>
        </w:rPr>
        <w:t xml:space="preserve"> and comprehensive</w:t>
      </w:r>
      <w:r w:rsidR="00DB397D">
        <w:rPr>
          <w:rFonts w:ascii="Arial" w:hAnsi="Arial" w:cs="Arial"/>
          <w:sz w:val="20"/>
          <w:szCs w:val="20"/>
        </w:rPr>
        <w:t xml:space="preserve"> </w:t>
      </w:r>
      <w:r w:rsidR="006A5AE5">
        <w:rPr>
          <w:rFonts w:ascii="Arial" w:hAnsi="Arial" w:cs="Arial"/>
          <w:sz w:val="20"/>
          <w:szCs w:val="20"/>
        </w:rPr>
        <w:t>knowledge</w:t>
      </w:r>
      <w:r>
        <w:rPr>
          <w:rFonts w:ascii="Arial" w:hAnsi="Arial" w:cs="Arial"/>
          <w:sz w:val="20"/>
          <w:szCs w:val="20"/>
        </w:rPr>
        <w:t xml:space="preserve"> of biblical exegesis</w:t>
      </w:r>
      <w:r w:rsidR="00FC6964">
        <w:rPr>
          <w:rFonts w:ascii="Arial" w:hAnsi="Arial" w:cs="Arial"/>
          <w:sz w:val="20"/>
          <w:szCs w:val="20"/>
        </w:rPr>
        <w:t>,</w:t>
      </w:r>
      <w:r w:rsidR="00DB397D">
        <w:rPr>
          <w:rFonts w:ascii="Arial" w:hAnsi="Arial" w:cs="Arial"/>
          <w:sz w:val="20"/>
          <w:szCs w:val="20"/>
        </w:rPr>
        <w:t xml:space="preserve"> across ideological divides</w:t>
      </w:r>
      <w:r w:rsidR="00FC6964">
        <w:rPr>
          <w:rFonts w:ascii="Arial" w:hAnsi="Arial" w:cs="Arial"/>
          <w:sz w:val="20"/>
          <w:szCs w:val="20"/>
        </w:rPr>
        <w:t>,</w:t>
      </w:r>
      <w:r w:rsidR="00D550C7">
        <w:rPr>
          <w:rFonts w:ascii="Arial" w:hAnsi="Arial" w:cs="Arial"/>
          <w:sz w:val="20"/>
          <w:szCs w:val="20"/>
        </w:rPr>
        <w:t xml:space="preserve"> </w:t>
      </w:r>
      <w:r w:rsidR="00DB397D">
        <w:rPr>
          <w:rFonts w:ascii="Arial" w:hAnsi="Arial" w:cs="Arial"/>
          <w:sz w:val="20"/>
          <w:szCs w:val="20"/>
        </w:rPr>
        <w:t>w</w:t>
      </w:r>
      <w:r>
        <w:rPr>
          <w:rFonts w:ascii="Arial" w:hAnsi="Arial" w:cs="Arial"/>
          <w:sz w:val="20"/>
          <w:szCs w:val="20"/>
        </w:rPr>
        <w:t>ould have called for</w:t>
      </w:r>
      <w:r w:rsidR="00FC6964">
        <w:rPr>
          <w:rFonts w:ascii="Arial" w:hAnsi="Arial" w:cs="Arial"/>
          <w:sz w:val="20"/>
          <w:szCs w:val="20"/>
        </w:rPr>
        <w:t xml:space="preserve"> </w:t>
      </w:r>
      <w:r w:rsidR="006A5AE5">
        <w:rPr>
          <w:rFonts w:ascii="Arial" w:hAnsi="Arial" w:cs="Arial"/>
          <w:sz w:val="20"/>
          <w:szCs w:val="20"/>
        </w:rPr>
        <w:t>familiarity with</w:t>
      </w:r>
      <w:r w:rsidR="00FC6964">
        <w:rPr>
          <w:rFonts w:ascii="Arial" w:hAnsi="Arial" w:cs="Arial"/>
          <w:sz w:val="20"/>
          <w:szCs w:val="20"/>
        </w:rPr>
        <w:t xml:space="preserve"> </w:t>
      </w:r>
      <w:proofErr w:type="spellStart"/>
      <w:r w:rsidR="00FC6964">
        <w:rPr>
          <w:rFonts w:ascii="Arial" w:hAnsi="Arial" w:cs="Arial"/>
          <w:sz w:val="20"/>
          <w:szCs w:val="20"/>
        </w:rPr>
        <w:t>Rashi</w:t>
      </w:r>
      <w:proofErr w:type="spellEnd"/>
      <w:r w:rsidR="00FC6964">
        <w:rPr>
          <w:rFonts w:ascii="Arial" w:hAnsi="Arial" w:cs="Arial"/>
          <w:sz w:val="20"/>
          <w:szCs w:val="20"/>
        </w:rPr>
        <w:t xml:space="preserve"> as an added venue for truth</w:t>
      </w:r>
      <w:r w:rsidR="006A5AE5">
        <w:rPr>
          <w:rFonts w:ascii="Arial" w:hAnsi="Arial" w:cs="Arial"/>
          <w:sz w:val="20"/>
          <w:szCs w:val="20"/>
        </w:rPr>
        <w:t>.</w:t>
      </w:r>
      <w:r>
        <w:rPr>
          <w:rFonts w:ascii="Arial" w:hAnsi="Arial" w:cs="Arial"/>
          <w:sz w:val="20"/>
          <w:szCs w:val="20"/>
        </w:rPr>
        <w:t xml:space="preserve"> </w:t>
      </w:r>
      <w:r w:rsidR="005A06DC">
        <w:rPr>
          <w:rFonts w:ascii="Arial" w:hAnsi="Arial" w:cs="Arial"/>
          <w:sz w:val="20"/>
          <w:szCs w:val="20"/>
        </w:rPr>
        <w:t xml:space="preserve"> </w:t>
      </w:r>
      <w:r>
        <w:rPr>
          <w:rFonts w:ascii="Arial" w:hAnsi="Arial" w:cs="Arial"/>
          <w:sz w:val="20"/>
          <w:szCs w:val="20"/>
        </w:rPr>
        <w:t xml:space="preserve">Indeed, </w:t>
      </w:r>
      <w:r w:rsidR="00FC6964">
        <w:rPr>
          <w:rFonts w:ascii="Arial" w:hAnsi="Arial" w:cs="Arial"/>
          <w:sz w:val="20"/>
          <w:szCs w:val="20"/>
        </w:rPr>
        <w:t>Ibn Ezra’s</w:t>
      </w:r>
      <w:r>
        <w:rPr>
          <w:rFonts w:ascii="Arial" w:hAnsi="Arial" w:cs="Arial"/>
          <w:sz w:val="20"/>
          <w:szCs w:val="20"/>
        </w:rPr>
        <w:t xml:space="preserve"> </w:t>
      </w:r>
      <w:r w:rsidR="00DB397D">
        <w:rPr>
          <w:rFonts w:ascii="Arial" w:hAnsi="Arial" w:cs="Arial"/>
          <w:sz w:val="20"/>
          <w:szCs w:val="20"/>
        </w:rPr>
        <w:t xml:space="preserve">uncompromising quest for </w:t>
      </w:r>
      <w:r w:rsidR="00DB397D" w:rsidRPr="00274B75">
        <w:rPr>
          <w:rFonts w:ascii="Arial" w:hAnsi="Arial" w:cs="Arial"/>
          <w:sz w:val="20"/>
          <w:szCs w:val="20"/>
        </w:rPr>
        <w:t>intellectual honesty</w:t>
      </w:r>
      <w:r w:rsidR="00DB397D">
        <w:rPr>
          <w:rFonts w:ascii="Arial" w:hAnsi="Arial" w:cs="Arial"/>
          <w:sz w:val="20"/>
          <w:szCs w:val="20"/>
        </w:rPr>
        <w:t xml:space="preserve"> </w:t>
      </w:r>
      <w:r w:rsidR="00747464">
        <w:rPr>
          <w:rFonts w:ascii="Arial" w:hAnsi="Arial" w:cs="Arial"/>
          <w:sz w:val="20"/>
          <w:szCs w:val="20"/>
        </w:rPr>
        <w:t>is</w:t>
      </w:r>
      <w:r w:rsidR="00DB397D">
        <w:rPr>
          <w:rFonts w:ascii="Arial" w:hAnsi="Arial" w:cs="Arial"/>
          <w:sz w:val="20"/>
          <w:szCs w:val="20"/>
        </w:rPr>
        <w:t xml:space="preserve"> underscored in his </w:t>
      </w:r>
      <w:r w:rsidR="00BF20B9">
        <w:rPr>
          <w:rFonts w:ascii="Arial" w:hAnsi="Arial" w:cs="Arial"/>
          <w:sz w:val="20"/>
          <w:szCs w:val="20"/>
        </w:rPr>
        <w:t xml:space="preserve">nearly </w:t>
      </w:r>
      <w:r>
        <w:rPr>
          <w:rFonts w:ascii="Arial" w:hAnsi="Arial" w:cs="Arial"/>
          <w:sz w:val="20"/>
          <w:szCs w:val="20"/>
        </w:rPr>
        <w:t>identical</w:t>
      </w:r>
      <w:r w:rsidR="00DB397D">
        <w:rPr>
          <w:rFonts w:ascii="Arial" w:hAnsi="Arial" w:cs="Arial"/>
          <w:sz w:val="20"/>
          <w:szCs w:val="20"/>
        </w:rPr>
        <w:t xml:space="preserve"> statements</w:t>
      </w:r>
      <w:r>
        <w:rPr>
          <w:rFonts w:ascii="Arial" w:hAnsi="Arial" w:cs="Arial"/>
          <w:sz w:val="20"/>
          <w:szCs w:val="20"/>
        </w:rPr>
        <w:t xml:space="preserve"> in both </w:t>
      </w:r>
      <w:r w:rsidR="00FC6964">
        <w:rPr>
          <w:rFonts w:ascii="Arial" w:hAnsi="Arial" w:cs="Arial"/>
          <w:sz w:val="20"/>
          <w:szCs w:val="20"/>
        </w:rPr>
        <w:t xml:space="preserve">of </w:t>
      </w:r>
      <w:r>
        <w:rPr>
          <w:rFonts w:ascii="Arial" w:hAnsi="Arial" w:cs="Arial"/>
          <w:sz w:val="20"/>
          <w:szCs w:val="20"/>
        </w:rPr>
        <w:t>his Introductions to the Pentateuch</w:t>
      </w:r>
      <w:r w:rsidR="00DB397D">
        <w:rPr>
          <w:rFonts w:ascii="Arial" w:hAnsi="Arial" w:cs="Arial"/>
          <w:sz w:val="20"/>
          <w:szCs w:val="20"/>
        </w:rPr>
        <w:t>:</w:t>
      </w:r>
      <w:r>
        <w:rPr>
          <w:rFonts w:ascii="Arial" w:hAnsi="Arial" w:cs="Arial"/>
          <w:sz w:val="20"/>
          <w:szCs w:val="20"/>
        </w:rPr>
        <w:t xml:space="preserve"> “It is God alone that I fear, and I will not show </w:t>
      </w:r>
      <w:r w:rsidRPr="006A5AE5">
        <w:rPr>
          <w:rFonts w:ascii="Arial" w:hAnsi="Arial" w:cs="Arial"/>
          <w:sz w:val="20"/>
          <w:szCs w:val="20"/>
        </w:rPr>
        <w:t>favoritism</w:t>
      </w:r>
      <w:r>
        <w:rPr>
          <w:rFonts w:ascii="Arial" w:hAnsi="Arial" w:cs="Arial"/>
          <w:sz w:val="20"/>
          <w:szCs w:val="20"/>
        </w:rPr>
        <w:t xml:space="preserve"> in [the realm] of Torah.”</w:t>
      </w:r>
      <w:r>
        <w:rPr>
          <w:rStyle w:val="a6"/>
          <w:rFonts w:ascii="Arial" w:hAnsi="Arial" w:cs="Arial"/>
          <w:sz w:val="20"/>
          <w:szCs w:val="20"/>
        </w:rPr>
        <w:footnoteReference w:id="9"/>
      </w:r>
      <w:r>
        <w:rPr>
          <w:rFonts w:ascii="Arial" w:hAnsi="Arial" w:cs="Arial"/>
          <w:sz w:val="20"/>
          <w:szCs w:val="20"/>
        </w:rPr>
        <w:t xml:space="preserve">  </w:t>
      </w:r>
    </w:p>
    <w:p w14:paraId="5D9F46A0" w14:textId="501EB3FA" w:rsidR="00505FAD" w:rsidRDefault="00505FAD" w:rsidP="00505FAD">
      <w:pPr>
        <w:spacing w:line="480" w:lineRule="auto"/>
        <w:ind w:firstLine="720"/>
        <w:rPr>
          <w:rFonts w:ascii="Arial" w:hAnsi="Arial" w:cs="Arial"/>
          <w:sz w:val="16"/>
          <w:szCs w:val="16"/>
        </w:rPr>
      </w:pPr>
      <w:r>
        <w:rPr>
          <w:rFonts w:ascii="Arial" w:hAnsi="Arial" w:cs="Arial"/>
          <w:sz w:val="20"/>
          <w:szCs w:val="20"/>
        </w:rPr>
        <w:t xml:space="preserve">Contrary to expectations, direct references to </w:t>
      </w:r>
      <w:proofErr w:type="spellStart"/>
      <w:r>
        <w:rPr>
          <w:rFonts w:ascii="Arial" w:hAnsi="Arial" w:cs="Arial"/>
          <w:sz w:val="20"/>
          <w:szCs w:val="20"/>
        </w:rPr>
        <w:t>Rashi</w:t>
      </w:r>
      <w:proofErr w:type="spellEnd"/>
      <w:r>
        <w:rPr>
          <w:rFonts w:ascii="Arial" w:hAnsi="Arial" w:cs="Arial"/>
          <w:sz w:val="20"/>
          <w:szCs w:val="20"/>
        </w:rPr>
        <w:t xml:space="preserve"> by Ibn Ezra are scant</w:t>
      </w:r>
      <w:r w:rsidR="00DC0A47">
        <w:rPr>
          <w:rFonts w:ascii="Arial" w:hAnsi="Arial" w:cs="Arial"/>
          <w:sz w:val="20"/>
          <w:szCs w:val="20"/>
        </w:rPr>
        <w:t>, with</w:t>
      </w:r>
      <w:r>
        <w:rPr>
          <w:rFonts w:ascii="Arial" w:hAnsi="Arial" w:cs="Arial"/>
          <w:sz w:val="20"/>
          <w:szCs w:val="20"/>
        </w:rPr>
        <w:t xml:space="preserve"> only fourteen or fifteen in his entire Torah commentary.</w:t>
      </w:r>
      <w:r>
        <w:rPr>
          <w:rStyle w:val="a6"/>
          <w:rFonts w:ascii="Arial" w:hAnsi="Arial" w:cs="Arial"/>
          <w:sz w:val="20"/>
          <w:szCs w:val="20"/>
        </w:rPr>
        <w:footnoteReference w:id="10"/>
      </w:r>
      <w:r>
        <w:rPr>
          <w:rFonts w:ascii="Arial" w:hAnsi="Arial" w:cs="Arial"/>
          <w:sz w:val="20"/>
          <w:szCs w:val="20"/>
        </w:rPr>
        <w:t xml:space="preserve">  According to Ibn Ezra-scholar Aaron Mondschein, Ibn Ezra’s only other direct reference to </w:t>
      </w:r>
      <w:proofErr w:type="spellStart"/>
      <w:r>
        <w:rPr>
          <w:rFonts w:ascii="Arial" w:hAnsi="Arial" w:cs="Arial"/>
          <w:sz w:val="20"/>
          <w:szCs w:val="20"/>
        </w:rPr>
        <w:t>Rashi</w:t>
      </w:r>
      <w:proofErr w:type="spellEnd"/>
      <w:r>
        <w:rPr>
          <w:rFonts w:ascii="Arial" w:hAnsi="Arial" w:cs="Arial"/>
          <w:sz w:val="20"/>
          <w:szCs w:val="20"/>
        </w:rPr>
        <w:t xml:space="preserve"> is </w:t>
      </w:r>
      <w:r w:rsidR="00DC0A47">
        <w:rPr>
          <w:rFonts w:ascii="Arial" w:hAnsi="Arial" w:cs="Arial"/>
          <w:sz w:val="20"/>
          <w:szCs w:val="20"/>
        </w:rPr>
        <w:t xml:space="preserve">found </w:t>
      </w:r>
      <w:r>
        <w:rPr>
          <w:rFonts w:ascii="Arial" w:hAnsi="Arial" w:cs="Arial"/>
          <w:sz w:val="20"/>
          <w:szCs w:val="20"/>
        </w:rPr>
        <w:t xml:space="preserve">in his grammatical work, </w:t>
      </w:r>
      <w:proofErr w:type="spellStart"/>
      <w:r>
        <w:rPr>
          <w:rFonts w:ascii="Arial" w:hAnsi="Arial" w:cs="Arial"/>
          <w:i/>
          <w:sz w:val="20"/>
          <w:szCs w:val="20"/>
        </w:rPr>
        <w:t>Safah</w:t>
      </w:r>
      <w:proofErr w:type="spellEnd"/>
      <w:r>
        <w:rPr>
          <w:rFonts w:ascii="Arial" w:hAnsi="Arial" w:cs="Arial"/>
          <w:i/>
          <w:sz w:val="20"/>
          <w:szCs w:val="20"/>
        </w:rPr>
        <w:t xml:space="preserve"> </w:t>
      </w:r>
      <w:proofErr w:type="spellStart"/>
      <w:r>
        <w:rPr>
          <w:rFonts w:ascii="Arial" w:hAnsi="Arial" w:cs="Arial"/>
          <w:i/>
          <w:sz w:val="20"/>
          <w:szCs w:val="20"/>
        </w:rPr>
        <w:t>Berurah</w:t>
      </w:r>
      <w:proofErr w:type="spellEnd"/>
      <w:r>
        <w:rPr>
          <w:rFonts w:ascii="Arial" w:hAnsi="Arial" w:cs="Arial"/>
          <w:sz w:val="20"/>
          <w:szCs w:val="20"/>
        </w:rPr>
        <w:t xml:space="preserve">, in which he scathingly attacks </w:t>
      </w:r>
      <w:proofErr w:type="spellStart"/>
      <w:r>
        <w:rPr>
          <w:rFonts w:ascii="Arial" w:hAnsi="Arial" w:cs="Arial"/>
          <w:sz w:val="20"/>
          <w:szCs w:val="20"/>
        </w:rPr>
        <w:t>Rashi’s</w:t>
      </w:r>
      <w:proofErr w:type="spellEnd"/>
      <w:r>
        <w:rPr>
          <w:rFonts w:ascii="Arial" w:hAnsi="Arial" w:cs="Arial"/>
          <w:sz w:val="20"/>
          <w:szCs w:val="20"/>
        </w:rPr>
        <w:t xml:space="preserve"> biblical commentary and claims that “only one in a thousand of his comments may be called </w:t>
      </w:r>
      <w:proofErr w:type="spellStart"/>
      <w:r>
        <w:rPr>
          <w:rFonts w:ascii="Arial" w:hAnsi="Arial" w:cs="Arial"/>
          <w:i/>
          <w:sz w:val="20"/>
          <w:szCs w:val="20"/>
        </w:rPr>
        <w:t>peshat</w:t>
      </w:r>
      <w:proofErr w:type="spellEnd"/>
      <w:r>
        <w:rPr>
          <w:rFonts w:ascii="Arial" w:hAnsi="Arial" w:cs="Arial"/>
          <w:sz w:val="20"/>
          <w:szCs w:val="20"/>
        </w:rPr>
        <w:t>.”</w:t>
      </w:r>
      <w:r>
        <w:rPr>
          <w:rStyle w:val="a6"/>
          <w:rFonts w:ascii="Arial" w:hAnsi="Arial" w:cs="Arial"/>
          <w:sz w:val="20"/>
          <w:szCs w:val="20"/>
        </w:rPr>
        <w:footnoteReference w:id="11"/>
      </w:r>
      <w:r>
        <w:rPr>
          <w:rFonts w:ascii="Arial" w:hAnsi="Arial" w:cs="Arial"/>
          <w:sz w:val="20"/>
          <w:szCs w:val="20"/>
        </w:rPr>
        <w:t xml:space="preserve">  In this work, Ibn Ezra explained that the Talmudic Sages had used </w:t>
      </w:r>
      <w:proofErr w:type="spellStart"/>
      <w:r>
        <w:rPr>
          <w:rFonts w:ascii="Arial" w:hAnsi="Arial" w:cs="Arial"/>
          <w:i/>
          <w:sz w:val="20"/>
          <w:szCs w:val="20"/>
        </w:rPr>
        <w:t>derash</w:t>
      </w:r>
      <w:proofErr w:type="spellEnd"/>
      <w:r>
        <w:rPr>
          <w:rFonts w:ascii="Arial" w:hAnsi="Arial" w:cs="Arial"/>
          <w:sz w:val="20"/>
          <w:szCs w:val="20"/>
        </w:rPr>
        <w:t xml:space="preserve"> as one of many exegetical approaches, never intending for it to negate or replace the text’s true, literal meaning</w:t>
      </w:r>
      <w:r>
        <w:rPr>
          <w:rFonts w:ascii="Arial" w:hAnsi="Arial" w:cs="Arial"/>
          <w:sz w:val="16"/>
          <w:szCs w:val="16"/>
        </w:rPr>
        <w:t xml:space="preserve">  </w:t>
      </w:r>
      <w:r>
        <w:rPr>
          <w:rFonts w:ascii="Arial" w:hAnsi="Arial" w:cs="Arial"/>
          <w:sz w:val="20"/>
          <w:szCs w:val="20"/>
        </w:rPr>
        <w:t>(</w:t>
      </w:r>
      <w:r>
        <w:rPr>
          <w:rFonts w:ascii="FrankRuehl" w:eastAsiaTheme="minorHAnsi" w:hAnsi="FrankRuehl" w:cs="FrankRuehl"/>
          <w:color w:val="000000"/>
          <w:sz w:val="28"/>
          <w:szCs w:val="28"/>
          <w:rtl/>
          <w:lang w:bidi="he-IL"/>
        </w:rPr>
        <w:t>אין מקרא יוצא מידי פשוטו</w:t>
      </w:r>
      <w:r>
        <w:rPr>
          <w:rFonts w:ascii="Arial" w:hAnsi="Arial" w:cs="Arial"/>
          <w:sz w:val="20"/>
          <w:szCs w:val="20"/>
        </w:rPr>
        <w:t>).</w:t>
      </w:r>
      <w:r>
        <w:rPr>
          <w:rFonts w:ascii="Arial" w:hAnsi="Arial" w:cs="Arial"/>
          <w:sz w:val="16"/>
          <w:szCs w:val="16"/>
        </w:rPr>
        <w:t xml:space="preserve">  </w:t>
      </w:r>
      <w:r>
        <w:rPr>
          <w:rFonts w:ascii="Arial" w:hAnsi="Arial" w:cs="Arial"/>
          <w:sz w:val="20"/>
          <w:szCs w:val="20"/>
        </w:rPr>
        <w:t xml:space="preserve">He claimed that later Ashkenazic generations veered from the truth by using </w:t>
      </w:r>
      <w:r w:rsidR="008A56F0">
        <w:rPr>
          <w:rFonts w:ascii="Arial" w:hAnsi="Arial" w:cs="Arial"/>
          <w:sz w:val="20"/>
          <w:szCs w:val="20"/>
        </w:rPr>
        <w:t>r</w:t>
      </w:r>
      <w:r>
        <w:rPr>
          <w:rFonts w:ascii="Arial" w:hAnsi="Arial" w:cs="Arial"/>
          <w:sz w:val="20"/>
          <w:szCs w:val="20"/>
        </w:rPr>
        <w:t>abbinic homilies exclusively and mistaking them for the true</w:t>
      </w:r>
      <w:r w:rsidR="00DC0A47">
        <w:rPr>
          <w:rFonts w:ascii="Arial" w:hAnsi="Arial" w:cs="Arial"/>
          <w:sz w:val="20"/>
          <w:szCs w:val="20"/>
        </w:rPr>
        <w:t>,</w:t>
      </w:r>
      <w:r>
        <w:rPr>
          <w:rFonts w:ascii="Arial" w:hAnsi="Arial" w:cs="Arial"/>
          <w:sz w:val="20"/>
          <w:szCs w:val="20"/>
        </w:rPr>
        <w:t xml:space="preserve"> plain meaning, as did </w:t>
      </w:r>
      <w:proofErr w:type="spellStart"/>
      <w:r>
        <w:rPr>
          <w:rFonts w:ascii="Arial" w:hAnsi="Arial" w:cs="Arial"/>
          <w:sz w:val="20"/>
          <w:szCs w:val="20"/>
        </w:rPr>
        <w:t>Rashi</w:t>
      </w:r>
      <w:proofErr w:type="spellEnd"/>
      <w:r>
        <w:rPr>
          <w:rFonts w:ascii="Arial" w:hAnsi="Arial" w:cs="Arial"/>
          <w:sz w:val="20"/>
          <w:szCs w:val="20"/>
        </w:rPr>
        <w:t xml:space="preserve">. Moreover, he contended that the current spiritual leadership that extolled </w:t>
      </w:r>
      <w:proofErr w:type="spellStart"/>
      <w:r>
        <w:rPr>
          <w:rFonts w:ascii="Arial" w:hAnsi="Arial" w:cs="Arial"/>
          <w:sz w:val="20"/>
          <w:szCs w:val="20"/>
        </w:rPr>
        <w:t>Rashi</w:t>
      </w:r>
      <w:proofErr w:type="spellEnd"/>
      <w:r>
        <w:rPr>
          <w:rFonts w:ascii="Arial" w:hAnsi="Arial" w:cs="Arial"/>
          <w:sz w:val="20"/>
          <w:szCs w:val="20"/>
        </w:rPr>
        <w:t xml:space="preserve"> as a literalist compounded the distortion.</w:t>
      </w:r>
      <w:r>
        <w:rPr>
          <w:rStyle w:val="a6"/>
          <w:rFonts w:ascii="Arial" w:hAnsi="Arial" w:cs="Arial"/>
          <w:sz w:val="20"/>
          <w:szCs w:val="20"/>
        </w:rPr>
        <w:footnoteReference w:id="12"/>
      </w:r>
      <w:r>
        <w:rPr>
          <w:rFonts w:ascii="Arial" w:hAnsi="Arial" w:cs="Arial"/>
          <w:sz w:val="20"/>
          <w:szCs w:val="20"/>
        </w:rPr>
        <w:t xml:space="preserve"> </w:t>
      </w:r>
    </w:p>
    <w:p w14:paraId="42655D9D" w14:textId="634A8F6E" w:rsidR="00505FAD" w:rsidRDefault="00505FAD" w:rsidP="00505FAD">
      <w:pPr>
        <w:spacing w:line="480" w:lineRule="auto"/>
        <w:ind w:firstLine="720"/>
        <w:rPr>
          <w:rFonts w:ascii="Arial" w:hAnsi="Arial" w:cs="Arial"/>
          <w:sz w:val="20"/>
          <w:szCs w:val="20"/>
        </w:rPr>
      </w:pPr>
      <w:r>
        <w:rPr>
          <w:rFonts w:ascii="Arial" w:hAnsi="Arial" w:cs="Arial"/>
          <w:sz w:val="20"/>
          <w:szCs w:val="20"/>
        </w:rPr>
        <w:t xml:space="preserve">In light of these surprising facts, Ibn Ezra’s level of familiarity with </w:t>
      </w:r>
      <w:proofErr w:type="spellStart"/>
      <w:r>
        <w:rPr>
          <w:rFonts w:ascii="Arial" w:hAnsi="Arial" w:cs="Arial"/>
          <w:sz w:val="20"/>
          <w:szCs w:val="20"/>
        </w:rPr>
        <w:t>Rashi’s</w:t>
      </w:r>
      <w:proofErr w:type="spellEnd"/>
      <w:r>
        <w:rPr>
          <w:rFonts w:ascii="Arial" w:hAnsi="Arial" w:cs="Arial"/>
          <w:sz w:val="20"/>
          <w:szCs w:val="20"/>
        </w:rPr>
        <w:t xml:space="preserve"> biblical </w:t>
      </w:r>
      <w:proofErr w:type="spellStart"/>
      <w:r>
        <w:rPr>
          <w:rFonts w:ascii="Arial" w:hAnsi="Arial" w:cs="Arial"/>
          <w:i/>
          <w:iCs/>
          <w:sz w:val="20"/>
          <w:szCs w:val="20"/>
        </w:rPr>
        <w:t>perush</w:t>
      </w:r>
      <w:proofErr w:type="spellEnd"/>
      <w:r>
        <w:rPr>
          <w:rFonts w:ascii="Arial" w:hAnsi="Arial" w:cs="Arial"/>
          <w:sz w:val="20"/>
          <w:szCs w:val="20"/>
        </w:rPr>
        <w:t xml:space="preserve"> is speculative and the source of a scholarly dispute between Mondschein and historian and Ibn Ezra scholar Uriel Simon. Though both scholars analyze Ibn Ezra’s biblical and grammatical works for traces of Ashkenazic references in general, and </w:t>
      </w:r>
      <w:proofErr w:type="spellStart"/>
      <w:r>
        <w:rPr>
          <w:rFonts w:ascii="Arial" w:hAnsi="Arial" w:cs="Arial"/>
          <w:sz w:val="20"/>
          <w:szCs w:val="20"/>
        </w:rPr>
        <w:t>Rashi</w:t>
      </w:r>
      <w:proofErr w:type="spellEnd"/>
      <w:r>
        <w:rPr>
          <w:rFonts w:ascii="Arial" w:hAnsi="Arial" w:cs="Arial"/>
          <w:sz w:val="20"/>
          <w:szCs w:val="20"/>
        </w:rPr>
        <w:t xml:space="preserve"> references in particular, they arrive at opposite conclusions.</w:t>
      </w:r>
      <w:r w:rsidR="00526F15">
        <w:rPr>
          <w:rStyle w:val="a6"/>
          <w:rFonts w:ascii="Arial" w:hAnsi="Arial" w:cs="Arial"/>
          <w:sz w:val="20"/>
          <w:szCs w:val="20"/>
        </w:rPr>
        <w:footnoteReference w:id="13"/>
      </w:r>
      <w:r>
        <w:rPr>
          <w:rFonts w:ascii="Arial" w:hAnsi="Arial" w:cs="Arial"/>
          <w:sz w:val="20"/>
          <w:szCs w:val="20"/>
        </w:rPr>
        <w:t xml:space="preserve">  Simon contends that Ibn Ezra did not bother to fully or systematically acquaint himself with </w:t>
      </w:r>
      <w:r>
        <w:rPr>
          <w:rFonts w:ascii="Arial" w:hAnsi="Arial" w:cs="Arial"/>
          <w:sz w:val="20"/>
          <w:szCs w:val="20"/>
        </w:rPr>
        <w:lastRenderedPageBreak/>
        <w:t xml:space="preserve">the exegetical </w:t>
      </w:r>
      <w:proofErr w:type="spellStart"/>
      <w:r>
        <w:rPr>
          <w:rFonts w:ascii="Arial" w:hAnsi="Arial" w:cs="Arial"/>
          <w:i/>
          <w:iCs/>
          <w:sz w:val="20"/>
          <w:szCs w:val="20"/>
        </w:rPr>
        <w:t>peshat</w:t>
      </w:r>
      <w:proofErr w:type="spellEnd"/>
      <w:r>
        <w:rPr>
          <w:rFonts w:ascii="Arial" w:hAnsi="Arial" w:cs="Arial"/>
          <w:sz w:val="20"/>
          <w:szCs w:val="20"/>
        </w:rPr>
        <w:t xml:space="preserve"> works of Ashkenazim overall, as he considered them to be culturally inferior.  In his view, </w:t>
      </w:r>
      <w:r>
        <w:rPr>
          <w:rFonts w:asciiTheme="minorBidi" w:hAnsiTheme="minorBidi" w:cstheme="minorBidi"/>
          <w:sz w:val="20"/>
          <w:szCs w:val="20"/>
        </w:rPr>
        <w:t xml:space="preserve">Ibn Ezra’s scant references to </w:t>
      </w:r>
      <w:proofErr w:type="spellStart"/>
      <w:r>
        <w:rPr>
          <w:rFonts w:asciiTheme="minorBidi" w:hAnsiTheme="minorBidi" w:cstheme="minorBidi"/>
          <w:sz w:val="20"/>
          <w:szCs w:val="20"/>
        </w:rPr>
        <w:t>Rashi</w:t>
      </w:r>
      <w:proofErr w:type="spellEnd"/>
      <w:r>
        <w:rPr>
          <w:rFonts w:asciiTheme="minorBidi" w:hAnsiTheme="minorBidi" w:cstheme="minorBidi"/>
          <w:sz w:val="20"/>
          <w:szCs w:val="20"/>
        </w:rPr>
        <w:t xml:space="preserve"> indicate his superficial and sporadic approach to </w:t>
      </w:r>
      <w:proofErr w:type="spellStart"/>
      <w:r>
        <w:rPr>
          <w:rFonts w:asciiTheme="minorBidi" w:hAnsiTheme="minorBidi" w:cstheme="minorBidi"/>
          <w:sz w:val="20"/>
          <w:szCs w:val="20"/>
        </w:rPr>
        <w:t>Rashi’s</w:t>
      </w:r>
      <w:proofErr w:type="spellEnd"/>
      <w:r>
        <w:rPr>
          <w:rFonts w:asciiTheme="minorBidi" w:hAnsiTheme="minorBidi" w:cstheme="minorBidi"/>
          <w:sz w:val="20"/>
          <w:szCs w:val="20"/>
        </w:rPr>
        <w:t xml:space="preserve"> </w:t>
      </w:r>
      <w:proofErr w:type="spellStart"/>
      <w:r>
        <w:rPr>
          <w:rFonts w:asciiTheme="minorBidi" w:hAnsiTheme="minorBidi" w:cstheme="minorBidi"/>
          <w:i/>
          <w:iCs/>
          <w:sz w:val="20"/>
          <w:szCs w:val="20"/>
        </w:rPr>
        <w:t>perush</w:t>
      </w:r>
      <w:proofErr w:type="spellEnd"/>
      <w:r>
        <w:rPr>
          <w:rFonts w:asciiTheme="minorBidi" w:hAnsiTheme="minorBidi" w:cstheme="minorBidi"/>
          <w:sz w:val="20"/>
          <w:szCs w:val="20"/>
        </w:rPr>
        <w:t xml:space="preserve">.   </w:t>
      </w:r>
      <w:r>
        <w:rPr>
          <w:rFonts w:ascii="Arial" w:hAnsi="Arial" w:cs="Arial"/>
          <w:sz w:val="20"/>
          <w:szCs w:val="20"/>
        </w:rPr>
        <w:t xml:space="preserve">Accordingly, Simon argues Ibn Ezra remained a pure, Spanish-oriented exegete throughout his stay in Christendom, and was largely aloof and disengaged from the writings of </w:t>
      </w:r>
      <w:proofErr w:type="spellStart"/>
      <w:r>
        <w:rPr>
          <w:rFonts w:ascii="Arial" w:hAnsi="Arial" w:cs="Arial"/>
          <w:sz w:val="20"/>
          <w:szCs w:val="20"/>
        </w:rPr>
        <w:t>Ashkenaz</w:t>
      </w:r>
      <w:proofErr w:type="spellEnd"/>
      <w:r>
        <w:rPr>
          <w:rFonts w:ascii="Arial" w:hAnsi="Arial" w:cs="Arial"/>
          <w:sz w:val="20"/>
          <w:szCs w:val="20"/>
        </w:rPr>
        <w:t>.</w:t>
      </w:r>
      <w:r>
        <w:rPr>
          <w:rStyle w:val="a6"/>
          <w:rFonts w:ascii="Arial" w:hAnsi="Arial" w:cs="Arial"/>
          <w:sz w:val="20"/>
          <w:szCs w:val="20"/>
        </w:rPr>
        <w:footnoteReference w:id="14"/>
      </w:r>
      <w:r>
        <w:rPr>
          <w:rFonts w:ascii="Arial" w:hAnsi="Arial" w:cs="Arial"/>
          <w:sz w:val="20"/>
          <w:szCs w:val="20"/>
        </w:rPr>
        <w:t xml:space="preserve">  </w:t>
      </w:r>
      <w:proofErr w:type="spellStart"/>
      <w:r>
        <w:rPr>
          <w:rFonts w:ascii="Arial" w:hAnsi="Arial" w:cs="Arial"/>
          <w:sz w:val="20"/>
          <w:szCs w:val="20"/>
        </w:rPr>
        <w:t>Mondschein</w:t>
      </w:r>
      <w:proofErr w:type="spellEnd"/>
      <w:r>
        <w:rPr>
          <w:rFonts w:ascii="Arial" w:hAnsi="Arial" w:cs="Arial"/>
          <w:sz w:val="20"/>
          <w:szCs w:val="20"/>
        </w:rPr>
        <w:t xml:space="preserve">, on the other hand, maintains that Ibn Ezra was well aware of his Ashkenazic environment to varying degrees, and particularly of </w:t>
      </w:r>
      <w:proofErr w:type="spellStart"/>
      <w:r>
        <w:rPr>
          <w:rFonts w:ascii="Arial" w:hAnsi="Arial" w:cs="Arial"/>
          <w:sz w:val="20"/>
          <w:szCs w:val="20"/>
        </w:rPr>
        <w:t>Rashi’s</w:t>
      </w:r>
      <w:proofErr w:type="spellEnd"/>
      <w:r>
        <w:rPr>
          <w:rFonts w:ascii="Arial" w:hAnsi="Arial" w:cs="Arial"/>
          <w:sz w:val="20"/>
          <w:szCs w:val="20"/>
        </w:rPr>
        <w:t xml:space="preserve"> biblical commentary.  He cites Ibn Ezra’s noted “one in a thousand” condemnation in his </w:t>
      </w:r>
      <w:proofErr w:type="spellStart"/>
      <w:r>
        <w:rPr>
          <w:rFonts w:ascii="Arial" w:hAnsi="Arial" w:cs="Arial"/>
          <w:i/>
          <w:sz w:val="20"/>
          <w:szCs w:val="20"/>
        </w:rPr>
        <w:t>Safah</w:t>
      </w:r>
      <w:proofErr w:type="spellEnd"/>
      <w:r>
        <w:rPr>
          <w:rFonts w:ascii="Arial" w:hAnsi="Arial" w:cs="Arial"/>
          <w:i/>
          <w:sz w:val="20"/>
          <w:szCs w:val="20"/>
        </w:rPr>
        <w:t xml:space="preserve"> </w:t>
      </w:r>
      <w:proofErr w:type="spellStart"/>
      <w:r>
        <w:rPr>
          <w:rFonts w:ascii="Arial" w:hAnsi="Arial" w:cs="Arial"/>
          <w:i/>
          <w:sz w:val="20"/>
          <w:szCs w:val="20"/>
        </w:rPr>
        <w:t>Berurah</w:t>
      </w:r>
      <w:proofErr w:type="spellEnd"/>
      <w:r>
        <w:rPr>
          <w:rFonts w:ascii="Arial" w:hAnsi="Arial" w:cs="Arial"/>
          <w:sz w:val="20"/>
          <w:szCs w:val="20"/>
        </w:rPr>
        <w:t xml:space="preserve"> as proof of his intimate familiarity with </w:t>
      </w:r>
      <w:proofErr w:type="spellStart"/>
      <w:r>
        <w:rPr>
          <w:rFonts w:ascii="Arial" w:hAnsi="Arial" w:cs="Arial"/>
          <w:sz w:val="20"/>
          <w:szCs w:val="20"/>
        </w:rPr>
        <w:t>Rashi’s</w:t>
      </w:r>
      <w:proofErr w:type="spellEnd"/>
      <w:r>
        <w:rPr>
          <w:rFonts w:ascii="Arial" w:hAnsi="Arial" w:cs="Arial"/>
          <w:sz w:val="20"/>
          <w:szCs w:val="20"/>
        </w:rPr>
        <w:t xml:space="preserve"> </w:t>
      </w:r>
      <w:proofErr w:type="spellStart"/>
      <w:r>
        <w:rPr>
          <w:rFonts w:ascii="Arial" w:hAnsi="Arial" w:cs="Arial"/>
          <w:i/>
          <w:iCs/>
          <w:sz w:val="20"/>
          <w:szCs w:val="20"/>
        </w:rPr>
        <w:t>perush</w:t>
      </w:r>
      <w:proofErr w:type="spellEnd"/>
      <w:r>
        <w:rPr>
          <w:rFonts w:ascii="Arial" w:hAnsi="Arial" w:cs="Arial"/>
          <w:sz w:val="20"/>
          <w:szCs w:val="20"/>
        </w:rPr>
        <w:t>.  Mondschein argues that Ibn Ezra’s indictment was bold and justified; otherwise, making such a baseless claim in Ashkenazic lands would have constituted “professional suicide” on his part.</w:t>
      </w:r>
      <w:r>
        <w:rPr>
          <w:rStyle w:val="a6"/>
          <w:rFonts w:ascii="Arial" w:hAnsi="Arial" w:cs="Arial"/>
          <w:sz w:val="20"/>
          <w:szCs w:val="20"/>
        </w:rPr>
        <w:footnoteReference w:id="15"/>
      </w:r>
      <w:r>
        <w:rPr>
          <w:rFonts w:ascii="Arial" w:hAnsi="Arial" w:cs="Arial"/>
          <w:sz w:val="20"/>
          <w:szCs w:val="20"/>
        </w:rPr>
        <w:t xml:space="preserve">  Moreover, Ibn Ezra’s total reliance on the patronage of wealthy Ashkenazim precluded his direct criticism of their champion, as </w:t>
      </w:r>
      <w:proofErr w:type="spellStart"/>
      <w:r>
        <w:rPr>
          <w:rFonts w:ascii="Arial" w:hAnsi="Arial" w:cs="Arial"/>
          <w:sz w:val="20"/>
          <w:szCs w:val="20"/>
        </w:rPr>
        <w:t>Rashi</w:t>
      </w:r>
      <w:proofErr w:type="spellEnd"/>
      <w:r>
        <w:rPr>
          <w:rFonts w:ascii="Arial" w:hAnsi="Arial" w:cs="Arial"/>
          <w:sz w:val="20"/>
          <w:szCs w:val="20"/>
        </w:rPr>
        <w:t xml:space="preserve"> was emblematic of Ashkenazic </w:t>
      </w:r>
      <w:r w:rsidR="00DC0A47">
        <w:rPr>
          <w:rFonts w:ascii="Arial" w:hAnsi="Arial" w:cs="Arial"/>
          <w:sz w:val="20"/>
          <w:szCs w:val="20"/>
        </w:rPr>
        <w:t>b</w:t>
      </w:r>
      <w:r>
        <w:rPr>
          <w:rFonts w:ascii="Arial" w:hAnsi="Arial" w:cs="Arial"/>
          <w:sz w:val="20"/>
          <w:szCs w:val="20"/>
        </w:rPr>
        <w:t xml:space="preserve">iblical (and also Talmudic) </w:t>
      </w:r>
      <w:proofErr w:type="spellStart"/>
      <w:r>
        <w:rPr>
          <w:rFonts w:ascii="Arial" w:hAnsi="Arial" w:cs="Arial"/>
          <w:i/>
          <w:iCs/>
          <w:sz w:val="20"/>
          <w:szCs w:val="20"/>
        </w:rPr>
        <w:t>peshat</w:t>
      </w:r>
      <w:proofErr w:type="spellEnd"/>
      <w:r>
        <w:rPr>
          <w:rFonts w:ascii="Arial" w:hAnsi="Arial" w:cs="Arial"/>
          <w:sz w:val="20"/>
          <w:szCs w:val="20"/>
        </w:rPr>
        <w:t>.</w:t>
      </w:r>
      <w:r>
        <w:rPr>
          <w:rStyle w:val="a6"/>
          <w:rFonts w:ascii="Arial" w:hAnsi="Arial" w:cs="Arial"/>
          <w:sz w:val="20"/>
          <w:szCs w:val="20"/>
        </w:rPr>
        <w:footnoteReference w:id="16"/>
      </w:r>
      <w:r>
        <w:rPr>
          <w:rFonts w:ascii="Arial" w:hAnsi="Arial" w:cs="Arial"/>
          <w:sz w:val="20"/>
          <w:szCs w:val="20"/>
        </w:rPr>
        <w:t xml:space="preserve">   Thus, </w:t>
      </w:r>
      <w:proofErr w:type="spellStart"/>
      <w:r>
        <w:rPr>
          <w:rFonts w:ascii="Arial" w:hAnsi="Arial" w:cs="Arial"/>
          <w:sz w:val="20"/>
          <w:szCs w:val="20"/>
        </w:rPr>
        <w:t>Mondschein</w:t>
      </w:r>
      <w:proofErr w:type="spellEnd"/>
      <w:r>
        <w:rPr>
          <w:rFonts w:ascii="Arial" w:hAnsi="Arial" w:cs="Arial"/>
          <w:sz w:val="20"/>
          <w:szCs w:val="20"/>
        </w:rPr>
        <w:t xml:space="preserve"> posits that Ibn Ezra did, in fact, devote a sizeable part of his Torah commentary to a negative critique of </w:t>
      </w:r>
      <w:proofErr w:type="spellStart"/>
      <w:r>
        <w:rPr>
          <w:rFonts w:ascii="Arial" w:hAnsi="Arial" w:cs="Arial"/>
          <w:sz w:val="20"/>
          <w:szCs w:val="20"/>
        </w:rPr>
        <w:t>Rashi’s</w:t>
      </w:r>
      <w:proofErr w:type="spellEnd"/>
      <w:r>
        <w:rPr>
          <w:rFonts w:ascii="Arial" w:hAnsi="Arial" w:cs="Arial"/>
          <w:sz w:val="20"/>
          <w:szCs w:val="20"/>
        </w:rPr>
        <w:t xml:space="preserve"> interpretation</w:t>
      </w:r>
      <w:r w:rsidR="00F913E2">
        <w:rPr>
          <w:rFonts w:ascii="Arial" w:hAnsi="Arial" w:cs="Arial"/>
          <w:sz w:val="20"/>
          <w:szCs w:val="20"/>
        </w:rPr>
        <w:t>.</w:t>
      </w:r>
      <w:r>
        <w:rPr>
          <w:rFonts w:ascii="Arial" w:hAnsi="Arial" w:cs="Arial"/>
          <w:sz w:val="20"/>
          <w:szCs w:val="20"/>
        </w:rPr>
        <w:t xml:space="preserve"> </w:t>
      </w:r>
      <w:r w:rsidR="00422B14">
        <w:rPr>
          <w:rFonts w:ascii="Arial" w:hAnsi="Arial" w:cs="Arial"/>
          <w:sz w:val="20"/>
          <w:szCs w:val="20"/>
        </w:rPr>
        <w:t>H</w:t>
      </w:r>
      <w:r>
        <w:rPr>
          <w:rFonts w:ascii="Arial" w:hAnsi="Arial" w:cs="Arial"/>
          <w:sz w:val="20"/>
          <w:szCs w:val="20"/>
        </w:rPr>
        <w:t>e did so</w:t>
      </w:r>
      <w:r w:rsidR="00422B14">
        <w:rPr>
          <w:rFonts w:ascii="Arial" w:hAnsi="Arial" w:cs="Arial"/>
          <w:sz w:val="20"/>
          <w:szCs w:val="20"/>
        </w:rPr>
        <w:t>, however,</w:t>
      </w:r>
      <w:r>
        <w:rPr>
          <w:rFonts w:ascii="Arial" w:hAnsi="Arial" w:cs="Arial"/>
          <w:sz w:val="20"/>
          <w:szCs w:val="20"/>
        </w:rPr>
        <w:t xml:space="preserve"> in an indirect, oblique manner, due to his extreme professional caution while in </w:t>
      </w:r>
      <w:proofErr w:type="spellStart"/>
      <w:r>
        <w:rPr>
          <w:rFonts w:ascii="Arial" w:hAnsi="Arial" w:cs="Arial"/>
          <w:sz w:val="20"/>
          <w:szCs w:val="20"/>
        </w:rPr>
        <w:t>Rashi’s</w:t>
      </w:r>
      <w:proofErr w:type="spellEnd"/>
      <w:r>
        <w:rPr>
          <w:rFonts w:ascii="Arial" w:hAnsi="Arial" w:cs="Arial"/>
          <w:sz w:val="20"/>
          <w:szCs w:val="20"/>
        </w:rPr>
        <w:t xml:space="preserve"> home territory.</w:t>
      </w:r>
      <w:r>
        <w:rPr>
          <w:rStyle w:val="a6"/>
          <w:rFonts w:ascii="Arial" w:hAnsi="Arial" w:cs="Arial"/>
          <w:sz w:val="20"/>
          <w:szCs w:val="20"/>
        </w:rPr>
        <w:footnoteReference w:id="17"/>
      </w:r>
      <w:r>
        <w:rPr>
          <w:rFonts w:ascii="Arial" w:hAnsi="Arial" w:cs="Arial"/>
          <w:sz w:val="20"/>
          <w:szCs w:val="20"/>
        </w:rPr>
        <w:t xml:space="preserve">  </w:t>
      </w:r>
    </w:p>
    <w:p w14:paraId="45C522AE" w14:textId="5538292C" w:rsidR="00505FAD" w:rsidRDefault="00505FAD" w:rsidP="00505FAD">
      <w:pPr>
        <w:spacing w:line="480" w:lineRule="auto"/>
        <w:ind w:firstLine="720"/>
        <w:rPr>
          <w:rFonts w:ascii="Arial" w:hAnsi="Arial" w:cs="Arial"/>
          <w:sz w:val="20"/>
          <w:szCs w:val="20"/>
        </w:rPr>
      </w:pPr>
      <w:r>
        <w:rPr>
          <w:rFonts w:ascii="Arial" w:hAnsi="Arial" w:cs="Arial"/>
          <w:sz w:val="20"/>
          <w:szCs w:val="20"/>
        </w:rPr>
        <w:t xml:space="preserve">The dispute appears unresolved, regarding “what” Ibn Ezra knew of the commentaries of </w:t>
      </w:r>
      <w:proofErr w:type="spellStart"/>
      <w:r>
        <w:rPr>
          <w:rFonts w:ascii="Arial" w:hAnsi="Arial" w:cs="Arial"/>
          <w:sz w:val="20"/>
          <w:szCs w:val="20"/>
        </w:rPr>
        <w:t>Rashi</w:t>
      </w:r>
      <w:proofErr w:type="spellEnd"/>
      <w:r>
        <w:rPr>
          <w:rFonts w:ascii="Arial" w:hAnsi="Arial" w:cs="Arial"/>
          <w:sz w:val="20"/>
          <w:szCs w:val="20"/>
        </w:rPr>
        <w:t xml:space="preserve"> and other Ashkenazic </w:t>
      </w:r>
      <w:proofErr w:type="spellStart"/>
      <w:r>
        <w:rPr>
          <w:rFonts w:ascii="Arial" w:hAnsi="Arial" w:cs="Arial"/>
          <w:i/>
          <w:iCs/>
          <w:sz w:val="20"/>
          <w:szCs w:val="20"/>
        </w:rPr>
        <w:t>pashtanim</w:t>
      </w:r>
      <w:proofErr w:type="spellEnd"/>
      <w:r>
        <w:rPr>
          <w:rFonts w:ascii="Arial" w:hAnsi="Arial" w:cs="Arial"/>
          <w:sz w:val="20"/>
          <w:szCs w:val="20"/>
        </w:rPr>
        <w:t>.  However, a closer look at their analyses show</w:t>
      </w:r>
      <w:r w:rsidR="008A56F0">
        <w:rPr>
          <w:rFonts w:ascii="Arial" w:hAnsi="Arial" w:cs="Arial"/>
          <w:sz w:val="20"/>
          <w:szCs w:val="20"/>
        </w:rPr>
        <w:t>s</w:t>
      </w:r>
      <w:r w:rsidR="00422B14">
        <w:rPr>
          <w:rFonts w:ascii="Arial" w:hAnsi="Arial" w:cs="Arial"/>
          <w:sz w:val="20"/>
          <w:szCs w:val="20"/>
        </w:rPr>
        <w:t xml:space="preserve"> that</w:t>
      </w:r>
      <w:r>
        <w:rPr>
          <w:rFonts w:ascii="Arial" w:hAnsi="Arial" w:cs="Arial"/>
          <w:sz w:val="20"/>
          <w:szCs w:val="20"/>
        </w:rPr>
        <w:t xml:space="preserve"> both Mondschein and Simon evaluated Ibn Ezra’s works as one collective unit</w:t>
      </w:r>
      <w:r w:rsidR="00422B14">
        <w:rPr>
          <w:rFonts w:ascii="Arial" w:hAnsi="Arial" w:cs="Arial"/>
          <w:sz w:val="20"/>
          <w:szCs w:val="20"/>
        </w:rPr>
        <w:t>.</w:t>
      </w:r>
      <w:r>
        <w:rPr>
          <w:rFonts w:ascii="Arial" w:hAnsi="Arial" w:cs="Arial"/>
          <w:sz w:val="20"/>
          <w:szCs w:val="20"/>
        </w:rPr>
        <w:t xml:space="preserve"> Neither one considered the possibility that </w:t>
      </w:r>
      <w:r>
        <w:rPr>
          <w:rFonts w:ascii="Arial" w:hAnsi="Arial" w:cs="Arial"/>
          <w:sz w:val="20"/>
          <w:szCs w:val="20"/>
        </w:rPr>
        <w:lastRenderedPageBreak/>
        <w:t xml:space="preserve">Ibn Ezra’s views or tones might have changed or developed over time, during his quarter century residence in Christendom.  Thus, a significant historiographical element appears absent from this debate – namely, the question of “when” Ibn Ezra knew what he knew.  </w:t>
      </w:r>
      <w:r w:rsidRPr="00744E81">
        <w:rPr>
          <w:rFonts w:ascii="Arial" w:hAnsi="Arial" w:cs="Arial"/>
          <w:sz w:val="20"/>
          <w:szCs w:val="20"/>
        </w:rPr>
        <w:t xml:space="preserve">This time factor might account for Ibn Ezra’s strangely contradictory tones toward Ashkenazic </w:t>
      </w:r>
      <w:proofErr w:type="spellStart"/>
      <w:r w:rsidRPr="00744E81">
        <w:rPr>
          <w:rFonts w:ascii="Arial" w:hAnsi="Arial" w:cs="Arial"/>
          <w:i/>
          <w:iCs/>
          <w:sz w:val="20"/>
          <w:szCs w:val="20"/>
        </w:rPr>
        <w:t>pashtanim</w:t>
      </w:r>
      <w:proofErr w:type="spellEnd"/>
      <w:r w:rsidRPr="00744E81">
        <w:rPr>
          <w:rFonts w:ascii="Arial" w:hAnsi="Arial" w:cs="Arial"/>
          <w:sz w:val="20"/>
          <w:szCs w:val="20"/>
        </w:rPr>
        <w:t xml:space="preserve"> generally and </w:t>
      </w:r>
      <w:proofErr w:type="spellStart"/>
      <w:r w:rsidRPr="00744E81">
        <w:rPr>
          <w:rFonts w:ascii="Arial" w:hAnsi="Arial" w:cs="Arial"/>
          <w:sz w:val="20"/>
          <w:szCs w:val="20"/>
        </w:rPr>
        <w:t>Rashi</w:t>
      </w:r>
      <w:proofErr w:type="spellEnd"/>
      <w:r w:rsidRPr="00744E81">
        <w:rPr>
          <w:rFonts w:ascii="Arial" w:hAnsi="Arial" w:cs="Arial"/>
          <w:sz w:val="20"/>
          <w:szCs w:val="20"/>
        </w:rPr>
        <w:t xml:space="preserve"> in particular, in his different works</w:t>
      </w:r>
      <w:r w:rsidR="00744E81">
        <w:rPr>
          <w:rFonts w:ascii="Arial" w:hAnsi="Arial" w:cs="Arial"/>
          <w:sz w:val="20"/>
          <w:szCs w:val="20"/>
        </w:rPr>
        <w:t xml:space="preserve">, </w:t>
      </w:r>
      <w:r w:rsidR="00744E81" w:rsidRPr="00584B5D">
        <w:rPr>
          <w:rFonts w:ascii="Arial" w:hAnsi="Arial" w:cs="Arial"/>
          <w:sz w:val="20"/>
          <w:szCs w:val="20"/>
        </w:rPr>
        <w:t>as will be discussed herein</w:t>
      </w:r>
      <w:r>
        <w:rPr>
          <w:rFonts w:ascii="Arial" w:hAnsi="Arial" w:cs="Arial"/>
          <w:sz w:val="20"/>
          <w:szCs w:val="20"/>
        </w:rPr>
        <w:t xml:space="preserve">. </w:t>
      </w:r>
      <w:r w:rsidR="000E5697">
        <w:rPr>
          <w:rFonts w:ascii="Arial" w:hAnsi="Arial" w:cs="Arial"/>
          <w:sz w:val="20"/>
          <w:szCs w:val="20"/>
        </w:rPr>
        <w:t>S</w:t>
      </w:r>
      <w:r>
        <w:rPr>
          <w:rFonts w:ascii="Arial" w:hAnsi="Arial" w:cs="Arial"/>
          <w:sz w:val="20"/>
          <w:szCs w:val="20"/>
        </w:rPr>
        <w:t>ome scholars have noted Ibn Ezra’s often contrasting tones in his works,</w:t>
      </w:r>
      <w:r w:rsidR="000E5697">
        <w:rPr>
          <w:rFonts w:ascii="Arial" w:hAnsi="Arial" w:cs="Arial"/>
          <w:sz w:val="20"/>
          <w:szCs w:val="20"/>
        </w:rPr>
        <w:t xml:space="preserve"> but</w:t>
      </w:r>
      <w:r>
        <w:rPr>
          <w:rFonts w:ascii="Arial" w:hAnsi="Arial" w:cs="Arial"/>
          <w:sz w:val="20"/>
          <w:szCs w:val="20"/>
        </w:rPr>
        <w:t xml:space="preserve"> they viewed them solely in relation to the different geographic locales in which he wrote,</w:t>
      </w:r>
      <w:r>
        <w:rPr>
          <w:rStyle w:val="a6"/>
          <w:rFonts w:asciiTheme="minorBidi" w:hAnsiTheme="minorBidi" w:cstheme="minorBidi"/>
          <w:b/>
          <w:bCs/>
          <w:sz w:val="20"/>
          <w:szCs w:val="20"/>
        </w:rPr>
        <w:footnoteReference w:id="18"/>
      </w:r>
      <w:r>
        <w:rPr>
          <w:rFonts w:ascii="Arial" w:hAnsi="Arial" w:cs="Arial"/>
          <w:sz w:val="20"/>
          <w:szCs w:val="20"/>
        </w:rPr>
        <w:t xml:space="preserve">  rather than to any substantive changes on Ibn Ezra’s part. To my knowledge, there has been no attempt to analyze these different tones contextually</w:t>
      </w:r>
      <w:r w:rsidR="0073010F">
        <w:rPr>
          <w:rFonts w:ascii="Arial" w:hAnsi="Arial" w:cs="Arial"/>
          <w:sz w:val="20"/>
          <w:szCs w:val="20"/>
        </w:rPr>
        <w:t>,</w:t>
      </w:r>
      <w:r>
        <w:rPr>
          <w:rFonts w:ascii="Arial" w:hAnsi="Arial" w:cs="Arial"/>
          <w:sz w:val="20"/>
          <w:szCs w:val="20"/>
        </w:rPr>
        <w:t xml:space="preserve"> from both geographical, as well as chronological</w:t>
      </w:r>
      <w:r w:rsidR="000E5697">
        <w:rPr>
          <w:rFonts w:ascii="Arial" w:hAnsi="Arial" w:cs="Arial" w:hint="cs"/>
          <w:sz w:val="20"/>
          <w:szCs w:val="20"/>
          <w:rtl/>
          <w:lang w:bidi="he-IL"/>
        </w:rPr>
        <w:t xml:space="preserve"> </w:t>
      </w:r>
      <w:r>
        <w:rPr>
          <w:rFonts w:ascii="Arial" w:hAnsi="Arial" w:cs="Arial"/>
          <w:sz w:val="20"/>
          <w:szCs w:val="20"/>
        </w:rPr>
        <w:t xml:space="preserve">points of view.  Moreover, a linear comparison between Ibn Ezra’s earlier and later works might also demonstrate a level of change or adaptability, which he may or may not have acquired during his stay in Christian Europe. </w:t>
      </w:r>
    </w:p>
    <w:p w14:paraId="36D05477" w14:textId="3AB2AB11" w:rsidR="00505FAD" w:rsidRDefault="00505FAD" w:rsidP="002B6486">
      <w:pPr>
        <w:spacing w:line="480" w:lineRule="auto"/>
        <w:ind w:firstLine="720"/>
        <w:rPr>
          <w:rFonts w:ascii="Arial" w:hAnsi="Arial" w:cs="Arial"/>
          <w:sz w:val="20"/>
          <w:szCs w:val="20"/>
        </w:rPr>
      </w:pPr>
      <w:r>
        <w:rPr>
          <w:rFonts w:ascii="Arial" w:hAnsi="Arial" w:cs="Arial"/>
          <w:sz w:val="20"/>
          <w:szCs w:val="20"/>
        </w:rPr>
        <w:t xml:space="preserve">Due to several unique factors, the task of uncovering evidence of Ibn Ezra’s acculturation in </w:t>
      </w:r>
      <w:proofErr w:type="spellStart"/>
      <w:r>
        <w:rPr>
          <w:rFonts w:ascii="Arial" w:hAnsi="Arial" w:cs="Arial"/>
          <w:sz w:val="20"/>
          <w:szCs w:val="20"/>
        </w:rPr>
        <w:t>Ashkenaz</w:t>
      </w:r>
      <w:proofErr w:type="spellEnd"/>
      <w:r>
        <w:rPr>
          <w:rFonts w:ascii="Arial" w:hAnsi="Arial" w:cs="Arial"/>
          <w:sz w:val="20"/>
          <w:szCs w:val="20"/>
        </w:rPr>
        <w:t xml:space="preserve"> (if any) is complex and multi-faceted.  First, he wrote his scholarly works almost continuously throughout his twenty-five years in </w:t>
      </w:r>
      <w:proofErr w:type="spellStart"/>
      <w:r>
        <w:rPr>
          <w:rFonts w:ascii="Arial" w:hAnsi="Arial" w:cs="Arial"/>
          <w:sz w:val="20"/>
          <w:szCs w:val="20"/>
        </w:rPr>
        <w:t>Ashkenaz</w:t>
      </w:r>
      <w:proofErr w:type="spellEnd"/>
      <w:r>
        <w:rPr>
          <w:rFonts w:ascii="Arial" w:hAnsi="Arial" w:cs="Arial"/>
          <w:sz w:val="20"/>
          <w:szCs w:val="20"/>
        </w:rPr>
        <w:t>, in different periods and in diverse geographic locations.  Furthermore, he often wrote more than one version of</w:t>
      </w:r>
      <w:r w:rsidR="00614E8C">
        <w:rPr>
          <w:rFonts w:ascii="Arial" w:hAnsi="Arial" w:cs="Arial"/>
          <w:sz w:val="20"/>
          <w:szCs w:val="20"/>
        </w:rPr>
        <w:t xml:space="preserve"> his</w:t>
      </w:r>
      <w:r>
        <w:rPr>
          <w:rFonts w:ascii="Arial" w:hAnsi="Arial" w:cs="Arial"/>
          <w:sz w:val="20"/>
          <w:szCs w:val="20"/>
        </w:rPr>
        <w:t xml:space="preserve"> biblical commentaries and grammatical works.</w:t>
      </w:r>
      <w:r>
        <w:rPr>
          <w:rStyle w:val="a6"/>
          <w:rFonts w:ascii="Arial" w:hAnsi="Arial" w:cs="Arial"/>
          <w:sz w:val="20"/>
          <w:szCs w:val="20"/>
        </w:rPr>
        <w:footnoteReference w:id="19"/>
      </w:r>
      <w:r>
        <w:rPr>
          <w:rFonts w:ascii="Arial" w:hAnsi="Arial" w:cs="Arial"/>
          <w:sz w:val="20"/>
          <w:szCs w:val="20"/>
        </w:rPr>
        <w:t xml:space="preserve"> Consequently, before comparing Ibn Ezra’s views to those of </w:t>
      </w:r>
      <w:proofErr w:type="spellStart"/>
      <w:r>
        <w:rPr>
          <w:rFonts w:ascii="Arial" w:hAnsi="Arial" w:cs="Arial"/>
          <w:sz w:val="20"/>
          <w:szCs w:val="20"/>
        </w:rPr>
        <w:t>Rashi</w:t>
      </w:r>
      <w:proofErr w:type="spellEnd"/>
      <w:r>
        <w:rPr>
          <w:rFonts w:ascii="Arial" w:hAnsi="Arial" w:cs="Arial"/>
          <w:sz w:val="20"/>
          <w:szCs w:val="20"/>
        </w:rPr>
        <w:t xml:space="preserve">, one would first have to compare his own positions to each other – namely, those in his earlier works to those in his later writings.  While a systematic comparison of all of Ibn Ezra’s extant, earlier and later, exegetical works is beyond the purview of this essay, several cases demonstrate a clear shift in his tone over time, as he reflected on Ashkenazic standards of exegesis and grammar.  For example, according to historians Shlomo </w:t>
      </w:r>
      <w:proofErr w:type="spellStart"/>
      <w:r>
        <w:rPr>
          <w:rFonts w:ascii="Arial" w:hAnsi="Arial" w:cs="Arial"/>
          <w:sz w:val="20"/>
          <w:szCs w:val="20"/>
        </w:rPr>
        <w:t>Sela</w:t>
      </w:r>
      <w:proofErr w:type="spellEnd"/>
      <w:r>
        <w:rPr>
          <w:rFonts w:ascii="Arial" w:hAnsi="Arial" w:cs="Arial"/>
          <w:sz w:val="20"/>
          <w:szCs w:val="20"/>
        </w:rPr>
        <w:t xml:space="preserve"> and Gad </w:t>
      </w:r>
      <w:proofErr w:type="spellStart"/>
      <w:r>
        <w:rPr>
          <w:rFonts w:ascii="Arial" w:hAnsi="Arial" w:cs="Arial"/>
          <w:sz w:val="20"/>
          <w:szCs w:val="20"/>
        </w:rPr>
        <w:t>Freudenthal</w:t>
      </w:r>
      <w:proofErr w:type="spellEnd"/>
      <w:r>
        <w:rPr>
          <w:rFonts w:ascii="Arial" w:hAnsi="Arial" w:cs="Arial"/>
          <w:sz w:val="20"/>
          <w:szCs w:val="20"/>
        </w:rPr>
        <w:t xml:space="preserve">, Ibn Ezra wrote his strongly-worded work, </w:t>
      </w:r>
      <w:proofErr w:type="spellStart"/>
      <w:r>
        <w:rPr>
          <w:rFonts w:ascii="Arial" w:hAnsi="Arial" w:cs="Arial"/>
          <w:i/>
          <w:sz w:val="20"/>
          <w:szCs w:val="20"/>
        </w:rPr>
        <w:t>Safah</w:t>
      </w:r>
      <w:proofErr w:type="spellEnd"/>
      <w:r>
        <w:rPr>
          <w:rFonts w:ascii="Arial" w:hAnsi="Arial" w:cs="Arial"/>
          <w:i/>
          <w:sz w:val="20"/>
          <w:szCs w:val="20"/>
        </w:rPr>
        <w:t xml:space="preserve"> </w:t>
      </w:r>
      <w:proofErr w:type="spellStart"/>
      <w:r>
        <w:rPr>
          <w:rFonts w:ascii="Arial" w:hAnsi="Arial" w:cs="Arial"/>
          <w:i/>
          <w:sz w:val="20"/>
          <w:szCs w:val="20"/>
        </w:rPr>
        <w:t>Berurah</w:t>
      </w:r>
      <w:proofErr w:type="spellEnd"/>
      <w:r>
        <w:rPr>
          <w:rFonts w:ascii="Arial" w:hAnsi="Arial" w:cs="Arial"/>
          <w:iCs/>
          <w:sz w:val="20"/>
          <w:szCs w:val="20"/>
        </w:rPr>
        <w:t>,</w:t>
      </w:r>
      <w:r>
        <w:rPr>
          <w:rFonts w:ascii="Arial" w:hAnsi="Arial" w:cs="Arial"/>
          <w:sz w:val="20"/>
          <w:szCs w:val="20"/>
        </w:rPr>
        <w:t xml:space="preserve"> in Verona, Italy, in 1146,</w:t>
      </w:r>
      <w:r>
        <w:rPr>
          <w:rStyle w:val="a6"/>
          <w:rFonts w:ascii="Arial" w:hAnsi="Arial" w:cs="Arial"/>
          <w:sz w:val="20"/>
          <w:szCs w:val="20"/>
        </w:rPr>
        <w:footnoteReference w:id="20"/>
      </w:r>
      <w:r>
        <w:rPr>
          <w:rFonts w:ascii="Arial" w:hAnsi="Arial" w:cs="Arial"/>
          <w:sz w:val="20"/>
          <w:szCs w:val="20"/>
        </w:rPr>
        <w:t xml:space="preserve"> merely six years after having left Spain and his native Sephardic culture, with which he associated on many </w:t>
      </w:r>
      <w:r>
        <w:rPr>
          <w:rFonts w:ascii="Arial" w:hAnsi="Arial" w:cs="Arial"/>
          <w:sz w:val="20"/>
          <w:szCs w:val="20"/>
        </w:rPr>
        <w:lastRenderedPageBreak/>
        <w:t>levels.</w:t>
      </w:r>
      <w:r>
        <w:rPr>
          <w:rStyle w:val="a6"/>
          <w:rFonts w:ascii="Arial" w:hAnsi="Arial" w:cs="Arial"/>
          <w:sz w:val="20"/>
          <w:szCs w:val="20"/>
        </w:rPr>
        <w:footnoteReference w:id="21"/>
      </w:r>
      <w:r>
        <w:rPr>
          <w:rFonts w:ascii="Arial" w:hAnsi="Arial" w:cs="Arial"/>
          <w:sz w:val="20"/>
          <w:szCs w:val="20"/>
        </w:rPr>
        <w:t xml:space="preserve">  Thus, the fact that he delivered his sarcastic “one-in-a-thousand” jibe at this early stage, rather than during his later residence in Northern France, is not surprising.  Ibn Ezra might also have felt comfortable issuing his sharp satire of </w:t>
      </w:r>
      <w:proofErr w:type="spellStart"/>
      <w:r>
        <w:rPr>
          <w:rFonts w:ascii="Arial" w:hAnsi="Arial" w:cs="Arial"/>
          <w:sz w:val="20"/>
          <w:szCs w:val="20"/>
        </w:rPr>
        <w:t>Rashi’s</w:t>
      </w:r>
      <w:proofErr w:type="spellEnd"/>
      <w:r>
        <w:rPr>
          <w:rFonts w:ascii="Arial" w:hAnsi="Arial" w:cs="Arial"/>
          <w:sz w:val="20"/>
          <w:szCs w:val="20"/>
        </w:rPr>
        <w:t xml:space="preserve"> commentary from his residence in Italy, as such comments </w:t>
      </w:r>
      <w:r w:rsidR="002B6486" w:rsidRPr="002B6486">
        <w:rPr>
          <w:rFonts w:ascii="Arial" w:hAnsi="Arial" w:cs="Arial"/>
          <w:sz w:val="20"/>
          <w:szCs w:val="20"/>
        </w:rPr>
        <w:t>–</w:t>
      </w:r>
      <w:r w:rsidR="002B6486">
        <w:rPr>
          <w:rFonts w:ascii="Arial" w:hAnsi="Arial" w:cs="Arial"/>
          <w:sz w:val="20"/>
          <w:szCs w:val="20"/>
        </w:rPr>
        <w:t xml:space="preserve"> </w:t>
      </w:r>
      <w:r w:rsidR="002B6486" w:rsidRPr="002B6486">
        <w:rPr>
          <w:rFonts w:ascii="Arial" w:hAnsi="Arial" w:cs="Arial"/>
          <w:sz w:val="20"/>
          <w:szCs w:val="20"/>
        </w:rPr>
        <w:t xml:space="preserve">due to their distance from </w:t>
      </w:r>
      <w:proofErr w:type="spellStart"/>
      <w:r w:rsidR="002B6486" w:rsidRPr="002B6486">
        <w:rPr>
          <w:rFonts w:ascii="Arial" w:hAnsi="Arial" w:cs="Arial"/>
          <w:sz w:val="20"/>
          <w:szCs w:val="20"/>
        </w:rPr>
        <w:t>Rashi’s</w:t>
      </w:r>
      <w:proofErr w:type="spellEnd"/>
      <w:r w:rsidR="002B6486" w:rsidRPr="002B6486">
        <w:rPr>
          <w:rFonts w:ascii="Arial" w:hAnsi="Arial" w:cs="Arial"/>
          <w:sz w:val="20"/>
          <w:szCs w:val="20"/>
        </w:rPr>
        <w:t xml:space="preserve"> home environment</w:t>
      </w:r>
      <w:r w:rsidR="002B6486">
        <w:rPr>
          <w:rFonts w:ascii="Arial" w:hAnsi="Arial" w:cs="Arial"/>
          <w:sz w:val="20"/>
          <w:szCs w:val="20"/>
        </w:rPr>
        <w:t xml:space="preserve"> </w:t>
      </w:r>
      <w:r w:rsidR="002B6486" w:rsidRPr="002B6486">
        <w:rPr>
          <w:rFonts w:ascii="Arial" w:hAnsi="Arial" w:cs="Arial"/>
          <w:sz w:val="20"/>
          <w:szCs w:val="20"/>
        </w:rPr>
        <w:t>–</w:t>
      </w:r>
      <w:r w:rsidR="002B6486">
        <w:rPr>
          <w:rFonts w:ascii="Arial" w:hAnsi="Arial" w:cs="Arial"/>
          <w:sz w:val="20"/>
          <w:szCs w:val="20"/>
        </w:rPr>
        <w:t xml:space="preserve"> </w:t>
      </w:r>
      <w:r>
        <w:rPr>
          <w:rFonts w:ascii="Arial" w:hAnsi="Arial" w:cs="Arial"/>
          <w:sz w:val="20"/>
          <w:szCs w:val="20"/>
        </w:rPr>
        <w:t xml:space="preserve">would likely have been tolerated more by Italian Jews than by the local, Northern French Jews of </w:t>
      </w:r>
      <w:proofErr w:type="spellStart"/>
      <w:r>
        <w:rPr>
          <w:rFonts w:ascii="Arial" w:hAnsi="Arial" w:cs="Arial"/>
          <w:sz w:val="20"/>
          <w:szCs w:val="20"/>
        </w:rPr>
        <w:t>Rashi’s</w:t>
      </w:r>
      <w:proofErr w:type="spellEnd"/>
      <w:r>
        <w:rPr>
          <w:rFonts w:ascii="Arial" w:hAnsi="Arial" w:cs="Arial"/>
          <w:sz w:val="20"/>
          <w:szCs w:val="20"/>
        </w:rPr>
        <w:t xml:space="preserve"> home territory. Furthermore, Italy’s central location, viz. trade routes and exposure to various cultures, might have rendered its Jewish environment more culturally adaptable and open, thereby enabling Ibn Ezra to more freely voice such caustic comments without fear of ostracization.</w:t>
      </w:r>
      <w:r>
        <w:rPr>
          <w:rStyle w:val="a6"/>
          <w:rFonts w:ascii="Arial" w:hAnsi="Arial" w:cs="Arial"/>
          <w:sz w:val="20"/>
          <w:szCs w:val="20"/>
        </w:rPr>
        <w:footnoteReference w:id="22"/>
      </w:r>
      <w:r>
        <w:rPr>
          <w:rFonts w:ascii="Arial" w:hAnsi="Arial" w:cs="Arial"/>
          <w:sz w:val="20"/>
          <w:szCs w:val="20"/>
        </w:rPr>
        <w:t xml:space="preserve">  Thus, factors of both time and place may have accounted for Ibn Ezra’s caustic reference to </w:t>
      </w:r>
      <w:proofErr w:type="spellStart"/>
      <w:r>
        <w:rPr>
          <w:rFonts w:ascii="Arial" w:hAnsi="Arial" w:cs="Arial"/>
          <w:sz w:val="20"/>
          <w:szCs w:val="20"/>
        </w:rPr>
        <w:t>Rashi</w:t>
      </w:r>
      <w:proofErr w:type="spellEnd"/>
      <w:r>
        <w:rPr>
          <w:rFonts w:ascii="Arial" w:hAnsi="Arial" w:cs="Arial"/>
          <w:sz w:val="20"/>
          <w:szCs w:val="20"/>
        </w:rPr>
        <w:t xml:space="preserve"> in his </w:t>
      </w:r>
      <w:proofErr w:type="spellStart"/>
      <w:r>
        <w:rPr>
          <w:rFonts w:ascii="Arial" w:hAnsi="Arial" w:cs="Arial"/>
          <w:i/>
          <w:iCs/>
          <w:sz w:val="20"/>
          <w:szCs w:val="20"/>
        </w:rPr>
        <w:t>Safah</w:t>
      </w:r>
      <w:proofErr w:type="spellEnd"/>
      <w:r>
        <w:rPr>
          <w:rFonts w:ascii="Arial" w:hAnsi="Arial" w:cs="Arial"/>
          <w:i/>
          <w:iCs/>
          <w:sz w:val="20"/>
          <w:szCs w:val="20"/>
        </w:rPr>
        <w:t xml:space="preserve"> </w:t>
      </w:r>
      <w:proofErr w:type="spellStart"/>
      <w:r>
        <w:rPr>
          <w:rFonts w:ascii="Arial" w:hAnsi="Arial" w:cs="Arial"/>
          <w:i/>
          <w:iCs/>
          <w:sz w:val="20"/>
          <w:szCs w:val="20"/>
        </w:rPr>
        <w:t>Berurah</w:t>
      </w:r>
      <w:proofErr w:type="spellEnd"/>
      <w:r>
        <w:rPr>
          <w:rFonts w:ascii="Arial" w:hAnsi="Arial" w:cs="Arial"/>
          <w:sz w:val="20"/>
          <w:szCs w:val="20"/>
        </w:rPr>
        <w:t xml:space="preserve">, during his early residence in Italy. </w:t>
      </w:r>
    </w:p>
    <w:p w14:paraId="7145183E" w14:textId="6B796E68" w:rsidR="00505FAD" w:rsidRDefault="00505FAD" w:rsidP="002B6486">
      <w:pPr>
        <w:spacing w:line="480" w:lineRule="auto"/>
        <w:ind w:firstLine="720"/>
        <w:rPr>
          <w:rFonts w:ascii="Arial" w:hAnsi="Arial" w:cs="Arial"/>
          <w:sz w:val="20"/>
          <w:szCs w:val="20"/>
        </w:rPr>
      </w:pPr>
      <w:r>
        <w:rPr>
          <w:rFonts w:ascii="Arial" w:hAnsi="Arial" w:cs="Arial"/>
          <w:sz w:val="20"/>
          <w:szCs w:val="20"/>
        </w:rPr>
        <w:t xml:space="preserve">To summarize: this essay tests for indications of Ibn Ezra’s possible </w:t>
      </w:r>
      <w:r w:rsidR="000E5697" w:rsidRPr="000E5697">
        <w:rPr>
          <w:rFonts w:ascii="Arial" w:hAnsi="Arial" w:cs="Arial"/>
          <w:sz w:val="20"/>
          <w:szCs w:val="20"/>
        </w:rPr>
        <w:t>acclimatization</w:t>
      </w:r>
      <w:r w:rsidR="000E5697" w:rsidRPr="000E5697" w:rsidDel="000E5697">
        <w:rPr>
          <w:rFonts w:ascii="Arial" w:hAnsi="Arial" w:cs="Arial"/>
          <w:sz w:val="20"/>
          <w:szCs w:val="20"/>
        </w:rPr>
        <w:t xml:space="preserve"> </w:t>
      </w:r>
      <w:r>
        <w:rPr>
          <w:rFonts w:ascii="Arial" w:hAnsi="Arial" w:cs="Arial"/>
          <w:sz w:val="20"/>
          <w:szCs w:val="20"/>
        </w:rPr>
        <w:t xml:space="preserve">or acculturation in </w:t>
      </w:r>
      <w:proofErr w:type="spellStart"/>
      <w:r>
        <w:rPr>
          <w:rFonts w:ascii="Arial" w:hAnsi="Arial" w:cs="Arial"/>
          <w:sz w:val="20"/>
          <w:szCs w:val="20"/>
        </w:rPr>
        <w:t>Ashkenaz</w:t>
      </w:r>
      <w:proofErr w:type="spellEnd"/>
      <w:r>
        <w:rPr>
          <w:rFonts w:ascii="Arial" w:hAnsi="Arial" w:cs="Arial"/>
          <w:sz w:val="20"/>
          <w:szCs w:val="20"/>
        </w:rPr>
        <w:t>.  The methodology is a two-way comparison of his writings, where extant – i.e.</w:t>
      </w:r>
      <w:r w:rsidR="000E5697">
        <w:rPr>
          <w:rFonts w:ascii="Arial" w:hAnsi="Arial" w:cs="Arial"/>
          <w:sz w:val="20"/>
          <w:szCs w:val="20"/>
        </w:rPr>
        <w:t>,</w:t>
      </w:r>
      <w:r>
        <w:rPr>
          <w:rFonts w:ascii="Arial" w:hAnsi="Arial" w:cs="Arial"/>
          <w:sz w:val="20"/>
          <w:szCs w:val="20"/>
        </w:rPr>
        <w:t xml:space="preserve"> to each other and to </w:t>
      </w:r>
      <w:proofErr w:type="spellStart"/>
      <w:r>
        <w:rPr>
          <w:rFonts w:ascii="Arial" w:hAnsi="Arial" w:cs="Arial"/>
          <w:sz w:val="20"/>
          <w:szCs w:val="20"/>
        </w:rPr>
        <w:t>Rashi</w:t>
      </w:r>
      <w:proofErr w:type="spellEnd"/>
      <w:r w:rsidR="002B6486" w:rsidRPr="002B6486">
        <w:rPr>
          <w:rFonts w:ascii="Arial" w:hAnsi="Arial" w:cs="Arial"/>
          <w:sz w:val="20"/>
          <w:szCs w:val="20"/>
        </w:rPr>
        <w:t xml:space="preserve"> – </w:t>
      </w:r>
      <w:r>
        <w:rPr>
          <w:rFonts w:ascii="Arial" w:hAnsi="Arial" w:cs="Arial"/>
          <w:sz w:val="20"/>
          <w:szCs w:val="20"/>
        </w:rPr>
        <w:t>in three of his different exegetical works:</w:t>
      </w:r>
    </w:p>
    <w:p w14:paraId="02BFF983" w14:textId="77777777" w:rsidR="00505FAD" w:rsidRDefault="00505FAD" w:rsidP="00505FAD">
      <w:pPr>
        <w:pStyle w:val="a5"/>
        <w:numPr>
          <w:ilvl w:val="0"/>
          <w:numId w:val="1"/>
        </w:numPr>
        <w:spacing w:line="480" w:lineRule="auto"/>
        <w:rPr>
          <w:rFonts w:ascii="Arial" w:hAnsi="Arial" w:cs="Arial"/>
          <w:sz w:val="20"/>
          <w:szCs w:val="20"/>
        </w:rPr>
      </w:pPr>
      <w:r>
        <w:rPr>
          <w:rFonts w:ascii="Arial" w:hAnsi="Arial" w:cs="Arial"/>
          <w:sz w:val="20"/>
          <w:szCs w:val="20"/>
        </w:rPr>
        <w:t>Ibn Ezra’s two Introductions to Pentateuch I, II (short and long);</w:t>
      </w:r>
    </w:p>
    <w:p w14:paraId="19D3DB27" w14:textId="77777777" w:rsidR="00505FAD" w:rsidRDefault="00505FAD" w:rsidP="00505FAD">
      <w:pPr>
        <w:pStyle w:val="a5"/>
        <w:numPr>
          <w:ilvl w:val="0"/>
          <w:numId w:val="1"/>
        </w:numPr>
        <w:spacing w:line="480" w:lineRule="auto"/>
        <w:rPr>
          <w:rFonts w:ascii="Arial" w:hAnsi="Arial" w:cs="Arial"/>
          <w:sz w:val="20"/>
          <w:szCs w:val="20"/>
        </w:rPr>
      </w:pPr>
      <w:r>
        <w:rPr>
          <w:rFonts w:ascii="Arial" w:hAnsi="Arial" w:cs="Arial"/>
          <w:sz w:val="20"/>
          <w:szCs w:val="20"/>
        </w:rPr>
        <w:t>His two extant Commentaries to Pentateuch I, II (short and fragmentary long);</w:t>
      </w:r>
    </w:p>
    <w:p w14:paraId="6F8B225C" w14:textId="77777777" w:rsidR="00505FAD" w:rsidRDefault="00505FAD" w:rsidP="00505FAD">
      <w:pPr>
        <w:pStyle w:val="a5"/>
        <w:numPr>
          <w:ilvl w:val="0"/>
          <w:numId w:val="1"/>
        </w:numPr>
        <w:spacing w:line="480" w:lineRule="auto"/>
        <w:rPr>
          <w:rFonts w:ascii="Arial" w:hAnsi="Arial" w:cs="Arial"/>
          <w:sz w:val="20"/>
          <w:szCs w:val="20"/>
        </w:rPr>
      </w:pPr>
      <w:r>
        <w:rPr>
          <w:rFonts w:ascii="Arial" w:hAnsi="Arial" w:cs="Arial"/>
          <w:sz w:val="20"/>
          <w:szCs w:val="20"/>
        </w:rPr>
        <w:t>His two Commentaries on the Book of Daniel I, II (short and long).</w:t>
      </w:r>
    </w:p>
    <w:p w14:paraId="47B2274C" w14:textId="77777777" w:rsidR="00505FAD" w:rsidRDefault="00505FAD" w:rsidP="00505FAD">
      <w:pPr>
        <w:spacing w:line="480" w:lineRule="auto"/>
        <w:rPr>
          <w:rFonts w:ascii="Arial" w:hAnsi="Arial" w:cs="Arial"/>
          <w:sz w:val="20"/>
          <w:szCs w:val="20"/>
          <w:u w:val="single"/>
        </w:rPr>
      </w:pPr>
    </w:p>
    <w:p w14:paraId="189A5C76" w14:textId="77777777" w:rsidR="00505FAD" w:rsidRDefault="00505FAD" w:rsidP="00505FAD">
      <w:pPr>
        <w:spacing w:line="480" w:lineRule="auto"/>
        <w:rPr>
          <w:rFonts w:ascii="Arial" w:hAnsi="Arial" w:cs="Arial"/>
          <w:sz w:val="20"/>
          <w:szCs w:val="20"/>
          <w:u w:val="single"/>
        </w:rPr>
      </w:pPr>
      <w:r>
        <w:rPr>
          <w:rFonts w:ascii="Arial" w:hAnsi="Arial" w:cs="Arial"/>
          <w:sz w:val="20"/>
          <w:szCs w:val="20"/>
          <w:u w:val="single"/>
        </w:rPr>
        <w:t>IBN EZRA’S INTRODUCTIONS TO PENTATEUCH</w:t>
      </w:r>
    </w:p>
    <w:p w14:paraId="74D9EA23" w14:textId="0710F6AC" w:rsidR="00505FAD" w:rsidRDefault="00505FAD" w:rsidP="00505FAD">
      <w:pPr>
        <w:spacing w:line="480" w:lineRule="auto"/>
        <w:ind w:firstLine="720"/>
        <w:rPr>
          <w:rFonts w:ascii="Arial" w:hAnsi="Arial" w:cs="Arial"/>
          <w:sz w:val="20"/>
          <w:szCs w:val="20"/>
          <w:highlight w:val="cyan"/>
          <w:u w:val="single"/>
        </w:rPr>
      </w:pPr>
      <w:r>
        <w:rPr>
          <w:rFonts w:ascii="Arial" w:hAnsi="Arial" w:cs="Arial"/>
          <w:sz w:val="20"/>
          <w:szCs w:val="20"/>
        </w:rPr>
        <w:t xml:space="preserve">In his Introduction to his first Commentary on Pentateuch I (Short Commentary – </w:t>
      </w:r>
      <w:proofErr w:type="spellStart"/>
      <w:r>
        <w:rPr>
          <w:rFonts w:ascii="Arial" w:hAnsi="Arial" w:cs="Arial"/>
          <w:i/>
          <w:iCs/>
          <w:sz w:val="20"/>
          <w:szCs w:val="20"/>
        </w:rPr>
        <w:t>Sefer</w:t>
      </w:r>
      <w:proofErr w:type="spellEnd"/>
      <w:r>
        <w:rPr>
          <w:rFonts w:ascii="Arial" w:hAnsi="Arial" w:cs="Arial"/>
          <w:i/>
          <w:iCs/>
          <w:sz w:val="20"/>
          <w:szCs w:val="20"/>
        </w:rPr>
        <w:t xml:space="preserve"> </w:t>
      </w:r>
      <w:proofErr w:type="spellStart"/>
      <w:r>
        <w:rPr>
          <w:rFonts w:ascii="Arial" w:hAnsi="Arial" w:cs="Arial"/>
          <w:i/>
          <w:iCs/>
          <w:sz w:val="20"/>
          <w:szCs w:val="20"/>
        </w:rPr>
        <w:t>HaYashar</w:t>
      </w:r>
      <w:proofErr w:type="spellEnd"/>
      <w:r>
        <w:rPr>
          <w:rFonts w:ascii="Arial" w:hAnsi="Arial" w:cs="Arial"/>
          <w:sz w:val="20"/>
          <w:szCs w:val="20"/>
        </w:rPr>
        <w:t>) which he wrote in Lucca, Italy, (ca. 1142-1145),</w:t>
      </w:r>
      <w:r>
        <w:rPr>
          <w:rStyle w:val="a6"/>
          <w:rFonts w:ascii="Arial" w:hAnsi="Arial" w:cs="Arial"/>
          <w:sz w:val="20"/>
          <w:szCs w:val="20"/>
        </w:rPr>
        <w:footnoteReference w:id="23"/>
      </w:r>
      <w:r>
        <w:rPr>
          <w:rFonts w:ascii="Arial" w:hAnsi="Arial" w:cs="Arial"/>
          <w:sz w:val="20"/>
          <w:szCs w:val="20"/>
        </w:rPr>
        <w:t xml:space="preserve"> Ibn Ezra revealed his early condescension toward the exegetical and grammatical standards of Ashkenazic scholars.  In this work he enumerates five methods of Bible study, the fifth one of which – namely, his own Sephardic, linguistic/rationalistic </w:t>
      </w:r>
      <w:r>
        <w:rPr>
          <w:rFonts w:ascii="Arial" w:hAnsi="Arial" w:cs="Arial"/>
          <w:sz w:val="20"/>
          <w:szCs w:val="20"/>
        </w:rPr>
        <w:lastRenderedPageBreak/>
        <w:t>approach, he terms the “true” approach.  His “fourth method,” i.e.</w:t>
      </w:r>
      <w:r w:rsidR="000E5697">
        <w:rPr>
          <w:rFonts w:ascii="Arial" w:hAnsi="Arial" w:cs="Arial"/>
          <w:sz w:val="20"/>
          <w:szCs w:val="20"/>
        </w:rPr>
        <w:t>,</w:t>
      </w:r>
      <w:r>
        <w:rPr>
          <w:rFonts w:ascii="Arial" w:hAnsi="Arial" w:cs="Arial"/>
          <w:sz w:val="20"/>
          <w:szCs w:val="20"/>
        </w:rPr>
        <w:t xml:space="preserve"> Midrashic hermeneutics, is “the way of the scholars in the lands of the Greeks and Romans [i.e.</w:t>
      </w:r>
      <w:r w:rsidR="000E5697">
        <w:rPr>
          <w:rFonts w:ascii="Arial" w:hAnsi="Arial" w:cs="Arial"/>
          <w:sz w:val="20"/>
          <w:szCs w:val="20"/>
        </w:rPr>
        <w:t>,</w:t>
      </w:r>
      <w:r>
        <w:rPr>
          <w:rFonts w:ascii="Arial" w:hAnsi="Arial" w:cs="Arial"/>
          <w:sz w:val="20"/>
          <w:szCs w:val="20"/>
        </w:rPr>
        <w:t xml:space="preserve"> Christendom], who do not look at grammar or dictates of logic, but instead rely on Midrash, such as [the works] </w:t>
      </w:r>
      <w:proofErr w:type="spellStart"/>
      <w:r>
        <w:rPr>
          <w:rFonts w:ascii="Arial" w:hAnsi="Arial" w:cs="Arial"/>
          <w:i/>
          <w:sz w:val="20"/>
          <w:szCs w:val="20"/>
        </w:rPr>
        <w:t>Lekach</w:t>
      </w:r>
      <w:proofErr w:type="spellEnd"/>
      <w:r>
        <w:rPr>
          <w:rFonts w:ascii="Arial" w:hAnsi="Arial" w:cs="Arial"/>
          <w:i/>
          <w:sz w:val="20"/>
          <w:szCs w:val="20"/>
        </w:rPr>
        <w:t xml:space="preserve"> Tov</w:t>
      </w:r>
      <w:r>
        <w:rPr>
          <w:rFonts w:ascii="Arial" w:hAnsi="Arial" w:cs="Arial"/>
          <w:sz w:val="20"/>
          <w:szCs w:val="20"/>
        </w:rPr>
        <w:t xml:space="preserve"> and </w:t>
      </w:r>
      <w:r>
        <w:rPr>
          <w:rFonts w:ascii="Arial" w:hAnsi="Arial" w:cs="Arial"/>
          <w:i/>
          <w:sz w:val="20"/>
          <w:szCs w:val="20"/>
        </w:rPr>
        <w:t xml:space="preserve">Or </w:t>
      </w:r>
      <w:proofErr w:type="spellStart"/>
      <w:r>
        <w:rPr>
          <w:rFonts w:ascii="Arial" w:hAnsi="Arial" w:cs="Arial"/>
          <w:i/>
          <w:sz w:val="20"/>
          <w:szCs w:val="20"/>
        </w:rPr>
        <w:t>Einayim</w:t>
      </w:r>
      <w:proofErr w:type="spellEnd"/>
      <w:r>
        <w:rPr>
          <w:rFonts w:ascii="Arial" w:hAnsi="Arial" w:cs="Arial"/>
          <w:sz w:val="20"/>
          <w:szCs w:val="20"/>
        </w:rPr>
        <w:t>.”</w:t>
      </w:r>
      <w:r>
        <w:rPr>
          <w:rStyle w:val="a6"/>
          <w:rFonts w:ascii="Arial" w:hAnsi="Arial" w:cs="Arial"/>
          <w:sz w:val="20"/>
          <w:szCs w:val="20"/>
        </w:rPr>
        <w:footnoteReference w:id="24"/>
      </w:r>
      <w:r>
        <w:rPr>
          <w:rFonts w:ascii="Arial" w:hAnsi="Arial" w:cs="Arial"/>
          <w:sz w:val="20"/>
          <w:szCs w:val="20"/>
        </w:rPr>
        <w:t xml:space="preserve">  Throughout Ibn Ezra’s early account of the various types of </w:t>
      </w:r>
      <w:r w:rsidR="00712594">
        <w:rPr>
          <w:rFonts w:ascii="Arial" w:hAnsi="Arial" w:cs="Arial"/>
          <w:i/>
          <w:sz w:val="20"/>
          <w:szCs w:val="20"/>
        </w:rPr>
        <w:t>midrashim</w:t>
      </w:r>
      <w:r w:rsidR="00712594">
        <w:rPr>
          <w:rFonts w:ascii="Arial" w:hAnsi="Arial" w:cs="Arial"/>
          <w:sz w:val="20"/>
          <w:szCs w:val="20"/>
        </w:rPr>
        <w:t xml:space="preserve"> </w:t>
      </w:r>
      <w:r>
        <w:rPr>
          <w:rFonts w:ascii="Arial" w:hAnsi="Arial" w:cs="Arial"/>
          <w:sz w:val="20"/>
          <w:szCs w:val="20"/>
        </w:rPr>
        <w:t>(allegorical, pedagogical, or inspirational) he intersperses numerous jibes toward those who understand them literally.  For example, he argues that one who tries to explain the reason for Creation homiletically, by asserting God’s show of strength to His creatures, provides a “pathetic answer” of “confusion and emptiness.”</w:t>
      </w:r>
      <w:r>
        <w:rPr>
          <w:rStyle w:val="a6"/>
          <w:rFonts w:ascii="Arial" w:hAnsi="Arial" w:cs="Arial"/>
          <w:sz w:val="20"/>
          <w:szCs w:val="20"/>
        </w:rPr>
        <w:footnoteReference w:id="25"/>
      </w:r>
      <w:r>
        <w:rPr>
          <w:rFonts w:ascii="Arial" w:hAnsi="Arial" w:cs="Arial"/>
          <w:sz w:val="20"/>
          <w:szCs w:val="20"/>
        </w:rPr>
        <w:t xml:space="preserve">  This barb appears to be directed at </w:t>
      </w:r>
      <w:proofErr w:type="spellStart"/>
      <w:r>
        <w:rPr>
          <w:rFonts w:ascii="Arial" w:hAnsi="Arial" w:cs="Arial"/>
          <w:sz w:val="20"/>
          <w:szCs w:val="20"/>
        </w:rPr>
        <w:t>Rashi</w:t>
      </w:r>
      <w:proofErr w:type="spellEnd"/>
      <w:r>
        <w:rPr>
          <w:rFonts w:ascii="Arial" w:hAnsi="Arial" w:cs="Arial"/>
          <w:sz w:val="20"/>
          <w:szCs w:val="20"/>
        </w:rPr>
        <w:t xml:space="preserve">, whose opening statement on </w:t>
      </w:r>
      <w:proofErr w:type="spellStart"/>
      <w:r>
        <w:rPr>
          <w:rFonts w:ascii="Arial" w:hAnsi="Arial" w:cs="Arial"/>
          <w:sz w:val="20"/>
          <w:szCs w:val="20"/>
        </w:rPr>
        <w:t>Bereishit</w:t>
      </w:r>
      <w:proofErr w:type="spellEnd"/>
      <w:r>
        <w:rPr>
          <w:rFonts w:ascii="Arial" w:hAnsi="Arial" w:cs="Arial"/>
          <w:sz w:val="20"/>
          <w:szCs w:val="20"/>
        </w:rPr>
        <w:t xml:space="preserve"> asserts just that.  Moreover, when explaining the irrationality of understanding a particular homily in its literal sense, Ibn Ezra adds cynically, that “there </w:t>
      </w:r>
      <w:r>
        <w:rPr>
          <w:rFonts w:asciiTheme="minorBidi" w:hAnsiTheme="minorBidi" w:cstheme="minorBidi"/>
          <w:sz w:val="20"/>
          <w:szCs w:val="20"/>
        </w:rPr>
        <w:t>are absolute proofs to those with eyes and not for blindness</w:t>
      </w:r>
      <w:r>
        <w:rPr>
          <w:rFonts w:ascii="Arial" w:hAnsi="Arial" w:cs="Arial"/>
          <w:sz w:val="20"/>
          <w:szCs w:val="20"/>
        </w:rPr>
        <w:t>.”</w:t>
      </w:r>
      <w:r>
        <w:rPr>
          <w:rStyle w:val="a6"/>
          <w:rFonts w:ascii="Arial" w:hAnsi="Arial" w:cs="Arial"/>
          <w:sz w:val="20"/>
          <w:szCs w:val="20"/>
        </w:rPr>
        <w:footnoteReference w:id="26"/>
      </w:r>
      <w:r>
        <w:rPr>
          <w:rFonts w:ascii="Arial" w:hAnsi="Arial" w:cs="Arial"/>
          <w:sz w:val="20"/>
          <w:szCs w:val="20"/>
        </w:rPr>
        <w:t xml:space="preserve">  After showing that </w:t>
      </w:r>
      <w:r w:rsidR="00712594">
        <w:rPr>
          <w:rFonts w:ascii="Arial" w:hAnsi="Arial" w:cs="Arial"/>
          <w:i/>
          <w:sz w:val="20"/>
          <w:szCs w:val="20"/>
        </w:rPr>
        <w:t>midrashim</w:t>
      </w:r>
      <w:r w:rsidR="00712594">
        <w:rPr>
          <w:rFonts w:ascii="Arial" w:hAnsi="Arial" w:cs="Arial"/>
          <w:sz w:val="20"/>
          <w:szCs w:val="20"/>
        </w:rPr>
        <w:t xml:space="preserve"> </w:t>
      </w:r>
      <w:r>
        <w:rPr>
          <w:rFonts w:ascii="Arial" w:hAnsi="Arial" w:cs="Arial"/>
          <w:sz w:val="20"/>
          <w:szCs w:val="20"/>
        </w:rPr>
        <w:t xml:space="preserve">may be produced by those “with limited intelligence” and learned scholars alike, Ibn Ezra concludes by stating that “there is no end to </w:t>
      </w:r>
      <w:proofErr w:type="spellStart"/>
      <w:r>
        <w:rPr>
          <w:rFonts w:ascii="Arial" w:hAnsi="Arial" w:cs="Arial"/>
          <w:i/>
          <w:sz w:val="20"/>
          <w:szCs w:val="20"/>
        </w:rPr>
        <w:t>derash</w:t>
      </w:r>
      <w:proofErr w:type="spellEnd"/>
      <w:r>
        <w:rPr>
          <w:rFonts w:ascii="Arial" w:hAnsi="Arial" w:cs="Arial"/>
          <w:sz w:val="20"/>
          <w:szCs w:val="20"/>
        </w:rPr>
        <w:t>.”</w:t>
      </w:r>
      <w:r>
        <w:rPr>
          <w:rStyle w:val="a6"/>
          <w:rFonts w:ascii="Arial" w:hAnsi="Arial" w:cs="Arial"/>
          <w:sz w:val="20"/>
          <w:szCs w:val="20"/>
        </w:rPr>
        <w:footnoteReference w:id="27"/>
      </w:r>
      <w:r>
        <w:rPr>
          <w:rFonts w:ascii="Arial" w:hAnsi="Arial" w:cs="Arial"/>
          <w:sz w:val="20"/>
          <w:szCs w:val="20"/>
        </w:rPr>
        <w:t xml:space="preserve">  Once again, his derogatory comments were written shortly after his arrival to Italy and reflect his clear Sephardic chauvinism toward Ashkenazic, </w:t>
      </w:r>
      <w:proofErr w:type="spellStart"/>
      <w:r>
        <w:rPr>
          <w:rFonts w:ascii="Arial" w:hAnsi="Arial" w:cs="Arial"/>
          <w:i/>
          <w:sz w:val="20"/>
          <w:szCs w:val="20"/>
        </w:rPr>
        <w:t>derash</w:t>
      </w:r>
      <w:proofErr w:type="spellEnd"/>
      <w:r>
        <w:rPr>
          <w:rFonts w:ascii="Arial" w:hAnsi="Arial" w:cs="Arial"/>
          <w:sz w:val="20"/>
          <w:szCs w:val="20"/>
        </w:rPr>
        <w:t>-based exegesis.</w:t>
      </w:r>
    </w:p>
    <w:p w14:paraId="66F847A9" w14:textId="4252F1FC" w:rsidR="00505FAD" w:rsidRDefault="00505FAD" w:rsidP="003E4F70">
      <w:pPr>
        <w:spacing w:line="480" w:lineRule="auto"/>
        <w:ind w:firstLine="720"/>
        <w:rPr>
          <w:rFonts w:asciiTheme="minorBidi" w:hAnsiTheme="minorBidi" w:cstheme="minorBidi"/>
          <w:sz w:val="20"/>
          <w:szCs w:val="20"/>
        </w:rPr>
      </w:pPr>
      <w:r>
        <w:rPr>
          <w:rFonts w:ascii="Arial" w:hAnsi="Arial" w:cs="Arial"/>
          <w:sz w:val="20"/>
          <w:szCs w:val="20"/>
        </w:rPr>
        <w:t>A comparison between Ibn Ezra’s earlier and later works is particularly relevant here, as he wrote another introduction to Pentateuch</w:t>
      </w:r>
      <w:r w:rsidR="00712594">
        <w:rPr>
          <w:rFonts w:ascii="Arial" w:hAnsi="Arial" w:cs="Arial"/>
          <w:sz w:val="20"/>
          <w:szCs w:val="20"/>
        </w:rPr>
        <w:t>,</w:t>
      </w:r>
      <w:r>
        <w:rPr>
          <w:rFonts w:ascii="Arial" w:hAnsi="Arial" w:cs="Arial"/>
          <w:sz w:val="20"/>
          <w:szCs w:val="20"/>
        </w:rPr>
        <w:t xml:space="preserve"> as well as a later Torah commentary.</w:t>
      </w:r>
      <w:r>
        <w:rPr>
          <w:rStyle w:val="a6"/>
          <w:rFonts w:ascii="Arial" w:hAnsi="Arial" w:cs="Arial"/>
          <w:sz w:val="20"/>
          <w:szCs w:val="20"/>
        </w:rPr>
        <w:footnoteReference w:id="28"/>
      </w:r>
      <w:r>
        <w:rPr>
          <w:rFonts w:ascii="Arial" w:hAnsi="Arial" w:cs="Arial"/>
          <w:sz w:val="20"/>
          <w:szCs w:val="20"/>
        </w:rPr>
        <w:t xml:space="preserve">  A close reading of his later Long Introduction II reveals a noticeable change in Ibn Ezra’s tone toward the exegetical standards of </w:t>
      </w:r>
      <w:proofErr w:type="spellStart"/>
      <w:r>
        <w:rPr>
          <w:rFonts w:ascii="Arial" w:hAnsi="Arial" w:cs="Arial"/>
          <w:sz w:val="20"/>
          <w:szCs w:val="20"/>
        </w:rPr>
        <w:t>Ashkenaz</w:t>
      </w:r>
      <w:proofErr w:type="spellEnd"/>
      <w:r>
        <w:rPr>
          <w:rFonts w:ascii="Arial" w:hAnsi="Arial" w:cs="Arial"/>
          <w:sz w:val="20"/>
          <w:szCs w:val="20"/>
        </w:rPr>
        <w:t xml:space="preserve"> since his early arrival in Italy.  Ibn Ezra wrote his second introduction in Rouen, Northern France </w:t>
      </w:r>
      <w:r w:rsidR="00712594" w:rsidRPr="00712594">
        <w:rPr>
          <w:rFonts w:ascii="Arial" w:hAnsi="Arial" w:cs="Arial"/>
          <w:sz w:val="20"/>
          <w:szCs w:val="20"/>
        </w:rPr>
        <w:t xml:space="preserve">– </w:t>
      </w:r>
      <w:proofErr w:type="spellStart"/>
      <w:r>
        <w:rPr>
          <w:rFonts w:ascii="Arial" w:hAnsi="Arial" w:cs="Arial"/>
          <w:sz w:val="20"/>
          <w:szCs w:val="20"/>
        </w:rPr>
        <w:t>Rashi’s</w:t>
      </w:r>
      <w:proofErr w:type="spellEnd"/>
      <w:r>
        <w:rPr>
          <w:rFonts w:ascii="Arial" w:hAnsi="Arial" w:cs="Arial"/>
          <w:sz w:val="20"/>
          <w:szCs w:val="20"/>
        </w:rPr>
        <w:t xml:space="preserve"> home territory</w:t>
      </w:r>
      <w:r w:rsidR="00712594">
        <w:rPr>
          <w:rFonts w:ascii="Arial" w:hAnsi="Arial" w:cs="Arial"/>
          <w:sz w:val="20"/>
          <w:szCs w:val="20"/>
        </w:rPr>
        <w:t xml:space="preserve"> </w:t>
      </w:r>
      <w:r w:rsidR="00712594" w:rsidRPr="00712594">
        <w:rPr>
          <w:rFonts w:ascii="Arial" w:hAnsi="Arial" w:cs="Arial"/>
          <w:sz w:val="20"/>
          <w:szCs w:val="20"/>
        </w:rPr>
        <w:t xml:space="preserve">– </w:t>
      </w:r>
      <w:r>
        <w:rPr>
          <w:rFonts w:ascii="Arial" w:hAnsi="Arial" w:cs="Arial"/>
          <w:sz w:val="20"/>
          <w:szCs w:val="20"/>
        </w:rPr>
        <w:t xml:space="preserve">in 1155, fifteen years after arriving in Christian Europe, and about a decade or more after writing his Short Commentary I on Torah and his </w:t>
      </w:r>
      <w:proofErr w:type="spellStart"/>
      <w:r>
        <w:rPr>
          <w:rFonts w:ascii="Arial" w:hAnsi="Arial" w:cs="Arial"/>
          <w:i/>
          <w:sz w:val="20"/>
          <w:szCs w:val="20"/>
        </w:rPr>
        <w:t>Safah</w:t>
      </w:r>
      <w:proofErr w:type="spellEnd"/>
      <w:r>
        <w:rPr>
          <w:rFonts w:ascii="Arial" w:hAnsi="Arial" w:cs="Arial"/>
          <w:i/>
          <w:sz w:val="20"/>
          <w:szCs w:val="20"/>
        </w:rPr>
        <w:t xml:space="preserve"> </w:t>
      </w:r>
      <w:proofErr w:type="spellStart"/>
      <w:r>
        <w:rPr>
          <w:rFonts w:ascii="Arial" w:hAnsi="Arial" w:cs="Arial"/>
          <w:i/>
          <w:sz w:val="20"/>
          <w:szCs w:val="20"/>
        </w:rPr>
        <w:t>Berurah</w:t>
      </w:r>
      <w:proofErr w:type="spellEnd"/>
      <w:r>
        <w:rPr>
          <w:rFonts w:ascii="Arial" w:hAnsi="Arial" w:cs="Arial"/>
          <w:sz w:val="20"/>
          <w:szCs w:val="20"/>
        </w:rPr>
        <w:t>.</w:t>
      </w:r>
      <w:r>
        <w:rPr>
          <w:rStyle w:val="a6"/>
          <w:rFonts w:ascii="Arial" w:hAnsi="Arial" w:cs="Arial"/>
          <w:sz w:val="20"/>
          <w:szCs w:val="20"/>
        </w:rPr>
        <w:footnoteReference w:id="29"/>
      </w:r>
      <w:r>
        <w:rPr>
          <w:rFonts w:ascii="Arial" w:hAnsi="Arial" w:cs="Arial"/>
          <w:sz w:val="20"/>
          <w:szCs w:val="20"/>
        </w:rPr>
        <w:t xml:space="preserve">  Unlike Ibn Ezra’s earlier references to Ashkenazic exegesis and its practitioners as misguided (in his first </w:t>
      </w:r>
      <w:r>
        <w:rPr>
          <w:rFonts w:ascii="Arial" w:hAnsi="Arial" w:cs="Arial"/>
          <w:sz w:val="20"/>
          <w:szCs w:val="20"/>
        </w:rPr>
        <w:lastRenderedPageBreak/>
        <w:t xml:space="preserve">Introduction I), his later comments are respectful and tolerant.  For example, Ibn Ezra legitimizes “the fourth method” of </w:t>
      </w:r>
      <w:proofErr w:type="spellStart"/>
      <w:r>
        <w:rPr>
          <w:rFonts w:ascii="Arial" w:hAnsi="Arial" w:cs="Arial"/>
          <w:i/>
          <w:sz w:val="20"/>
          <w:szCs w:val="20"/>
        </w:rPr>
        <w:t>derash</w:t>
      </w:r>
      <w:proofErr w:type="spellEnd"/>
      <w:r>
        <w:rPr>
          <w:rFonts w:ascii="Arial" w:hAnsi="Arial" w:cs="Arial"/>
          <w:sz w:val="20"/>
          <w:szCs w:val="20"/>
        </w:rPr>
        <w:t xml:space="preserve">, by associating it </w:t>
      </w:r>
      <w:r>
        <w:rPr>
          <w:rFonts w:asciiTheme="minorBidi" w:hAnsiTheme="minorBidi" w:cstheme="minorBidi"/>
          <w:sz w:val="20"/>
          <w:szCs w:val="20"/>
        </w:rPr>
        <w:t xml:space="preserve">with the ancient Talmudic sages, who knew and used both </w:t>
      </w:r>
      <w:proofErr w:type="spellStart"/>
      <w:r>
        <w:rPr>
          <w:rFonts w:asciiTheme="minorBidi" w:hAnsiTheme="minorBidi" w:cstheme="minorBidi"/>
          <w:i/>
          <w:sz w:val="20"/>
          <w:szCs w:val="20"/>
        </w:rPr>
        <w:t>peshat</w:t>
      </w:r>
      <w:proofErr w:type="spellEnd"/>
      <w:r>
        <w:rPr>
          <w:rFonts w:asciiTheme="minorBidi" w:hAnsiTheme="minorBidi" w:cstheme="minorBidi"/>
          <w:sz w:val="20"/>
          <w:szCs w:val="20"/>
        </w:rPr>
        <w:t xml:space="preserve"> and </w:t>
      </w:r>
      <w:proofErr w:type="spellStart"/>
      <w:r>
        <w:rPr>
          <w:rFonts w:asciiTheme="minorBidi" w:hAnsiTheme="minorBidi" w:cstheme="minorBidi"/>
          <w:i/>
          <w:sz w:val="20"/>
          <w:szCs w:val="20"/>
        </w:rPr>
        <w:t>derash</w:t>
      </w:r>
      <w:proofErr w:type="spellEnd"/>
      <w:r>
        <w:rPr>
          <w:rFonts w:asciiTheme="minorBidi" w:hAnsiTheme="minorBidi" w:cstheme="minorBidi"/>
          <w:sz w:val="20"/>
          <w:szCs w:val="20"/>
        </w:rPr>
        <w:t xml:space="preserve">. This </w:t>
      </w:r>
      <w:r w:rsidR="00712594">
        <w:rPr>
          <w:rFonts w:asciiTheme="minorBidi" w:hAnsiTheme="minorBidi" w:cstheme="minorBidi"/>
          <w:sz w:val="20"/>
          <w:szCs w:val="20"/>
        </w:rPr>
        <w:t xml:space="preserve">stands </w:t>
      </w:r>
      <w:r>
        <w:rPr>
          <w:rFonts w:asciiTheme="minorBidi" w:hAnsiTheme="minorBidi" w:cstheme="minorBidi"/>
          <w:sz w:val="20"/>
          <w:szCs w:val="20"/>
        </w:rPr>
        <w:t xml:space="preserve">in contrast to his earlier association of </w:t>
      </w:r>
      <w:proofErr w:type="spellStart"/>
      <w:r>
        <w:rPr>
          <w:rFonts w:asciiTheme="minorBidi" w:hAnsiTheme="minorBidi" w:cstheme="minorBidi"/>
          <w:i/>
          <w:iCs/>
          <w:sz w:val="20"/>
          <w:szCs w:val="20"/>
        </w:rPr>
        <w:t>derash</w:t>
      </w:r>
      <w:proofErr w:type="spellEnd"/>
      <w:r>
        <w:rPr>
          <w:rFonts w:asciiTheme="minorBidi" w:hAnsiTheme="minorBidi" w:cstheme="minorBidi"/>
          <w:sz w:val="20"/>
          <w:szCs w:val="20"/>
        </w:rPr>
        <w:t xml:space="preserve"> with the mistaken exegetes of </w:t>
      </w:r>
      <w:proofErr w:type="spellStart"/>
      <w:r>
        <w:rPr>
          <w:rFonts w:asciiTheme="minorBidi" w:hAnsiTheme="minorBidi" w:cstheme="minorBidi"/>
          <w:sz w:val="20"/>
          <w:szCs w:val="20"/>
        </w:rPr>
        <w:t>Ashkenaz</w:t>
      </w:r>
      <w:proofErr w:type="spellEnd"/>
      <w:r>
        <w:rPr>
          <w:rFonts w:asciiTheme="minorBidi" w:hAnsiTheme="minorBidi" w:cstheme="minorBidi"/>
          <w:sz w:val="20"/>
          <w:szCs w:val="20"/>
        </w:rPr>
        <w:t>, who used the latter method overwhelmingly.</w:t>
      </w:r>
      <w:r>
        <w:rPr>
          <w:rStyle w:val="a6"/>
          <w:rFonts w:asciiTheme="minorBidi" w:hAnsiTheme="minorBidi" w:cstheme="minorBidi"/>
          <w:b/>
          <w:bCs/>
          <w:sz w:val="20"/>
          <w:szCs w:val="20"/>
        </w:rPr>
        <w:footnoteReference w:id="30"/>
      </w:r>
      <w:r>
        <w:rPr>
          <w:rFonts w:asciiTheme="minorBidi" w:hAnsiTheme="minorBidi" w:cstheme="minorBidi"/>
          <w:b/>
          <w:bCs/>
          <w:sz w:val="20"/>
          <w:szCs w:val="20"/>
        </w:rPr>
        <w:t xml:space="preserve"> </w:t>
      </w:r>
      <w:r>
        <w:rPr>
          <w:rFonts w:ascii="Arial" w:hAnsi="Arial" w:cs="Arial"/>
          <w:sz w:val="20"/>
          <w:szCs w:val="20"/>
        </w:rPr>
        <w:t xml:space="preserve">  Furthermore, before building his detailed case of the importance of examining </w:t>
      </w:r>
      <w:r>
        <w:rPr>
          <w:rFonts w:ascii="Arial" w:hAnsi="Arial" w:cs="Arial"/>
          <w:i/>
          <w:sz w:val="20"/>
          <w:szCs w:val="20"/>
        </w:rPr>
        <w:t>Midrashim</w:t>
      </w:r>
      <w:r>
        <w:rPr>
          <w:rFonts w:ascii="Arial" w:hAnsi="Arial" w:cs="Arial"/>
          <w:sz w:val="20"/>
          <w:szCs w:val="20"/>
        </w:rPr>
        <w:t xml:space="preserve"> critically </w:t>
      </w:r>
      <w:r w:rsidR="003E4F70" w:rsidRPr="003E4F70">
        <w:rPr>
          <w:rFonts w:ascii="Arial" w:hAnsi="Arial" w:cs="Arial"/>
          <w:sz w:val="20"/>
          <w:szCs w:val="20"/>
        </w:rPr>
        <w:t>–</w:t>
      </w:r>
      <w:r w:rsidR="003E4F70">
        <w:rPr>
          <w:rFonts w:ascii="Arial" w:hAnsi="Arial" w:cs="Arial"/>
          <w:sz w:val="20"/>
          <w:szCs w:val="20"/>
        </w:rPr>
        <w:t xml:space="preserve"> </w:t>
      </w:r>
      <w:r>
        <w:rPr>
          <w:rFonts w:ascii="Arial" w:hAnsi="Arial" w:cs="Arial"/>
          <w:sz w:val="20"/>
          <w:szCs w:val="20"/>
        </w:rPr>
        <w:t xml:space="preserve">a position antithetical to the Ashkenazic, literal understanding of </w:t>
      </w:r>
      <w:proofErr w:type="spellStart"/>
      <w:r>
        <w:rPr>
          <w:rFonts w:ascii="Arial" w:hAnsi="Arial" w:cs="Arial"/>
          <w:i/>
          <w:sz w:val="20"/>
          <w:szCs w:val="20"/>
        </w:rPr>
        <w:t>derash</w:t>
      </w:r>
      <w:proofErr w:type="spellEnd"/>
      <w:r w:rsidR="003E4F70">
        <w:rPr>
          <w:rFonts w:ascii="Arial" w:hAnsi="Arial" w:cs="Arial"/>
          <w:iCs/>
          <w:sz w:val="20"/>
          <w:szCs w:val="20"/>
        </w:rPr>
        <w:t xml:space="preserve"> </w:t>
      </w:r>
      <w:r w:rsidR="003E4F70" w:rsidRPr="003E4F70">
        <w:rPr>
          <w:rFonts w:ascii="Arial" w:hAnsi="Arial" w:cs="Arial"/>
          <w:iCs/>
          <w:sz w:val="20"/>
          <w:szCs w:val="20"/>
        </w:rPr>
        <w:t>–</w:t>
      </w:r>
      <w:r w:rsidR="003E4F70">
        <w:rPr>
          <w:rFonts w:ascii="Arial" w:hAnsi="Arial" w:cs="Arial"/>
          <w:iCs/>
          <w:sz w:val="20"/>
          <w:szCs w:val="20"/>
        </w:rPr>
        <w:t xml:space="preserve"> </w:t>
      </w:r>
      <w:r>
        <w:rPr>
          <w:rFonts w:ascii="Arial" w:hAnsi="Arial" w:cs="Arial"/>
          <w:sz w:val="20"/>
          <w:szCs w:val="20"/>
        </w:rPr>
        <w:t xml:space="preserve">Ibn Ezra prefaces his controversial stance with a cautionary but respectful note.  He states, “[T]he method of </w:t>
      </w:r>
      <w:proofErr w:type="spellStart"/>
      <w:r>
        <w:rPr>
          <w:rFonts w:ascii="Arial" w:hAnsi="Arial" w:cs="Arial"/>
          <w:i/>
          <w:iCs/>
          <w:sz w:val="20"/>
          <w:szCs w:val="20"/>
        </w:rPr>
        <w:t>peshat</w:t>
      </w:r>
      <w:proofErr w:type="spellEnd"/>
      <w:r>
        <w:rPr>
          <w:rFonts w:ascii="Arial" w:hAnsi="Arial" w:cs="Arial"/>
          <w:sz w:val="20"/>
          <w:szCs w:val="20"/>
        </w:rPr>
        <w:t xml:space="preserve"> was not hidden from [</w:t>
      </w:r>
      <w:proofErr w:type="spellStart"/>
      <w:r w:rsidR="00712594">
        <w:rPr>
          <w:rFonts w:ascii="Arial" w:hAnsi="Arial" w:cs="Arial"/>
          <w:i/>
          <w:iCs/>
          <w:sz w:val="20"/>
          <w:szCs w:val="20"/>
        </w:rPr>
        <w:t>H</w:t>
      </w:r>
      <w:r>
        <w:rPr>
          <w:rFonts w:ascii="Arial" w:hAnsi="Arial" w:cs="Arial"/>
          <w:i/>
          <w:iCs/>
          <w:sz w:val="20"/>
          <w:szCs w:val="20"/>
        </w:rPr>
        <w:t>azal</w:t>
      </w:r>
      <w:proofErr w:type="spellEnd"/>
      <w:r>
        <w:rPr>
          <w:rFonts w:ascii="Arial" w:hAnsi="Arial" w:cs="Arial"/>
          <w:sz w:val="20"/>
          <w:szCs w:val="20"/>
        </w:rPr>
        <w:t xml:space="preserve">]…, but [they] adopted the method of </w:t>
      </w:r>
      <w:proofErr w:type="spellStart"/>
      <w:r w:rsidRPr="00FB1CFF">
        <w:rPr>
          <w:rFonts w:ascii="Arial" w:hAnsi="Arial" w:cs="Arial"/>
          <w:i/>
          <w:iCs/>
          <w:sz w:val="20"/>
          <w:szCs w:val="20"/>
        </w:rPr>
        <w:t>peshat</w:t>
      </w:r>
      <w:proofErr w:type="spellEnd"/>
      <w:r>
        <w:rPr>
          <w:rFonts w:ascii="Arial" w:hAnsi="Arial" w:cs="Arial"/>
          <w:sz w:val="20"/>
          <w:szCs w:val="20"/>
        </w:rPr>
        <w:t>, because there are seventy facets to Torah.”</w:t>
      </w:r>
      <w:r>
        <w:rPr>
          <w:rStyle w:val="a6"/>
          <w:rFonts w:ascii="Arial" w:hAnsi="Arial" w:cs="Arial"/>
          <w:sz w:val="20"/>
          <w:szCs w:val="20"/>
        </w:rPr>
        <w:footnoteReference w:id="31"/>
      </w:r>
      <w:r>
        <w:rPr>
          <w:rFonts w:ascii="Arial" w:hAnsi="Arial" w:cs="Arial"/>
          <w:sz w:val="20"/>
          <w:szCs w:val="20"/>
        </w:rPr>
        <w:t xml:space="preserve">  Additionally, after clarifying his own (grammatical-literalist) “fifth method,” Ibn Ezra provides the reader with his “abridged version of the laws of grammar,” noting simply that “the [Ashkenazic] scholars of our generation did not engage in [the study of] grammar.”</w:t>
      </w:r>
      <w:r>
        <w:rPr>
          <w:rStyle w:val="a6"/>
          <w:rFonts w:ascii="Arial" w:hAnsi="Arial" w:cs="Arial"/>
          <w:sz w:val="20"/>
          <w:szCs w:val="20"/>
        </w:rPr>
        <w:footnoteReference w:id="32"/>
      </w:r>
      <w:r>
        <w:rPr>
          <w:rFonts w:ascii="Arial" w:hAnsi="Arial" w:cs="Arial"/>
          <w:sz w:val="20"/>
          <w:szCs w:val="20"/>
        </w:rPr>
        <w:t xml:space="preserve">  Thus, while Ibn Ezra continues to argue against </w:t>
      </w:r>
      <w:r>
        <w:rPr>
          <w:rFonts w:asciiTheme="minorBidi" w:hAnsiTheme="minorBidi" w:cstheme="minorBidi"/>
          <w:sz w:val="20"/>
          <w:szCs w:val="20"/>
        </w:rPr>
        <w:t xml:space="preserve">understanding </w:t>
      </w:r>
      <w:r w:rsidR="00712594">
        <w:rPr>
          <w:rFonts w:asciiTheme="minorBidi" w:hAnsiTheme="minorBidi" w:cstheme="minorBidi"/>
          <w:i/>
          <w:sz w:val="20"/>
          <w:szCs w:val="20"/>
        </w:rPr>
        <w:t>midrashim</w:t>
      </w:r>
      <w:r w:rsidR="00712594">
        <w:rPr>
          <w:rFonts w:asciiTheme="minorBidi" w:hAnsiTheme="minorBidi" w:cstheme="minorBidi"/>
          <w:sz w:val="20"/>
          <w:szCs w:val="20"/>
        </w:rPr>
        <w:t xml:space="preserve"> </w:t>
      </w:r>
      <w:r>
        <w:rPr>
          <w:rFonts w:asciiTheme="minorBidi" w:hAnsiTheme="minorBidi" w:cstheme="minorBidi"/>
          <w:sz w:val="20"/>
          <w:szCs w:val="20"/>
        </w:rPr>
        <w:t>literally, his later style appears to be pedagogical and informative, rather than condescending and sarcastic.  Despite his changes in tone and attitude over time and place, Ibn Ezra</w:t>
      </w:r>
      <w:r w:rsidR="00264BE2">
        <w:rPr>
          <w:rFonts w:asciiTheme="minorBidi" w:hAnsiTheme="minorBidi" w:cstheme="minorBidi"/>
          <w:sz w:val="20"/>
          <w:szCs w:val="20"/>
        </w:rPr>
        <w:t xml:space="preserve"> remains</w:t>
      </w:r>
      <w:r>
        <w:rPr>
          <w:rFonts w:asciiTheme="minorBidi" w:hAnsiTheme="minorBidi" w:cstheme="minorBidi"/>
          <w:sz w:val="20"/>
          <w:szCs w:val="20"/>
        </w:rPr>
        <w:t xml:space="preserve"> steadfast in his</w:t>
      </w:r>
      <w:r w:rsidR="00264BE2">
        <w:rPr>
          <w:rFonts w:asciiTheme="minorBidi" w:hAnsiTheme="minorBidi" w:cstheme="minorBidi"/>
          <w:sz w:val="20"/>
          <w:szCs w:val="20"/>
        </w:rPr>
        <w:t xml:space="preserve"> loyalty to G</w:t>
      </w:r>
      <w:r w:rsidR="00712594">
        <w:rPr>
          <w:rFonts w:asciiTheme="minorBidi" w:hAnsiTheme="minorBidi" w:cstheme="minorBidi"/>
          <w:sz w:val="20"/>
          <w:szCs w:val="20"/>
        </w:rPr>
        <w:t>o</w:t>
      </w:r>
      <w:r w:rsidR="00264BE2">
        <w:rPr>
          <w:rFonts w:asciiTheme="minorBidi" w:hAnsiTheme="minorBidi" w:cstheme="minorBidi"/>
          <w:sz w:val="20"/>
          <w:szCs w:val="20"/>
        </w:rPr>
        <w:t>d and in his</w:t>
      </w:r>
      <w:r>
        <w:rPr>
          <w:rFonts w:asciiTheme="minorBidi" w:hAnsiTheme="minorBidi" w:cstheme="minorBidi"/>
          <w:sz w:val="20"/>
          <w:szCs w:val="20"/>
        </w:rPr>
        <w:t xml:space="preserve"> commitment to the principles of biblical </w:t>
      </w:r>
      <w:proofErr w:type="spellStart"/>
      <w:r>
        <w:rPr>
          <w:rFonts w:asciiTheme="minorBidi" w:hAnsiTheme="minorBidi" w:cstheme="minorBidi"/>
          <w:i/>
          <w:iCs/>
          <w:sz w:val="20"/>
          <w:szCs w:val="20"/>
        </w:rPr>
        <w:t>peshat</w:t>
      </w:r>
      <w:proofErr w:type="spellEnd"/>
      <w:r w:rsidR="006B1481">
        <w:rPr>
          <w:rFonts w:asciiTheme="minorBidi" w:hAnsiTheme="minorBidi" w:cstheme="minorBidi"/>
          <w:sz w:val="20"/>
          <w:szCs w:val="20"/>
        </w:rPr>
        <w:t xml:space="preserve">, which he </w:t>
      </w:r>
      <w:r w:rsidR="00264BE2">
        <w:rPr>
          <w:rFonts w:asciiTheme="minorBidi" w:hAnsiTheme="minorBidi" w:cstheme="minorBidi"/>
          <w:sz w:val="20"/>
          <w:szCs w:val="20"/>
        </w:rPr>
        <w:t>views as</w:t>
      </w:r>
      <w:r w:rsidR="006B1481">
        <w:rPr>
          <w:rFonts w:asciiTheme="minorBidi" w:hAnsiTheme="minorBidi" w:cstheme="minorBidi"/>
          <w:sz w:val="20"/>
          <w:szCs w:val="20"/>
        </w:rPr>
        <w:t xml:space="preserve"> G</w:t>
      </w:r>
      <w:r w:rsidR="00712594">
        <w:rPr>
          <w:rFonts w:asciiTheme="minorBidi" w:hAnsiTheme="minorBidi" w:cstheme="minorBidi"/>
          <w:sz w:val="20"/>
          <w:szCs w:val="20"/>
        </w:rPr>
        <w:t>o</w:t>
      </w:r>
      <w:r w:rsidR="006B1481">
        <w:rPr>
          <w:rFonts w:asciiTheme="minorBidi" w:hAnsiTheme="minorBidi" w:cstheme="minorBidi"/>
          <w:sz w:val="20"/>
          <w:szCs w:val="20"/>
        </w:rPr>
        <w:t>d’s truth in Torah,</w:t>
      </w:r>
      <w:r>
        <w:rPr>
          <w:rFonts w:asciiTheme="minorBidi" w:hAnsiTheme="minorBidi" w:cstheme="minorBidi"/>
          <w:sz w:val="20"/>
          <w:szCs w:val="20"/>
        </w:rPr>
        <w:t xml:space="preserve"> (except for matters of </w:t>
      </w:r>
      <w:r w:rsidRPr="00FB1CFF">
        <w:rPr>
          <w:rFonts w:asciiTheme="minorBidi" w:hAnsiTheme="minorBidi" w:cstheme="minorBidi"/>
          <w:i/>
          <w:iCs/>
          <w:sz w:val="20"/>
          <w:szCs w:val="20"/>
        </w:rPr>
        <w:t>hala</w:t>
      </w:r>
      <w:r w:rsidR="00712594">
        <w:rPr>
          <w:rFonts w:asciiTheme="minorBidi" w:hAnsiTheme="minorBidi" w:cstheme="minorBidi"/>
          <w:i/>
          <w:iCs/>
          <w:sz w:val="20"/>
          <w:szCs w:val="20"/>
        </w:rPr>
        <w:t>k</w:t>
      </w:r>
      <w:r w:rsidRPr="00FB1CFF">
        <w:rPr>
          <w:rFonts w:asciiTheme="minorBidi" w:hAnsiTheme="minorBidi" w:cstheme="minorBidi"/>
          <w:i/>
          <w:iCs/>
          <w:sz w:val="20"/>
          <w:szCs w:val="20"/>
        </w:rPr>
        <w:t>ha</w:t>
      </w:r>
      <w:r>
        <w:rPr>
          <w:rFonts w:asciiTheme="minorBidi" w:hAnsiTheme="minorBidi" w:cstheme="minorBidi"/>
          <w:sz w:val="20"/>
          <w:szCs w:val="20"/>
        </w:rPr>
        <w:t>, in which literalism is displaced)</w:t>
      </w:r>
      <w:r w:rsidR="007F599D">
        <w:rPr>
          <w:rFonts w:asciiTheme="minorBidi" w:hAnsiTheme="minorBidi" w:cstheme="minorBidi"/>
          <w:sz w:val="20"/>
          <w:szCs w:val="20"/>
        </w:rPr>
        <w:t>.</w:t>
      </w:r>
      <w:r>
        <w:rPr>
          <w:rStyle w:val="a6"/>
          <w:rFonts w:asciiTheme="minorBidi" w:hAnsiTheme="minorBidi" w:cstheme="minorBidi"/>
          <w:sz w:val="20"/>
          <w:szCs w:val="20"/>
        </w:rPr>
        <w:footnoteReference w:id="33"/>
      </w:r>
      <w:r>
        <w:rPr>
          <w:rFonts w:asciiTheme="minorBidi" w:hAnsiTheme="minorBidi" w:cstheme="minorBidi"/>
          <w:sz w:val="20"/>
          <w:szCs w:val="20"/>
        </w:rPr>
        <w:t xml:space="preserve">  Perhaps Ibn Ezra’s later comments demonstrate a new level of respect – if not “acculturation” per se, due to his prolonged stay and contact with the methodology and scholars of Northern France.  </w:t>
      </w:r>
    </w:p>
    <w:p w14:paraId="5DE1FD7A" w14:textId="77777777" w:rsidR="00505FAD" w:rsidRDefault="00505FAD" w:rsidP="00505FAD">
      <w:pPr>
        <w:spacing w:line="480" w:lineRule="auto"/>
        <w:rPr>
          <w:rFonts w:ascii="Arial" w:hAnsi="Arial" w:cs="Arial"/>
          <w:sz w:val="20"/>
          <w:szCs w:val="20"/>
        </w:rPr>
      </w:pPr>
    </w:p>
    <w:p w14:paraId="41C61E6B" w14:textId="77777777" w:rsidR="00505FAD" w:rsidRDefault="00505FAD" w:rsidP="00505FAD">
      <w:pPr>
        <w:spacing w:line="480" w:lineRule="auto"/>
        <w:rPr>
          <w:rFonts w:ascii="Arial" w:hAnsi="Arial" w:cs="Arial"/>
          <w:sz w:val="16"/>
          <w:szCs w:val="16"/>
          <w:u w:val="single"/>
        </w:rPr>
      </w:pPr>
      <w:r>
        <w:rPr>
          <w:rFonts w:ascii="Arial" w:hAnsi="Arial" w:cs="Arial"/>
          <w:sz w:val="20"/>
          <w:szCs w:val="20"/>
          <w:u w:val="single"/>
        </w:rPr>
        <w:t xml:space="preserve">IBN EZRA’S COMMENTARIES ON TORAH: </w:t>
      </w:r>
    </w:p>
    <w:p w14:paraId="6889B454" w14:textId="2B6B1902" w:rsidR="00505FAD" w:rsidRDefault="00505FAD" w:rsidP="00505FAD">
      <w:pPr>
        <w:spacing w:line="480" w:lineRule="auto"/>
        <w:ind w:firstLine="720"/>
        <w:rPr>
          <w:rFonts w:asciiTheme="minorBidi" w:eastAsiaTheme="minorHAnsi" w:hAnsiTheme="minorBidi" w:cstheme="minorBidi"/>
          <w:sz w:val="20"/>
          <w:szCs w:val="20"/>
          <w:lang w:bidi="he-IL"/>
        </w:rPr>
      </w:pPr>
      <w:r>
        <w:rPr>
          <w:rFonts w:asciiTheme="minorBidi" w:hAnsiTheme="minorBidi" w:cstheme="minorBidi"/>
          <w:sz w:val="20"/>
          <w:szCs w:val="20"/>
        </w:rPr>
        <w:t xml:space="preserve">Ibn Ezra’s later, moderate stance toward Ashkenazic </w:t>
      </w:r>
      <w:proofErr w:type="spellStart"/>
      <w:r>
        <w:rPr>
          <w:rFonts w:asciiTheme="minorBidi" w:hAnsiTheme="minorBidi" w:cstheme="minorBidi"/>
          <w:i/>
          <w:iCs/>
          <w:sz w:val="20"/>
          <w:szCs w:val="20"/>
        </w:rPr>
        <w:t>parshanut</w:t>
      </w:r>
      <w:proofErr w:type="spellEnd"/>
      <w:r>
        <w:rPr>
          <w:rFonts w:asciiTheme="minorBidi" w:hAnsiTheme="minorBidi" w:cstheme="minorBidi"/>
          <w:sz w:val="20"/>
          <w:szCs w:val="20"/>
        </w:rPr>
        <w:t xml:space="preserve"> is evident in his Long Commentary on Pentateuch II, as well.  In this </w:t>
      </w:r>
      <w:proofErr w:type="spellStart"/>
      <w:r>
        <w:rPr>
          <w:rFonts w:asciiTheme="minorBidi" w:hAnsiTheme="minorBidi" w:cstheme="minorBidi"/>
          <w:i/>
          <w:iCs/>
          <w:sz w:val="20"/>
          <w:szCs w:val="20"/>
        </w:rPr>
        <w:t>perush</w:t>
      </w:r>
      <w:proofErr w:type="spellEnd"/>
      <w:r>
        <w:rPr>
          <w:rFonts w:asciiTheme="minorBidi" w:hAnsiTheme="minorBidi" w:cstheme="minorBidi"/>
          <w:sz w:val="20"/>
          <w:szCs w:val="20"/>
        </w:rPr>
        <w:t>, nearly all of his direct citations</w:t>
      </w:r>
      <w:r w:rsidR="00E72C51">
        <w:rPr>
          <w:rFonts w:asciiTheme="minorBidi" w:hAnsiTheme="minorBidi" w:cstheme="minorBidi"/>
          <w:sz w:val="20"/>
          <w:szCs w:val="20"/>
        </w:rPr>
        <w:t xml:space="preserve"> of</w:t>
      </w:r>
      <w:r>
        <w:rPr>
          <w:rFonts w:asciiTheme="minorBidi" w:hAnsiTheme="minorBidi" w:cstheme="minorBidi"/>
          <w:sz w:val="20"/>
          <w:szCs w:val="20"/>
        </w:rPr>
        <w:t xml:space="preserve"> </w:t>
      </w:r>
      <w:proofErr w:type="spellStart"/>
      <w:r>
        <w:rPr>
          <w:rFonts w:asciiTheme="minorBidi" w:hAnsiTheme="minorBidi" w:cstheme="minorBidi"/>
          <w:sz w:val="20"/>
          <w:szCs w:val="20"/>
        </w:rPr>
        <w:t>Rashi</w:t>
      </w:r>
      <w:proofErr w:type="spellEnd"/>
      <w:r>
        <w:rPr>
          <w:rFonts w:asciiTheme="minorBidi" w:hAnsiTheme="minorBidi" w:cstheme="minorBidi"/>
          <w:sz w:val="20"/>
          <w:szCs w:val="20"/>
        </w:rPr>
        <w:t xml:space="preserve"> are instructive and respectful (see Appendix).  This again supports the idea of Ibn Ezra’s newfound respect for Ashkenazic </w:t>
      </w:r>
      <w:proofErr w:type="spellStart"/>
      <w:r>
        <w:rPr>
          <w:rFonts w:asciiTheme="minorBidi" w:hAnsiTheme="minorBidi" w:cstheme="minorBidi"/>
          <w:i/>
          <w:iCs/>
          <w:sz w:val="20"/>
          <w:szCs w:val="20"/>
        </w:rPr>
        <w:t>parshanut</w:t>
      </w:r>
      <w:proofErr w:type="spellEnd"/>
      <w:r>
        <w:rPr>
          <w:rFonts w:asciiTheme="minorBidi" w:hAnsiTheme="minorBidi" w:cstheme="minorBidi"/>
          <w:sz w:val="20"/>
          <w:szCs w:val="20"/>
        </w:rPr>
        <w:t xml:space="preserve">.  </w:t>
      </w:r>
      <w:r>
        <w:rPr>
          <w:rFonts w:asciiTheme="minorBidi" w:eastAsiaTheme="minorHAnsi" w:hAnsiTheme="minorBidi" w:cstheme="minorBidi"/>
          <w:sz w:val="20"/>
          <w:szCs w:val="20"/>
          <w:lang w:bidi="he-IL"/>
        </w:rPr>
        <w:t xml:space="preserve">Due to historical circumstances, however, a similar comparison between Ibn Ezra’s earlier and later Torah commentaries is not possible, as was done with his Short and Long </w:t>
      </w:r>
      <w:r>
        <w:rPr>
          <w:rFonts w:asciiTheme="minorBidi" w:eastAsiaTheme="minorHAnsi" w:hAnsiTheme="minorBidi" w:cstheme="minorBidi"/>
          <w:sz w:val="20"/>
          <w:szCs w:val="20"/>
          <w:lang w:bidi="he-IL"/>
        </w:rPr>
        <w:lastRenderedPageBreak/>
        <w:t xml:space="preserve">Introductions to Torah, I, II.  Although he wrote numerous recensions of his Torah commentaries in different times and places, most of these other versions are no longer extant.  Ibn Ezra’s existing </w:t>
      </w:r>
      <w:proofErr w:type="spellStart"/>
      <w:r w:rsidRPr="00FB1CFF">
        <w:rPr>
          <w:rFonts w:asciiTheme="minorBidi" w:eastAsiaTheme="minorHAnsi" w:hAnsiTheme="minorBidi" w:cstheme="minorBidi"/>
          <w:i/>
          <w:iCs/>
          <w:sz w:val="20"/>
          <w:szCs w:val="20"/>
          <w:lang w:bidi="he-IL"/>
        </w:rPr>
        <w:t>perush</w:t>
      </w:r>
      <w:proofErr w:type="spellEnd"/>
      <w:r>
        <w:rPr>
          <w:rFonts w:asciiTheme="minorBidi" w:eastAsiaTheme="minorHAnsi" w:hAnsiTheme="minorBidi" w:cstheme="minorBidi"/>
          <w:sz w:val="20"/>
          <w:szCs w:val="20"/>
          <w:lang w:bidi="he-IL"/>
        </w:rPr>
        <w:t xml:space="preserve"> on Torah includes his Short Commentary I on the whole Pentateuch (Lucca, Italy, 1142-45);  his Long Commentary II on a fragment of </w:t>
      </w:r>
      <w:proofErr w:type="spellStart"/>
      <w:r>
        <w:rPr>
          <w:rFonts w:asciiTheme="minorBidi" w:eastAsiaTheme="minorHAnsi" w:hAnsiTheme="minorBidi" w:cstheme="minorBidi"/>
          <w:sz w:val="20"/>
          <w:szCs w:val="20"/>
          <w:lang w:bidi="he-IL"/>
        </w:rPr>
        <w:t>Bereishit</w:t>
      </w:r>
      <w:proofErr w:type="spellEnd"/>
      <w:r>
        <w:rPr>
          <w:rFonts w:asciiTheme="minorBidi" w:eastAsiaTheme="minorHAnsi" w:hAnsiTheme="minorBidi" w:cstheme="minorBidi"/>
          <w:sz w:val="20"/>
          <w:szCs w:val="20"/>
          <w:lang w:bidi="he-IL"/>
        </w:rPr>
        <w:t xml:space="preserve"> (the first two and a half </w:t>
      </w:r>
      <w:proofErr w:type="spellStart"/>
      <w:r>
        <w:rPr>
          <w:rFonts w:asciiTheme="minorBidi" w:eastAsiaTheme="minorHAnsi" w:hAnsiTheme="minorBidi" w:cstheme="minorBidi"/>
          <w:i/>
          <w:iCs/>
          <w:sz w:val="20"/>
          <w:szCs w:val="20"/>
          <w:lang w:bidi="he-IL"/>
        </w:rPr>
        <w:t>parshiyot</w:t>
      </w:r>
      <w:proofErr w:type="spellEnd"/>
      <w:r>
        <w:rPr>
          <w:rFonts w:asciiTheme="minorBidi" w:eastAsiaTheme="minorHAnsi" w:hAnsiTheme="minorBidi" w:cstheme="minorBidi"/>
          <w:sz w:val="20"/>
          <w:szCs w:val="20"/>
          <w:lang w:bidi="he-IL"/>
        </w:rPr>
        <w:t xml:space="preserve">) and on the entire Book of </w:t>
      </w:r>
      <w:proofErr w:type="spellStart"/>
      <w:r>
        <w:rPr>
          <w:rFonts w:asciiTheme="minorBidi" w:eastAsiaTheme="minorHAnsi" w:hAnsiTheme="minorBidi" w:cstheme="minorBidi"/>
          <w:sz w:val="20"/>
          <w:szCs w:val="20"/>
          <w:lang w:bidi="he-IL"/>
        </w:rPr>
        <w:t>Shemot</w:t>
      </w:r>
      <w:proofErr w:type="spellEnd"/>
      <w:r>
        <w:rPr>
          <w:rFonts w:asciiTheme="minorBidi" w:eastAsiaTheme="minorHAnsi" w:hAnsiTheme="minorBidi" w:cstheme="minorBidi"/>
          <w:sz w:val="20"/>
          <w:szCs w:val="20"/>
          <w:lang w:bidi="he-IL"/>
        </w:rPr>
        <w:t xml:space="preserve"> (Rouen, 1155-57).</w:t>
      </w:r>
      <w:r>
        <w:rPr>
          <w:rStyle w:val="a6"/>
          <w:rFonts w:asciiTheme="minorBidi" w:eastAsiaTheme="minorHAnsi" w:hAnsiTheme="minorBidi" w:cstheme="minorBidi"/>
          <w:sz w:val="20"/>
          <w:szCs w:val="20"/>
          <w:lang w:bidi="he-IL"/>
        </w:rPr>
        <w:footnoteReference w:id="34"/>
      </w:r>
      <w:r>
        <w:rPr>
          <w:rFonts w:asciiTheme="minorBidi" w:eastAsiaTheme="minorHAnsi" w:hAnsiTheme="minorBidi" w:cstheme="minorBidi"/>
          <w:sz w:val="20"/>
          <w:szCs w:val="20"/>
          <w:lang w:bidi="he-IL"/>
        </w:rPr>
        <w:t xml:space="preserve">  Ibn Ezra’s </w:t>
      </w:r>
      <w:proofErr w:type="spellStart"/>
      <w:r>
        <w:rPr>
          <w:rFonts w:asciiTheme="minorBidi" w:eastAsiaTheme="minorHAnsi" w:hAnsiTheme="minorBidi" w:cstheme="minorBidi"/>
          <w:i/>
          <w:iCs/>
          <w:sz w:val="20"/>
          <w:szCs w:val="20"/>
          <w:lang w:bidi="he-IL"/>
        </w:rPr>
        <w:t>perush</w:t>
      </w:r>
      <w:proofErr w:type="spellEnd"/>
      <w:r>
        <w:rPr>
          <w:rFonts w:asciiTheme="minorBidi" w:eastAsiaTheme="minorHAnsi" w:hAnsiTheme="minorBidi" w:cstheme="minorBidi"/>
          <w:sz w:val="20"/>
          <w:szCs w:val="20"/>
          <w:lang w:bidi="he-IL"/>
        </w:rPr>
        <w:t xml:space="preserve"> in standard </w:t>
      </w:r>
      <w:proofErr w:type="spellStart"/>
      <w:r>
        <w:rPr>
          <w:rFonts w:asciiTheme="minorBidi" w:eastAsiaTheme="minorHAnsi" w:hAnsiTheme="minorBidi" w:cstheme="minorBidi"/>
          <w:sz w:val="20"/>
          <w:szCs w:val="20"/>
          <w:lang w:bidi="he-IL"/>
        </w:rPr>
        <w:t>Mikraot</w:t>
      </w:r>
      <w:proofErr w:type="spellEnd"/>
      <w:r>
        <w:rPr>
          <w:rFonts w:asciiTheme="minorBidi" w:eastAsiaTheme="minorHAnsi" w:hAnsiTheme="minorBidi" w:cstheme="minorBidi"/>
          <w:sz w:val="20"/>
          <w:szCs w:val="20"/>
          <w:lang w:bidi="he-IL"/>
        </w:rPr>
        <w:t xml:space="preserve"> </w:t>
      </w:r>
      <w:proofErr w:type="spellStart"/>
      <w:r>
        <w:rPr>
          <w:rFonts w:asciiTheme="minorBidi" w:eastAsiaTheme="minorHAnsi" w:hAnsiTheme="minorBidi" w:cstheme="minorBidi"/>
          <w:sz w:val="20"/>
          <w:szCs w:val="20"/>
          <w:lang w:bidi="he-IL"/>
        </w:rPr>
        <w:t>Gedolot</w:t>
      </w:r>
      <w:proofErr w:type="spellEnd"/>
      <w:r>
        <w:rPr>
          <w:rFonts w:asciiTheme="minorBidi" w:eastAsiaTheme="minorHAnsi" w:hAnsiTheme="minorBidi" w:cstheme="minorBidi"/>
          <w:sz w:val="20"/>
          <w:szCs w:val="20"/>
          <w:lang w:bidi="he-IL"/>
        </w:rPr>
        <w:t xml:space="preserve"> editions is a combination of his earlier and later writings.</w:t>
      </w:r>
      <w:r>
        <w:rPr>
          <w:rStyle w:val="a6"/>
          <w:rFonts w:asciiTheme="minorBidi" w:eastAsiaTheme="minorHAnsi" w:hAnsiTheme="minorBidi" w:cstheme="minorBidi"/>
          <w:sz w:val="20"/>
          <w:szCs w:val="20"/>
          <w:lang w:bidi="he-IL"/>
        </w:rPr>
        <w:footnoteReference w:id="35"/>
      </w:r>
      <w:r>
        <w:rPr>
          <w:rFonts w:asciiTheme="minorBidi" w:eastAsiaTheme="minorHAnsi" w:hAnsiTheme="minorBidi" w:cstheme="minorBidi"/>
          <w:sz w:val="20"/>
          <w:szCs w:val="20"/>
          <w:lang w:bidi="he-IL"/>
        </w:rPr>
        <w:t xml:space="preserve">  Since more than three-quarters of his Long Torah Commentary II do not exist, the only possible comparisons between both </w:t>
      </w:r>
      <w:proofErr w:type="spellStart"/>
      <w:r>
        <w:rPr>
          <w:rFonts w:asciiTheme="minorBidi" w:eastAsiaTheme="minorHAnsi" w:hAnsiTheme="minorBidi" w:cstheme="minorBidi"/>
          <w:i/>
          <w:iCs/>
          <w:sz w:val="20"/>
          <w:szCs w:val="20"/>
          <w:lang w:bidi="he-IL"/>
        </w:rPr>
        <w:t>perushim</w:t>
      </w:r>
      <w:proofErr w:type="spellEnd"/>
      <w:r>
        <w:rPr>
          <w:rFonts w:asciiTheme="minorBidi" w:eastAsiaTheme="minorHAnsi" w:hAnsiTheme="minorBidi" w:cstheme="minorBidi"/>
          <w:sz w:val="20"/>
          <w:szCs w:val="20"/>
          <w:lang w:bidi="he-IL"/>
        </w:rPr>
        <w:t xml:space="preserve"> (I and II) would be fragmentary at best.  Thus, an attempt to evaluate Ibn Ezra’s acculturation by such a comparison would be inconclusive.</w:t>
      </w:r>
    </w:p>
    <w:p w14:paraId="462AFF83" w14:textId="127BB62A" w:rsidR="00505FAD" w:rsidRDefault="00505FAD" w:rsidP="007224FD">
      <w:pPr>
        <w:autoSpaceDE w:val="0"/>
        <w:autoSpaceDN w:val="0"/>
        <w:adjustRightInd w:val="0"/>
        <w:spacing w:line="480" w:lineRule="auto"/>
        <w:ind w:firstLine="720"/>
        <w:rPr>
          <w:rFonts w:asciiTheme="minorBidi" w:eastAsiaTheme="minorHAnsi" w:hAnsiTheme="minorBidi" w:cstheme="minorBidi"/>
          <w:sz w:val="20"/>
          <w:szCs w:val="20"/>
          <w:lang w:bidi="he-IL"/>
        </w:rPr>
      </w:pPr>
      <w:r>
        <w:rPr>
          <w:rFonts w:asciiTheme="minorBidi" w:eastAsiaTheme="minorHAnsi" w:hAnsiTheme="minorBidi" w:cstheme="minorBidi"/>
          <w:sz w:val="20"/>
          <w:szCs w:val="20"/>
          <w:lang w:bidi="he-IL"/>
        </w:rPr>
        <w:t>Notwithstanding these drawbacks, this essay’s second method – i.e.</w:t>
      </w:r>
      <w:r w:rsidR="00712594">
        <w:rPr>
          <w:rFonts w:asciiTheme="minorBidi" w:eastAsiaTheme="minorHAnsi" w:hAnsiTheme="minorBidi" w:cstheme="minorBidi"/>
          <w:sz w:val="20"/>
          <w:szCs w:val="20"/>
          <w:lang w:bidi="he-IL"/>
        </w:rPr>
        <w:t>,</w:t>
      </w:r>
      <w:r>
        <w:rPr>
          <w:rFonts w:asciiTheme="minorBidi" w:eastAsiaTheme="minorHAnsi" w:hAnsiTheme="minorBidi" w:cstheme="minorBidi"/>
          <w:sz w:val="20"/>
          <w:szCs w:val="20"/>
          <w:lang w:bidi="he-IL"/>
        </w:rPr>
        <w:t xml:space="preserve"> comparing Ibn Ezra’s references to </w:t>
      </w:r>
      <w:proofErr w:type="spellStart"/>
      <w:r>
        <w:rPr>
          <w:rFonts w:asciiTheme="minorBidi" w:eastAsiaTheme="minorHAnsi" w:hAnsiTheme="minorBidi" w:cstheme="minorBidi"/>
          <w:sz w:val="20"/>
          <w:szCs w:val="20"/>
          <w:lang w:bidi="he-IL"/>
        </w:rPr>
        <w:t>Rashi</w:t>
      </w:r>
      <w:proofErr w:type="spellEnd"/>
      <w:r>
        <w:rPr>
          <w:rFonts w:asciiTheme="minorBidi" w:eastAsiaTheme="minorHAnsi" w:hAnsiTheme="minorBidi" w:cstheme="minorBidi"/>
          <w:sz w:val="20"/>
          <w:szCs w:val="20"/>
          <w:lang w:bidi="he-IL"/>
        </w:rPr>
        <w:t xml:space="preserve"> – is more feasible, though still limited in scope.  This approach provides a compelling alternative to the views of Ibn Ezra as remaining unchanged towards </w:t>
      </w:r>
      <w:proofErr w:type="spellStart"/>
      <w:r>
        <w:rPr>
          <w:rFonts w:asciiTheme="minorBidi" w:eastAsiaTheme="minorHAnsi" w:hAnsiTheme="minorBidi" w:cstheme="minorBidi"/>
          <w:sz w:val="20"/>
          <w:szCs w:val="20"/>
          <w:lang w:bidi="he-IL"/>
        </w:rPr>
        <w:t>Rashi’s</w:t>
      </w:r>
      <w:proofErr w:type="spellEnd"/>
      <w:r>
        <w:rPr>
          <w:rFonts w:asciiTheme="minorBidi" w:eastAsiaTheme="minorHAnsi" w:hAnsiTheme="minorBidi" w:cstheme="minorBidi"/>
          <w:sz w:val="20"/>
          <w:szCs w:val="20"/>
          <w:lang w:bidi="he-IL"/>
        </w:rPr>
        <w:t xml:space="preserve"> commentary – either in cautionary opposition (per Mondschein), or indifference (per Simon).  By cross-referencing Ibn Ezra’s fifteen citations of </w:t>
      </w:r>
      <w:proofErr w:type="spellStart"/>
      <w:r>
        <w:rPr>
          <w:rFonts w:asciiTheme="minorBidi" w:eastAsiaTheme="minorHAnsi" w:hAnsiTheme="minorBidi" w:cstheme="minorBidi"/>
          <w:sz w:val="20"/>
          <w:szCs w:val="20"/>
          <w:lang w:bidi="he-IL"/>
        </w:rPr>
        <w:t>Rashi</w:t>
      </w:r>
      <w:proofErr w:type="spellEnd"/>
      <w:r>
        <w:rPr>
          <w:rFonts w:asciiTheme="minorBidi" w:eastAsiaTheme="minorHAnsi" w:hAnsiTheme="minorBidi" w:cstheme="minorBidi"/>
          <w:sz w:val="20"/>
          <w:szCs w:val="20"/>
          <w:lang w:bidi="he-IL"/>
        </w:rPr>
        <w:t xml:space="preserve">, in his existing Torah Commentaries (I and II), one finds that thirteen out of fifteen come from his Long Commentary on </w:t>
      </w:r>
      <w:proofErr w:type="spellStart"/>
      <w:r>
        <w:rPr>
          <w:rFonts w:asciiTheme="minorBidi" w:eastAsiaTheme="minorHAnsi" w:hAnsiTheme="minorBidi" w:cstheme="minorBidi"/>
          <w:sz w:val="20"/>
          <w:szCs w:val="20"/>
          <w:lang w:bidi="he-IL"/>
        </w:rPr>
        <w:t>Shemot</w:t>
      </w:r>
      <w:proofErr w:type="spellEnd"/>
      <w:r>
        <w:rPr>
          <w:rFonts w:asciiTheme="minorBidi" w:eastAsiaTheme="minorHAnsi" w:hAnsiTheme="minorBidi" w:cstheme="minorBidi"/>
          <w:sz w:val="20"/>
          <w:szCs w:val="20"/>
          <w:lang w:bidi="he-IL"/>
        </w:rPr>
        <w:t xml:space="preserve"> II and the remaining two from his Short Commentary I.  Statistically, this means that close to 90% of Ibn Ezra’s citations of </w:t>
      </w:r>
      <w:proofErr w:type="spellStart"/>
      <w:r>
        <w:rPr>
          <w:rFonts w:asciiTheme="minorBidi" w:eastAsiaTheme="minorHAnsi" w:hAnsiTheme="minorBidi" w:cstheme="minorBidi"/>
          <w:sz w:val="20"/>
          <w:szCs w:val="20"/>
          <w:lang w:bidi="he-IL"/>
        </w:rPr>
        <w:t>Rashi</w:t>
      </w:r>
      <w:proofErr w:type="spellEnd"/>
      <w:r>
        <w:rPr>
          <w:rFonts w:asciiTheme="minorBidi" w:eastAsiaTheme="minorHAnsi" w:hAnsiTheme="minorBidi" w:cstheme="minorBidi"/>
          <w:sz w:val="20"/>
          <w:szCs w:val="20"/>
          <w:lang w:bidi="he-IL"/>
        </w:rPr>
        <w:t xml:space="preserve"> derive from less than 25% of his total (extant) Torah commentary.  One could hypothesize that if the rest of his Long Commentary II were to have survived, it would most likely contain many more direct references to </w:t>
      </w:r>
      <w:proofErr w:type="spellStart"/>
      <w:r>
        <w:rPr>
          <w:rFonts w:asciiTheme="minorBidi" w:eastAsiaTheme="minorHAnsi" w:hAnsiTheme="minorBidi" w:cstheme="minorBidi"/>
          <w:sz w:val="20"/>
          <w:szCs w:val="20"/>
          <w:lang w:bidi="he-IL"/>
        </w:rPr>
        <w:t>Rashi</w:t>
      </w:r>
      <w:proofErr w:type="spellEnd"/>
      <w:r>
        <w:rPr>
          <w:rFonts w:asciiTheme="minorBidi" w:eastAsiaTheme="minorHAnsi" w:hAnsiTheme="minorBidi" w:cstheme="minorBidi"/>
          <w:sz w:val="20"/>
          <w:szCs w:val="20"/>
          <w:lang w:bidi="he-IL"/>
        </w:rPr>
        <w:t>.  The ramifications of this analysis are noteworthy</w:t>
      </w:r>
      <w:r w:rsidR="00BA19BC">
        <w:rPr>
          <w:rFonts w:asciiTheme="minorBidi" w:eastAsiaTheme="minorHAnsi" w:hAnsiTheme="minorBidi" w:cstheme="minorBidi"/>
          <w:sz w:val="20"/>
          <w:szCs w:val="20"/>
          <w:lang w:bidi="he-IL"/>
        </w:rPr>
        <w:t>.</w:t>
      </w:r>
      <w:r>
        <w:rPr>
          <w:rFonts w:asciiTheme="minorBidi" w:eastAsiaTheme="minorHAnsi" w:hAnsiTheme="minorBidi" w:cstheme="minorBidi"/>
          <w:sz w:val="20"/>
          <w:szCs w:val="20"/>
          <w:lang w:bidi="he-IL"/>
        </w:rPr>
        <w:t xml:space="preserve">  It explains the scarcity of direct references to </w:t>
      </w:r>
      <w:proofErr w:type="spellStart"/>
      <w:r>
        <w:rPr>
          <w:rFonts w:asciiTheme="minorBidi" w:eastAsiaTheme="minorHAnsi" w:hAnsiTheme="minorBidi" w:cstheme="minorBidi"/>
          <w:sz w:val="20"/>
          <w:szCs w:val="20"/>
          <w:lang w:bidi="he-IL"/>
        </w:rPr>
        <w:t>Rashi</w:t>
      </w:r>
      <w:proofErr w:type="spellEnd"/>
      <w:r>
        <w:rPr>
          <w:rFonts w:asciiTheme="minorBidi" w:eastAsiaTheme="minorHAnsi" w:hAnsiTheme="minorBidi" w:cstheme="minorBidi"/>
          <w:sz w:val="20"/>
          <w:szCs w:val="20"/>
          <w:lang w:bidi="he-IL"/>
        </w:rPr>
        <w:t xml:space="preserve"> in a new way, by attributing it to the historical loss of most of Ibn Ezra’s Long Torah Commentary II, rather than to any intentional motive on his part.  This is contrary to the perception of Ibn Ezra as having been continuously disengaged from Ashkenazic culture, due to his Sephardic aloofness</w:t>
      </w:r>
      <w:r w:rsidR="007224FD">
        <w:rPr>
          <w:rFonts w:asciiTheme="minorBidi" w:eastAsiaTheme="minorHAnsi" w:hAnsiTheme="minorBidi" w:cstheme="minorBidi"/>
          <w:sz w:val="20"/>
          <w:szCs w:val="20"/>
          <w:lang w:bidi="he-IL"/>
        </w:rPr>
        <w:t xml:space="preserve"> </w:t>
      </w:r>
      <w:r>
        <w:rPr>
          <w:rFonts w:asciiTheme="minorBidi" w:eastAsiaTheme="minorHAnsi" w:hAnsiTheme="minorBidi" w:cstheme="minorBidi"/>
          <w:sz w:val="20"/>
          <w:szCs w:val="20"/>
          <w:lang w:bidi="he-IL"/>
        </w:rPr>
        <w:t xml:space="preserve">throughout (per Simon).  It also negates the premise of Ibn Ezra’s self-censorship in masking his true negative views towards </w:t>
      </w:r>
      <w:proofErr w:type="spellStart"/>
      <w:r>
        <w:rPr>
          <w:rFonts w:asciiTheme="minorBidi" w:eastAsiaTheme="minorHAnsi" w:hAnsiTheme="minorBidi" w:cstheme="minorBidi"/>
          <w:sz w:val="20"/>
          <w:szCs w:val="20"/>
          <w:lang w:bidi="he-IL"/>
        </w:rPr>
        <w:t>Rashi’s</w:t>
      </w:r>
      <w:proofErr w:type="spellEnd"/>
      <w:r>
        <w:rPr>
          <w:rFonts w:asciiTheme="minorBidi" w:eastAsiaTheme="minorHAnsi" w:hAnsiTheme="minorBidi" w:cstheme="minorBidi"/>
          <w:sz w:val="20"/>
          <w:szCs w:val="20"/>
          <w:lang w:bidi="he-IL"/>
        </w:rPr>
        <w:t xml:space="preserve"> commentary, due to professional and economic necessity (per Mondschein).  </w:t>
      </w:r>
    </w:p>
    <w:p w14:paraId="7A992000" w14:textId="5887B6AA" w:rsidR="00505FAD" w:rsidRDefault="00505FAD" w:rsidP="00505FAD">
      <w:pPr>
        <w:autoSpaceDE w:val="0"/>
        <w:autoSpaceDN w:val="0"/>
        <w:adjustRightInd w:val="0"/>
        <w:spacing w:line="480" w:lineRule="auto"/>
        <w:ind w:firstLine="720"/>
        <w:rPr>
          <w:rFonts w:asciiTheme="minorBidi" w:eastAsiaTheme="minorHAnsi" w:hAnsiTheme="minorBidi" w:cstheme="minorBidi"/>
          <w:sz w:val="20"/>
          <w:szCs w:val="20"/>
          <w:lang w:bidi="he-IL"/>
        </w:rPr>
      </w:pPr>
      <w:r>
        <w:rPr>
          <w:rFonts w:asciiTheme="minorBidi" w:eastAsiaTheme="minorHAnsi" w:hAnsiTheme="minorBidi" w:cstheme="minorBidi"/>
          <w:sz w:val="20"/>
          <w:szCs w:val="20"/>
          <w:lang w:bidi="he-IL"/>
        </w:rPr>
        <w:lastRenderedPageBreak/>
        <w:t xml:space="preserve">In this vein, while only two early references to </w:t>
      </w:r>
      <w:proofErr w:type="spellStart"/>
      <w:r>
        <w:rPr>
          <w:rFonts w:asciiTheme="minorBidi" w:eastAsiaTheme="minorHAnsi" w:hAnsiTheme="minorBidi" w:cstheme="minorBidi"/>
          <w:sz w:val="20"/>
          <w:szCs w:val="20"/>
          <w:lang w:bidi="he-IL"/>
        </w:rPr>
        <w:t>Rashi</w:t>
      </w:r>
      <w:proofErr w:type="spellEnd"/>
      <w:r>
        <w:rPr>
          <w:rFonts w:asciiTheme="minorBidi" w:eastAsiaTheme="minorHAnsi" w:hAnsiTheme="minorBidi" w:cstheme="minorBidi"/>
          <w:sz w:val="20"/>
          <w:szCs w:val="20"/>
          <w:lang w:bidi="he-IL"/>
        </w:rPr>
        <w:t xml:space="preserve"> remain from his Short Commentary I, a comparison of them to his thirteen later references, from his Long Commentary II, is relevant.  In his first early citation (Short Commentary I, Ber. 32:9), Ibn Ezra dismisses </w:t>
      </w:r>
      <w:proofErr w:type="spellStart"/>
      <w:r>
        <w:rPr>
          <w:rFonts w:asciiTheme="minorBidi" w:eastAsiaTheme="minorHAnsi" w:hAnsiTheme="minorBidi" w:cstheme="minorBidi"/>
          <w:sz w:val="20"/>
          <w:szCs w:val="20"/>
          <w:lang w:bidi="he-IL"/>
        </w:rPr>
        <w:t>Rashi’s</w:t>
      </w:r>
      <w:proofErr w:type="spellEnd"/>
      <w:r>
        <w:rPr>
          <w:rFonts w:asciiTheme="minorBidi" w:eastAsiaTheme="minorHAnsi" w:hAnsiTheme="minorBidi" w:cstheme="minorBidi"/>
          <w:sz w:val="20"/>
          <w:szCs w:val="20"/>
          <w:lang w:bidi="he-IL"/>
        </w:rPr>
        <w:t xml:space="preserve"> </w:t>
      </w:r>
      <w:proofErr w:type="spellStart"/>
      <w:r w:rsidRPr="00FB1CFF">
        <w:rPr>
          <w:rFonts w:asciiTheme="minorBidi" w:eastAsiaTheme="minorHAnsi" w:hAnsiTheme="minorBidi" w:cstheme="minorBidi"/>
          <w:i/>
          <w:iCs/>
          <w:sz w:val="20"/>
          <w:szCs w:val="20"/>
          <w:lang w:bidi="he-IL"/>
        </w:rPr>
        <w:t>perush</w:t>
      </w:r>
      <w:proofErr w:type="spellEnd"/>
      <w:r>
        <w:rPr>
          <w:rFonts w:asciiTheme="minorBidi" w:eastAsiaTheme="minorHAnsi" w:hAnsiTheme="minorBidi" w:cstheme="minorBidi"/>
          <w:sz w:val="20"/>
          <w:szCs w:val="20"/>
          <w:lang w:bidi="he-IL"/>
        </w:rPr>
        <w:t xml:space="preserve"> without any explanation, referring to it simply as </w:t>
      </w:r>
      <w:proofErr w:type="spellStart"/>
      <w:r>
        <w:rPr>
          <w:rFonts w:asciiTheme="minorBidi" w:eastAsiaTheme="minorHAnsi" w:hAnsiTheme="minorBidi" w:cstheme="minorBidi"/>
          <w:i/>
          <w:iCs/>
          <w:sz w:val="20"/>
          <w:szCs w:val="20"/>
          <w:lang w:bidi="he-IL"/>
        </w:rPr>
        <w:t>derash</w:t>
      </w:r>
      <w:proofErr w:type="spellEnd"/>
      <w:r>
        <w:rPr>
          <w:rFonts w:asciiTheme="minorBidi" w:eastAsiaTheme="minorHAnsi" w:hAnsiTheme="minorBidi" w:cstheme="minorBidi"/>
          <w:sz w:val="20"/>
          <w:szCs w:val="20"/>
          <w:lang w:bidi="he-IL"/>
        </w:rPr>
        <w:t>.</w:t>
      </w:r>
      <w:r>
        <w:rPr>
          <w:rStyle w:val="a6"/>
          <w:rFonts w:asciiTheme="minorBidi" w:eastAsiaTheme="minorHAnsi" w:hAnsiTheme="minorBidi" w:cstheme="minorBidi"/>
          <w:sz w:val="20"/>
          <w:szCs w:val="20"/>
          <w:lang w:bidi="he-IL"/>
        </w:rPr>
        <w:footnoteReference w:id="36"/>
      </w:r>
      <w:r>
        <w:rPr>
          <w:rFonts w:asciiTheme="minorBidi" w:eastAsiaTheme="minorHAnsi" w:hAnsiTheme="minorBidi" w:cstheme="minorBidi"/>
          <w:sz w:val="20"/>
          <w:szCs w:val="20"/>
          <w:lang w:bidi="he-IL"/>
        </w:rPr>
        <w:t xml:space="preserve">  In his second, early reference (Short Commentary II, </w:t>
      </w:r>
      <w:proofErr w:type="spellStart"/>
      <w:r>
        <w:rPr>
          <w:rFonts w:asciiTheme="minorBidi" w:eastAsiaTheme="minorHAnsi" w:hAnsiTheme="minorBidi" w:cstheme="minorBidi"/>
          <w:sz w:val="20"/>
          <w:szCs w:val="20"/>
          <w:lang w:bidi="he-IL"/>
        </w:rPr>
        <w:t>Shemot</w:t>
      </w:r>
      <w:proofErr w:type="spellEnd"/>
      <w:r>
        <w:rPr>
          <w:rFonts w:asciiTheme="minorBidi" w:eastAsiaTheme="minorHAnsi" w:hAnsiTheme="minorBidi" w:cstheme="minorBidi"/>
          <w:sz w:val="20"/>
          <w:szCs w:val="20"/>
          <w:lang w:bidi="he-IL"/>
        </w:rPr>
        <w:t xml:space="preserve"> 28:30), </w:t>
      </w:r>
      <w:r>
        <w:rPr>
          <w:rFonts w:asciiTheme="minorBidi" w:eastAsiaTheme="minorHAnsi" w:hAnsiTheme="minorBidi" w:cstheme="minorBidi"/>
          <w:color w:val="000000"/>
          <w:sz w:val="20"/>
          <w:szCs w:val="20"/>
          <w:lang w:bidi="he-IL"/>
        </w:rPr>
        <w:t xml:space="preserve">Ibn Ezra prefaces his rejection of </w:t>
      </w:r>
      <w:proofErr w:type="spellStart"/>
      <w:r>
        <w:rPr>
          <w:rFonts w:asciiTheme="minorBidi" w:eastAsiaTheme="minorHAnsi" w:hAnsiTheme="minorBidi" w:cstheme="minorBidi"/>
          <w:color w:val="000000"/>
          <w:sz w:val="20"/>
          <w:szCs w:val="20"/>
          <w:lang w:bidi="he-IL"/>
        </w:rPr>
        <w:t>Rashi’s</w:t>
      </w:r>
      <w:proofErr w:type="spellEnd"/>
      <w:r>
        <w:rPr>
          <w:rFonts w:asciiTheme="minorBidi" w:eastAsiaTheme="minorHAnsi" w:hAnsiTheme="minorBidi" w:cstheme="minorBidi"/>
          <w:color w:val="000000"/>
          <w:sz w:val="20"/>
          <w:szCs w:val="20"/>
          <w:lang w:bidi="he-IL"/>
        </w:rPr>
        <w:t xml:space="preserve"> </w:t>
      </w:r>
      <w:proofErr w:type="spellStart"/>
      <w:r>
        <w:rPr>
          <w:rFonts w:asciiTheme="minorBidi" w:eastAsiaTheme="minorHAnsi" w:hAnsiTheme="minorBidi" w:cstheme="minorBidi"/>
          <w:i/>
          <w:iCs/>
          <w:color w:val="000000"/>
          <w:sz w:val="20"/>
          <w:szCs w:val="20"/>
          <w:lang w:bidi="he-IL"/>
        </w:rPr>
        <w:t>derash</w:t>
      </w:r>
      <w:proofErr w:type="spellEnd"/>
      <w:r>
        <w:rPr>
          <w:rFonts w:asciiTheme="minorBidi" w:eastAsiaTheme="minorHAnsi" w:hAnsiTheme="minorBidi" w:cstheme="minorBidi"/>
          <w:color w:val="000000"/>
          <w:sz w:val="20"/>
          <w:szCs w:val="20"/>
          <w:lang w:bidi="he-IL"/>
        </w:rPr>
        <w:t>-based interpretation on this verse with a sarcastic directive: “Open your eyes.”</w:t>
      </w:r>
      <w:r>
        <w:rPr>
          <w:rStyle w:val="a6"/>
          <w:rFonts w:asciiTheme="minorBidi" w:eastAsiaTheme="minorHAnsi" w:hAnsiTheme="minorBidi" w:cstheme="minorBidi"/>
          <w:color w:val="000000"/>
          <w:sz w:val="20"/>
          <w:szCs w:val="20"/>
          <w:lang w:bidi="he-IL"/>
        </w:rPr>
        <w:footnoteReference w:id="37"/>
      </w:r>
      <w:r>
        <w:rPr>
          <w:rFonts w:asciiTheme="minorBidi" w:eastAsiaTheme="minorHAnsi" w:hAnsiTheme="minorBidi" w:cstheme="minorBidi"/>
          <w:color w:val="000000"/>
          <w:sz w:val="20"/>
          <w:szCs w:val="20"/>
          <w:lang w:bidi="he-IL"/>
        </w:rPr>
        <w:t xml:space="preserve"> This language is reminiscent of </w:t>
      </w:r>
      <w:r w:rsidR="007224FD">
        <w:rPr>
          <w:rFonts w:asciiTheme="minorBidi" w:eastAsiaTheme="minorHAnsi" w:hAnsiTheme="minorBidi" w:cstheme="minorBidi"/>
          <w:color w:val="000000"/>
          <w:sz w:val="20"/>
          <w:szCs w:val="20"/>
          <w:lang w:bidi="he-IL"/>
        </w:rPr>
        <w:t>the</w:t>
      </w:r>
      <w:r>
        <w:rPr>
          <w:rFonts w:asciiTheme="minorBidi" w:eastAsiaTheme="minorHAnsi" w:hAnsiTheme="minorBidi" w:cstheme="minorBidi"/>
          <w:color w:val="000000"/>
          <w:sz w:val="20"/>
          <w:szCs w:val="20"/>
          <w:lang w:bidi="he-IL"/>
        </w:rPr>
        <w:t xml:space="preserve"> similarly worded condescension in his Short Introduction to Pentateuch I (noted earlier) in which he claims, “[T]here are absolute proofs to those with eyes and not for blindness.”</w:t>
      </w:r>
      <w:r>
        <w:rPr>
          <w:rStyle w:val="a6"/>
          <w:rFonts w:asciiTheme="minorBidi" w:eastAsiaTheme="minorHAnsi" w:hAnsiTheme="minorBidi" w:cstheme="minorBidi"/>
          <w:color w:val="000000"/>
          <w:sz w:val="20"/>
          <w:szCs w:val="20"/>
          <w:lang w:bidi="he-IL"/>
        </w:rPr>
        <w:footnoteReference w:id="38"/>
      </w:r>
      <w:r>
        <w:rPr>
          <w:rFonts w:asciiTheme="minorBidi" w:eastAsiaTheme="minorHAnsi" w:hAnsiTheme="minorBidi" w:cstheme="minorBidi"/>
          <w:color w:val="000000"/>
          <w:sz w:val="20"/>
          <w:szCs w:val="20"/>
          <w:lang w:bidi="he-IL"/>
        </w:rPr>
        <w:t xml:space="preserve"> </w:t>
      </w:r>
    </w:p>
    <w:p w14:paraId="5F6D90EA" w14:textId="50AE61FB" w:rsidR="00505FAD" w:rsidRDefault="00505FAD" w:rsidP="00505FAD">
      <w:pPr>
        <w:autoSpaceDE w:val="0"/>
        <w:autoSpaceDN w:val="0"/>
        <w:adjustRightInd w:val="0"/>
        <w:spacing w:line="480" w:lineRule="auto"/>
        <w:ind w:firstLine="720"/>
        <w:rPr>
          <w:rFonts w:asciiTheme="minorBidi" w:eastAsiaTheme="minorHAnsi" w:hAnsiTheme="minorBidi" w:cstheme="minorBidi"/>
          <w:color w:val="000000"/>
          <w:sz w:val="20"/>
          <w:szCs w:val="20"/>
          <w:lang w:bidi="he-IL"/>
        </w:rPr>
      </w:pPr>
      <w:r>
        <w:rPr>
          <w:rFonts w:asciiTheme="minorBidi" w:eastAsiaTheme="minorHAnsi" w:hAnsiTheme="minorBidi" w:cstheme="minorBidi"/>
          <w:sz w:val="20"/>
          <w:szCs w:val="20"/>
          <w:lang w:bidi="he-IL"/>
        </w:rPr>
        <w:t xml:space="preserve">In light of these findings, the study of the remaining thirteen </w:t>
      </w:r>
      <w:proofErr w:type="spellStart"/>
      <w:r>
        <w:rPr>
          <w:rFonts w:asciiTheme="minorBidi" w:eastAsiaTheme="minorHAnsi" w:hAnsiTheme="minorBidi" w:cstheme="minorBidi"/>
          <w:sz w:val="20"/>
          <w:szCs w:val="20"/>
          <w:lang w:bidi="he-IL"/>
        </w:rPr>
        <w:t>Rashi</w:t>
      </w:r>
      <w:proofErr w:type="spellEnd"/>
      <w:r>
        <w:rPr>
          <w:rFonts w:asciiTheme="minorBidi" w:eastAsiaTheme="minorHAnsi" w:hAnsiTheme="minorBidi" w:cstheme="minorBidi"/>
          <w:sz w:val="20"/>
          <w:szCs w:val="20"/>
          <w:lang w:bidi="he-IL"/>
        </w:rPr>
        <w:t xml:space="preserve"> references from his Long Commentary II on </w:t>
      </w:r>
      <w:proofErr w:type="spellStart"/>
      <w:r>
        <w:rPr>
          <w:rFonts w:asciiTheme="minorBidi" w:eastAsiaTheme="minorHAnsi" w:hAnsiTheme="minorBidi" w:cstheme="minorBidi"/>
          <w:sz w:val="20"/>
          <w:szCs w:val="20"/>
          <w:lang w:bidi="he-IL"/>
        </w:rPr>
        <w:t>Shemot</w:t>
      </w:r>
      <w:proofErr w:type="spellEnd"/>
      <w:r>
        <w:rPr>
          <w:rFonts w:asciiTheme="minorBidi" w:eastAsiaTheme="minorHAnsi" w:hAnsiTheme="minorBidi" w:cstheme="minorBidi"/>
          <w:sz w:val="20"/>
          <w:szCs w:val="20"/>
          <w:lang w:bidi="he-IL"/>
        </w:rPr>
        <w:t xml:space="preserve">, is important.  Indeed, in this later commentary, Ibn Ezra is consistently respectful towards </w:t>
      </w:r>
      <w:proofErr w:type="spellStart"/>
      <w:r>
        <w:rPr>
          <w:rFonts w:asciiTheme="minorBidi" w:eastAsiaTheme="minorHAnsi" w:hAnsiTheme="minorBidi" w:cstheme="minorBidi"/>
          <w:sz w:val="20"/>
          <w:szCs w:val="20"/>
          <w:lang w:bidi="he-IL"/>
        </w:rPr>
        <w:t>Rashi</w:t>
      </w:r>
      <w:proofErr w:type="spellEnd"/>
      <w:r>
        <w:rPr>
          <w:rFonts w:asciiTheme="minorBidi" w:eastAsiaTheme="minorHAnsi" w:hAnsiTheme="minorBidi" w:cstheme="minorBidi"/>
          <w:sz w:val="20"/>
          <w:szCs w:val="20"/>
          <w:lang w:bidi="he-IL"/>
        </w:rPr>
        <w:t xml:space="preserve">, and his disagreements are straightforward and instructive, without any condescension.  To the contrary, he often excuses what he perceives as </w:t>
      </w:r>
      <w:proofErr w:type="spellStart"/>
      <w:r>
        <w:rPr>
          <w:rFonts w:asciiTheme="minorBidi" w:eastAsiaTheme="minorHAnsi" w:hAnsiTheme="minorBidi" w:cstheme="minorBidi"/>
          <w:sz w:val="20"/>
          <w:szCs w:val="20"/>
          <w:lang w:bidi="he-IL"/>
        </w:rPr>
        <w:t>Rashi’s</w:t>
      </w:r>
      <w:proofErr w:type="spellEnd"/>
      <w:r>
        <w:rPr>
          <w:rFonts w:asciiTheme="minorBidi" w:eastAsiaTheme="minorHAnsi" w:hAnsiTheme="minorBidi" w:cstheme="minorBidi"/>
          <w:sz w:val="20"/>
          <w:szCs w:val="20"/>
          <w:lang w:bidi="he-IL"/>
        </w:rPr>
        <w:t xml:space="preserve"> mistakes, by noting the latter’s lack of access to Arabic or other (Sephardic-related) knowledge.  For example, before elucidating a particular text, Ibn Ezra respectfully and matter-of-factly provides his readers with a basic lesson in philology.  Regarding the pronunciation of a particular word, he states, “And he who understands the Arabic language would know the difference there is between them.”</w:t>
      </w:r>
      <w:r>
        <w:rPr>
          <w:rStyle w:val="a6"/>
          <w:rFonts w:asciiTheme="minorBidi" w:eastAsiaTheme="minorHAnsi" w:hAnsiTheme="minorBidi" w:cstheme="minorBidi"/>
          <w:sz w:val="20"/>
          <w:szCs w:val="20"/>
          <w:lang w:bidi="he-IL"/>
        </w:rPr>
        <w:footnoteReference w:id="39"/>
      </w:r>
      <w:r>
        <w:rPr>
          <w:rFonts w:asciiTheme="minorBidi" w:eastAsiaTheme="minorHAnsi" w:hAnsiTheme="minorBidi" w:cstheme="minorBidi"/>
          <w:sz w:val="20"/>
          <w:szCs w:val="20"/>
          <w:lang w:bidi="he-IL"/>
        </w:rPr>
        <w:t xml:space="preserve">  In another verse, Ibn Ezra is prepared to defer to </w:t>
      </w:r>
      <w:proofErr w:type="spellStart"/>
      <w:r>
        <w:rPr>
          <w:rFonts w:asciiTheme="minorBidi" w:eastAsiaTheme="minorHAnsi" w:hAnsiTheme="minorBidi" w:cstheme="minorBidi"/>
          <w:sz w:val="20"/>
          <w:szCs w:val="20"/>
          <w:lang w:bidi="he-IL"/>
        </w:rPr>
        <w:t>Rashi’s</w:t>
      </w:r>
      <w:proofErr w:type="spellEnd"/>
      <w:r>
        <w:rPr>
          <w:rFonts w:asciiTheme="minorBidi" w:eastAsiaTheme="minorHAnsi" w:hAnsiTheme="minorBidi" w:cstheme="minorBidi"/>
          <w:sz w:val="20"/>
          <w:szCs w:val="20"/>
          <w:lang w:bidi="he-IL"/>
        </w:rPr>
        <w:t xml:space="preserve"> view of a reportedly miraculous phenomenon in the </w:t>
      </w:r>
      <w:proofErr w:type="spellStart"/>
      <w:r>
        <w:rPr>
          <w:rFonts w:asciiTheme="minorBidi" w:eastAsiaTheme="minorHAnsi" w:hAnsiTheme="minorBidi" w:cstheme="minorBidi"/>
          <w:sz w:val="20"/>
          <w:szCs w:val="20"/>
          <w:lang w:bidi="he-IL"/>
        </w:rPr>
        <w:t>Mishkan</w:t>
      </w:r>
      <w:proofErr w:type="spellEnd"/>
      <w:r>
        <w:rPr>
          <w:rFonts w:asciiTheme="minorBidi" w:eastAsiaTheme="minorHAnsi" w:hAnsiTheme="minorBidi" w:cstheme="minorBidi"/>
          <w:sz w:val="20"/>
          <w:szCs w:val="20"/>
          <w:lang w:bidi="he-IL"/>
        </w:rPr>
        <w:t xml:space="preserve">, even though it contradicts the literalist interpretation of the text.  </w:t>
      </w:r>
      <w:r>
        <w:rPr>
          <w:rFonts w:asciiTheme="minorBidi" w:eastAsiaTheme="minorHAnsi" w:hAnsiTheme="minorBidi" w:cstheme="minorBidi"/>
          <w:color w:val="000000"/>
          <w:sz w:val="20"/>
          <w:szCs w:val="20"/>
          <w:lang w:bidi="he-IL"/>
        </w:rPr>
        <w:t xml:space="preserve">He states: “According to… </w:t>
      </w:r>
      <w:proofErr w:type="spellStart"/>
      <w:r>
        <w:rPr>
          <w:rFonts w:asciiTheme="minorBidi" w:eastAsiaTheme="minorHAnsi" w:hAnsiTheme="minorBidi" w:cstheme="minorBidi"/>
          <w:color w:val="000000"/>
          <w:sz w:val="20"/>
          <w:szCs w:val="20"/>
          <w:lang w:bidi="he-IL"/>
        </w:rPr>
        <w:t>Rabbenu</w:t>
      </w:r>
      <w:proofErr w:type="spellEnd"/>
      <w:r>
        <w:rPr>
          <w:rFonts w:asciiTheme="minorBidi" w:eastAsiaTheme="minorHAnsi" w:hAnsiTheme="minorBidi" w:cstheme="minorBidi"/>
          <w:color w:val="000000"/>
          <w:sz w:val="20"/>
          <w:szCs w:val="20"/>
          <w:lang w:bidi="he-IL"/>
        </w:rPr>
        <w:t xml:space="preserve"> Shlomo [the middle bar in the </w:t>
      </w:r>
      <w:proofErr w:type="spellStart"/>
      <w:r>
        <w:rPr>
          <w:rFonts w:asciiTheme="minorBidi" w:eastAsiaTheme="minorHAnsi" w:hAnsiTheme="minorBidi" w:cstheme="minorBidi"/>
          <w:color w:val="000000"/>
          <w:sz w:val="20"/>
          <w:szCs w:val="20"/>
          <w:lang w:bidi="he-IL"/>
        </w:rPr>
        <w:t>Mishkan</w:t>
      </w:r>
      <w:proofErr w:type="spellEnd"/>
      <w:r>
        <w:rPr>
          <w:rFonts w:asciiTheme="minorBidi" w:eastAsiaTheme="minorHAnsi" w:hAnsiTheme="minorBidi" w:cstheme="minorBidi"/>
          <w:color w:val="000000"/>
          <w:sz w:val="20"/>
          <w:szCs w:val="20"/>
          <w:lang w:bidi="he-IL"/>
        </w:rPr>
        <w:t>] was standing by a miracle. If this is a rabbinically received interpretation (</w:t>
      </w:r>
      <w:r>
        <w:rPr>
          <w:rFonts w:ascii="David" w:eastAsiaTheme="minorHAnsi" w:hAnsi="David" w:cs="David"/>
          <w:color w:val="000000"/>
          <w:rtl/>
          <w:lang w:bidi="he-IL"/>
        </w:rPr>
        <w:t>קבלה</w:t>
      </w:r>
      <w:r>
        <w:rPr>
          <w:rFonts w:asciiTheme="minorBidi" w:eastAsiaTheme="minorHAnsi" w:hAnsiTheme="minorBidi" w:cstheme="minorBidi"/>
          <w:color w:val="000000"/>
          <w:sz w:val="20"/>
          <w:szCs w:val="20"/>
          <w:lang w:bidi="he-IL"/>
        </w:rPr>
        <w:t>), we will hear and accept it.”</w:t>
      </w:r>
      <w:r>
        <w:rPr>
          <w:rStyle w:val="a6"/>
          <w:rFonts w:asciiTheme="minorBidi" w:eastAsiaTheme="minorHAnsi" w:hAnsiTheme="minorBidi" w:cstheme="minorBidi"/>
          <w:color w:val="000000"/>
          <w:sz w:val="20"/>
          <w:szCs w:val="20"/>
          <w:lang w:bidi="he-IL"/>
        </w:rPr>
        <w:footnoteReference w:id="40"/>
      </w:r>
      <w:r>
        <w:rPr>
          <w:rFonts w:asciiTheme="minorBidi" w:eastAsiaTheme="minorHAnsi" w:hAnsiTheme="minorBidi" w:cstheme="minorBidi"/>
          <w:color w:val="000000"/>
          <w:sz w:val="20"/>
          <w:szCs w:val="20"/>
          <w:lang w:bidi="he-IL"/>
        </w:rPr>
        <w:t xml:space="preserve">  Moreover, even when disagreeing with </w:t>
      </w:r>
      <w:proofErr w:type="spellStart"/>
      <w:r>
        <w:rPr>
          <w:rFonts w:asciiTheme="minorBidi" w:eastAsiaTheme="minorHAnsi" w:hAnsiTheme="minorBidi" w:cstheme="minorBidi"/>
          <w:color w:val="000000"/>
          <w:sz w:val="20"/>
          <w:szCs w:val="20"/>
          <w:lang w:bidi="he-IL"/>
        </w:rPr>
        <w:t>Rashi</w:t>
      </w:r>
      <w:proofErr w:type="spellEnd"/>
      <w:r>
        <w:rPr>
          <w:rFonts w:asciiTheme="minorBidi" w:eastAsiaTheme="minorHAnsi" w:hAnsiTheme="minorBidi" w:cstheme="minorBidi"/>
          <w:color w:val="000000"/>
          <w:sz w:val="20"/>
          <w:szCs w:val="20"/>
          <w:lang w:bidi="he-IL"/>
        </w:rPr>
        <w:t xml:space="preserve">, he goes into lengthy </w:t>
      </w:r>
      <w:r>
        <w:rPr>
          <w:rFonts w:asciiTheme="minorBidi" w:eastAsiaTheme="minorHAnsi" w:hAnsiTheme="minorBidi" w:cstheme="minorBidi"/>
          <w:color w:val="000000"/>
          <w:sz w:val="20"/>
          <w:szCs w:val="20"/>
          <w:lang w:bidi="he-IL"/>
        </w:rPr>
        <w:lastRenderedPageBreak/>
        <w:t>explanations as to why he feels differently, citing other biblical verses and grammatical rules, when relevant (see Appendix)</w:t>
      </w:r>
      <w:r w:rsidR="006F6CB1">
        <w:rPr>
          <w:rFonts w:asciiTheme="minorBidi" w:eastAsiaTheme="minorHAnsi" w:hAnsiTheme="minorBidi" w:cstheme="minorBidi"/>
          <w:color w:val="000000"/>
          <w:sz w:val="20"/>
          <w:szCs w:val="20"/>
          <w:lang w:bidi="he-IL"/>
        </w:rPr>
        <w:t>.</w:t>
      </w:r>
      <w:r>
        <w:rPr>
          <w:rFonts w:asciiTheme="minorBidi" w:eastAsiaTheme="minorHAnsi" w:hAnsiTheme="minorBidi" w:cstheme="minorBidi"/>
          <w:color w:val="000000"/>
          <w:sz w:val="20"/>
          <w:szCs w:val="20"/>
          <w:lang w:bidi="he-IL"/>
        </w:rPr>
        <w:t xml:space="preserve">  Thus, Ibn Ezra’s two early references to </w:t>
      </w:r>
      <w:proofErr w:type="spellStart"/>
      <w:r>
        <w:rPr>
          <w:rFonts w:asciiTheme="minorBidi" w:eastAsiaTheme="minorHAnsi" w:hAnsiTheme="minorBidi" w:cstheme="minorBidi"/>
          <w:color w:val="000000"/>
          <w:sz w:val="20"/>
          <w:szCs w:val="20"/>
          <w:lang w:bidi="he-IL"/>
        </w:rPr>
        <w:t>Rashi</w:t>
      </w:r>
      <w:proofErr w:type="spellEnd"/>
      <w:r>
        <w:rPr>
          <w:rFonts w:asciiTheme="minorBidi" w:eastAsiaTheme="minorHAnsi" w:hAnsiTheme="minorBidi" w:cstheme="minorBidi"/>
          <w:color w:val="000000"/>
          <w:sz w:val="20"/>
          <w:szCs w:val="20"/>
          <w:lang w:bidi="he-IL"/>
        </w:rPr>
        <w:t xml:space="preserve"> (from his Short Commentary I) appear to reflect a mindset of Sephardic superiority, while his later references (in his Long Commentary II) reflect one of respect.  This </w:t>
      </w:r>
      <w:r w:rsidR="00BA19BC">
        <w:rPr>
          <w:rFonts w:asciiTheme="minorBidi" w:eastAsiaTheme="minorHAnsi" w:hAnsiTheme="minorBidi" w:cstheme="minorBidi"/>
          <w:color w:val="000000"/>
          <w:sz w:val="20"/>
          <w:szCs w:val="20"/>
          <w:lang w:bidi="he-IL"/>
        </w:rPr>
        <w:t xml:space="preserve">stands </w:t>
      </w:r>
      <w:r>
        <w:rPr>
          <w:rFonts w:asciiTheme="minorBidi" w:eastAsiaTheme="minorHAnsi" w:hAnsiTheme="minorBidi" w:cstheme="minorBidi"/>
          <w:color w:val="000000"/>
          <w:sz w:val="20"/>
          <w:szCs w:val="20"/>
          <w:lang w:bidi="he-IL"/>
        </w:rPr>
        <w:t xml:space="preserve">in contrast to an attitude of “restraint” or professional “caution.”  Ibn Ezra’s newfound respect may have been attributed in part to his experiences and friendships formed in Northern France, as well as to his increased familiarity with Ashkenazic exegesis, as part of his </w:t>
      </w:r>
      <w:r w:rsidR="00C663DA">
        <w:rPr>
          <w:rFonts w:asciiTheme="minorBidi" w:eastAsiaTheme="minorHAnsi" w:hAnsiTheme="minorBidi" w:cstheme="minorBidi"/>
          <w:color w:val="000000"/>
          <w:sz w:val="20"/>
          <w:szCs w:val="20"/>
          <w:lang w:bidi="he-IL"/>
        </w:rPr>
        <w:t xml:space="preserve">education </w:t>
      </w:r>
      <w:r>
        <w:rPr>
          <w:rFonts w:asciiTheme="minorBidi" w:eastAsiaTheme="minorHAnsi" w:hAnsiTheme="minorBidi" w:cstheme="minorBidi"/>
          <w:color w:val="000000"/>
          <w:sz w:val="20"/>
          <w:szCs w:val="20"/>
          <w:lang w:bidi="he-IL"/>
        </w:rPr>
        <w:t xml:space="preserve">there.  </w:t>
      </w:r>
    </w:p>
    <w:p w14:paraId="095D5706" w14:textId="02E790D4" w:rsidR="00505FAD" w:rsidRDefault="00505FAD" w:rsidP="00505FAD">
      <w:pPr>
        <w:spacing w:line="480" w:lineRule="auto"/>
        <w:ind w:firstLine="720"/>
        <w:rPr>
          <w:rFonts w:asciiTheme="minorBidi" w:hAnsiTheme="minorBidi" w:cstheme="minorBidi"/>
          <w:sz w:val="20"/>
          <w:szCs w:val="20"/>
        </w:rPr>
      </w:pPr>
      <w:r>
        <w:rPr>
          <w:rFonts w:asciiTheme="minorBidi" w:hAnsiTheme="minorBidi" w:cstheme="minorBidi"/>
          <w:sz w:val="20"/>
          <w:szCs w:val="20"/>
        </w:rPr>
        <w:t>Indeed, Ibn Ezra’s residence in Northern France</w:t>
      </w:r>
      <w:r w:rsidR="00EF6290">
        <w:rPr>
          <w:rFonts w:asciiTheme="minorBidi" w:hAnsiTheme="minorBidi" w:cstheme="minorBidi"/>
          <w:sz w:val="20"/>
          <w:szCs w:val="20"/>
        </w:rPr>
        <w:t>,</w:t>
      </w:r>
      <w:r>
        <w:rPr>
          <w:rFonts w:asciiTheme="minorBidi" w:hAnsiTheme="minorBidi" w:cstheme="minorBidi"/>
          <w:sz w:val="20"/>
          <w:szCs w:val="20"/>
        </w:rPr>
        <w:t xml:space="preserve"> during which time he wrote his second Introduction to Pentateuch II, and his Long Commentary on Pentateuch II, among others, coincided with his new, deep friendship with </w:t>
      </w:r>
      <w:proofErr w:type="spellStart"/>
      <w:r>
        <w:rPr>
          <w:rFonts w:asciiTheme="minorBidi" w:hAnsiTheme="minorBidi" w:cstheme="minorBidi"/>
          <w:sz w:val="20"/>
          <w:szCs w:val="20"/>
        </w:rPr>
        <w:t>Rabbenu</w:t>
      </w:r>
      <w:proofErr w:type="spellEnd"/>
      <w:r>
        <w:rPr>
          <w:rFonts w:asciiTheme="minorBidi" w:hAnsiTheme="minorBidi" w:cstheme="minorBidi"/>
          <w:sz w:val="20"/>
          <w:szCs w:val="20"/>
        </w:rPr>
        <w:t xml:space="preserve"> Tam – the leading contemporary </w:t>
      </w:r>
      <w:proofErr w:type="spellStart"/>
      <w:r>
        <w:rPr>
          <w:rFonts w:asciiTheme="minorBidi" w:hAnsiTheme="minorBidi" w:cstheme="minorBidi"/>
          <w:sz w:val="20"/>
          <w:szCs w:val="20"/>
        </w:rPr>
        <w:t>Tosafist</w:t>
      </w:r>
      <w:proofErr w:type="spellEnd"/>
      <w:r>
        <w:rPr>
          <w:rFonts w:asciiTheme="minorBidi" w:hAnsiTheme="minorBidi" w:cstheme="minorBidi"/>
          <w:sz w:val="20"/>
          <w:szCs w:val="20"/>
        </w:rPr>
        <w:t xml:space="preserve"> and grandson of </w:t>
      </w:r>
      <w:proofErr w:type="spellStart"/>
      <w:r>
        <w:rPr>
          <w:rFonts w:asciiTheme="minorBidi" w:hAnsiTheme="minorBidi" w:cstheme="minorBidi"/>
          <w:sz w:val="20"/>
          <w:szCs w:val="20"/>
        </w:rPr>
        <w:t>Rashi</w:t>
      </w:r>
      <w:proofErr w:type="spellEnd"/>
      <w:r>
        <w:rPr>
          <w:rFonts w:asciiTheme="minorBidi" w:hAnsiTheme="minorBidi" w:cstheme="minorBidi"/>
          <w:sz w:val="20"/>
          <w:szCs w:val="20"/>
        </w:rPr>
        <w:t xml:space="preserve">.   This unique relationship is documented in a moving literary exchange between the two, in which </w:t>
      </w:r>
      <w:proofErr w:type="spellStart"/>
      <w:r>
        <w:rPr>
          <w:rFonts w:asciiTheme="minorBidi" w:hAnsiTheme="minorBidi" w:cstheme="minorBidi"/>
          <w:sz w:val="20"/>
          <w:szCs w:val="20"/>
        </w:rPr>
        <w:t>Rabbenu</w:t>
      </w:r>
      <w:proofErr w:type="spellEnd"/>
      <w:r>
        <w:rPr>
          <w:rFonts w:asciiTheme="minorBidi" w:hAnsiTheme="minorBidi" w:cstheme="minorBidi"/>
          <w:sz w:val="20"/>
          <w:szCs w:val="20"/>
        </w:rPr>
        <w:t xml:space="preserve"> Tam humbly acknowledges Ibn Ezra’s poetic superiority.  Ibn Ezra responds with a striking poetic masterpiece, crafted in the form of a tree, in which he deferentially submits to </w:t>
      </w:r>
      <w:proofErr w:type="spellStart"/>
      <w:r>
        <w:rPr>
          <w:rFonts w:asciiTheme="minorBidi" w:hAnsiTheme="minorBidi" w:cstheme="minorBidi"/>
          <w:sz w:val="20"/>
          <w:szCs w:val="20"/>
        </w:rPr>
        <w:t>Rabbenu</w:t>
      </w:r>
      <w:proofErr w:type="spellEnd"/>
      <w:r>
        <w:rPr>
          <w:rFonts w:asciiTheme="minorBidi" w:hAnsiTheme="minorBidi" w:cstheme="minorBidi"/>
          <w:sz w:val="20"/>
          <w:szCs w:val="20"/>
        </w:rPr>
        <w:t xml:space="preserve"> Tam’s preeminence.</w:t>
      </w:r>
      <w:r>
        <w:rPr>
          <w:rStyle w:val="a6"/>
          <w:rFonts w:asciiTheme="minorBidi" w:hAnsiTheme="minorBidi" w:cstheme="minorBidi"/>
          <w:sz w:val="20"/>
          <w:szCs w:val="20"/>
        </w:rPr>
        <w:footnoteReference w:id="41"/>
      </w:r>
      <w:r>
        <w:rPr>
          <w:rFonts w:asciiTheme="minorBidi" w:hAnsiTheme="minorBidi" w:cstheme="minorBidi"/>
          <w:sz w:val="20"/>
          <w:szCs w:val="20"/>
        </w:rPr>
        <w:t xml:space="preserve">  The mutual respect between </w:t>
      </w:r>
      <w:proofErr w:type="spellStart"/>
      <w:r>
        <w:rPr>
          <w:rFonts w:asciiTheme="minorBidi" w:hAnsiTheme="minorBidi" w:cstheme="minorBidi"/>
          <w:sz w:val="20"/>
          <w:szCs w:val="20"/>
        </w:rPr>
        <w:t>Rabbenu</w:t>
      </w:r>
      <w:proofErr w:type="spellEnd"/>
      <w:r>
        <w:rPr>
          <w:rFonts w:asciiTheme="minorBidi" w:hAnsiTheme="minorBidi" w:cstheme="minorBidi"/>
          <w:sz w:val="20"/>
          <w:szCs w:val="20"/>
        </w:rPr>
        <w:t xml:space="preserve"> Tam and Ibn Ezra is not only poetic, it is also evidenced in </w:t>
      </w:r>
      <w:proofErr w:type="spellStart"/>
      <w:r>
        <w:rPr>
          <w:rFonts w:asciiTheme="minorBidi" w:hAnsiTheme="minorBidi" w:cstheme="minorBidi"/>
          <w:sz w:val="20"/>
          <w:szCs w:val="20"/>
        </w:rPr>
        <w:t>Tosafist</w:t>
      </w:r>
      <w:proofErr w:type="spellEnd"/>
      <w:r>
        <w:rPr>
          <w:rFonts w:asciiTheme="minorBidi" w:hAnsiTheme="minorBidi" w:cstheme="minorBidi"/>
          <w:sz w:val="20"/>
          <w:szCs w:val="20"/>
        </w:rPr>
        <w:t xml:space="preserve"> references to the latter in the Talmud.  For example, the </w:t>
      </w:r>
      <w:proofErr w:type="spellStart"/>
      <w:r>
        <w:rPr>
          <w:rFonts w:asciiTheme="minorBidi" w:hAnsiTheme="minorBidi" w:cstheme="minorBidi"/>
          <w:sz w:val="20"/>
          <w:szCs w:val="20"/>
        </w:rPr>
        <w:t>Tosafot</w:t>
      </w:r>
      <w:proofErr w:type="spellEnd"/>
      <w:r>
        <w:rPr>
          <w:rFonts w:asciiTheme="minorBidi" w:hAnsiTheme="minorBidi" w:cstheme="minorBidi"/>
          <w:sz w:val="20"/>
          <w:szCs w:val="20"/>
        </w:rPr>
        <w:t xml:space="preserve"> commentary twice cites an exchange in which </w:t>
      </w:r>
      <w:proofErr w:type="spellStart"/>
      <w:r>
        <w:rPr>
          <w:rFonts w:asciiTheme="minorBidi" w:hAnsiTheme="minorBidi" w:cstheme="minorBidi"/>
          <w:sz w:val="20"/>
          <w:szCs w:val="20"/>
        </w:rPr>
        <w:t>Rabbenu</w:t>
      </w:r>
      <w:proofErr w:type="spellEnd"/>
      <w:r>
        <w:rPr>
          <w:rFonts w:asciiTheme="minorBidi" w:hAnsiTheme="minorBidi" w:cstheme="minorBidi"/>
          <w:sz w:val="20"/>
          <w:szCs w:val="20"/>
        </w:rPr>
        <w:t xml:space="preserve"> Tam mentions Ibn Ezra by name and answers his question relating to the date of the bringing of the Omer, upon the Jews’ entrance into Eretz Yisrael.</w:t>
      </w:r>
      <w:r>
        <w:rPr>
          <w:rStyle w:val="a6"/>
          <w:rFonts w:asciiTheme="minorBidi" w:hAnsiTheme="minorBidi" w:cstheme="minorBidi"/>
          <w:sz w:val="20"/>
          <w:szCs w:val="20"/>
        </w:rPr>
        <w:footnoteReference w:id="42"/>
      </w:r>
      <w:r>
        <w:rPr>
          <w:rFonts w:asciiTheme="minorBidi" w:hAnsiTheme="minorBidi" w:cstheme="minorBidi"/>
          <w:sz w:val="20"/>
          <w:szCs w:val="20"/>
        </w:rPr>
        <w:t xml:space="preserve">  He is mentioned in </w:t>
      </w:r>
      <w:proofErr w:type="spellStart"/>
      <w:r>
        <w:rPr>
          <w:rFonts w:asciiTheme="minorBidi" w:hAnsiTheme="minorBidi" w:cstheme="minorBidi"/>
          <w:sz w:val="20"/>
          <w:szCs w:val="20"/>
        </w:rPr>
        <w:t>Tosafot</w:t>
      </w:r>
      <w:proofErr w:type="spellEnd"/>
      <w:r>
        <w:rPr>
          <w:rFonts w:asciiTheme="minorBidi" w:hAnsiTheme="minorBidi" w:cstheme="minorBidi"/>
          <w:sz w:val="20"/>
          <w:szCs w:val="20"/>
        </w:rPr>
        <w:t xml:space="preserve"> again by name in another context, in which Ibn Ezra is cited as an example of a family name, uncommon in medieval Christendom.</w:t>
      </w:r>
      <w:r>
        <w:rPr>
          <w:rStyle w:val="a6"/>
          <w:rFonts w:asciiTheme="minorBidi" w:hAnsiTheme="minorBidi" w:cstheme="minorBidi"/>
          <w:sz w:val="20"/>
          <w:szCs w:val="20"/>
        </w:rPr>
        <w:t xml:space="preserve"> </w:t>
      </w:r>
      <w:r>
        <w:rPr>
          <w:rStyle w:val="a6"/>
          <w:rFonts w:asciiTheme="minorBidi" w:hAnsiTheme="minorBidi" w:cstheme="minorBidi"/>
          <w:sz w:val="20"/>
          <w:szCs w:val="20"/>
        </w:rPr>
        <w:footnoteReference w:id="43"/>
      </w:r>
      <w:r>
        <w:rPr>
          <w:rFonts w:asciiTheme="minorBidi" w:hAnsiTheme="minorBidi" w:cstheme="minorBidi"/>
          <w:sz w:val="20"/>
          <w:szCs w:val="20"/>
        </w:rPr>
        <w:t xml:space="preserve">  While this comment is brought anonymously, it suggests Ibn Ezra’s noted recognition in general, among </w:t>
      </w:r>
      <w:proofErr w:type="spellStart"/>
      <w:r>
        <w:rPr>
          <w:rFonts w:asciiTheme="minorBidi" w:hAnsiTheme="minorBidi" w:cstheme="minorBidi"/>
          <w:sz w:val="20"/>
          <w:szCs w:val="20"/>
        </w:rPr>
        <w:t>Tosafists</w:t>
      </w:r>
      <w:proofErr w:type="spellEnd"/>
      <w:r>
        <w:rPr>
          <w:rFonts w:asciiTheme="minorBidi" w:hAnsiTheme="minorBidi" w:cstheme="minorBidi"/>
          <w:sz w:val="20"/>
          <w:szCs w:val="20"/>
        </w:rPr>
        <w:t xml:space="preserve"> of the day.</w:t>
      </w:r>
      <w:r>
        <w:rPr>
          <w:rStyle w:val="a6"/>
          <w:rFonts w:asciiTheme="minorBidi" w:hAnsiTheme="minorBidi" w:cstheme="minorBidi"/>
          <w:sz w:val="20"/>
          <w:szCs w:val="20"/>
        </w:rPr>
        <w:footnoteReference w:id="44"/>
      </w:r>
      <w:r>
        <w:rPr>
          <w:rFonts w:asciiTheme="minorBidi" w:hAnsiTheme="minorBidi" w:cstheme="minorBidi"/>
          <w:sz w:val="20"/>
          <w:szCs w:val="20"/>
        </w:rPr>
        <w:t xml:space="preserve">  Thus, through his ties of mutual respect and friendship with Northern French </w:t>
      </w:r>
      <w:proofErr w:type="spellStart"/>
      <w:r>
        <w:rPr>
          <w:rFonts w:asciiTheme="minorBidi" w:hAnsiTheme="minorBidi" w:cstheme="minorBidi"/>
          <w:sz w:val="20"/>
          <w:szCs w:val="20"/>
        </w:rPr>
        <w:t>Tosafists</w:t>
      </w:r>
      <w:proofErr w:type="spellEnd"/>
      <w:r>
        <w:rPr>
          <w:rFonts w:asciiTheme="minorBidi" w:hAnsiTheme="minorBidi" w:cstheme="minorBidi"/>
          <w:sz w:val="20"/>
          <w:szCs w:val="20"/>
        </w:rPr>
        <w:t xml:space="preserve">, Ibn Ezra likely developed a new respect and acceptance for their methods of exegesis. And while he did not adopt </w:t>
      </w:r>
      <w:proofErr w:type="spellStart"/>
      <w:r>
        <w:rPr>
          <w:rFonts w:asciiTheme="minorBidi" w:hAnsiTheme="minorBidi" w:cstheme="minorBidi"/>
          <w:i/>
          <w:iCs/>
          <w:sz w:val="20"/>
          <w:szCs w:val="20"/>
        </w:rPr>
        <w:t>derash</w:t>
      </w:r>
      <w:proofErr w:type="spellEnd"/>
      <w:r>
        <w:rPr>
          <w:rFonts w:asciiTheme="minorBidi" w:hAnsiTheme="minorBidi" w:cstheme="minorBidi"/>
          <w:sz w:val="20"/>
          <w:szCs w:val="20"/>
        </w:rPr>
        <w:t xml:space="preserve"> usage in his own commentaries, except in matters of </w:t>
      </w:r>
      <w:proofErr w:type="spellStart"/>
      <w:r w:rsidRPr="00120CDD">
        <w:rPr>
          <w:rFonts w:asciiTheme="minorBidi" w:hAnsiTheme="minorBidi" w:cstheme="minorBidi"/>
          <w:i/>
          <w:iCs/>
          <w:sz w:val="20"/>
          <w:szCs w:val="20"/>
        </w:rPr>
        <w:t>hala</w:t>
      </w:r>
      <w:r w:rsidR="00120CDD" w:rsidRPr="00120CDD">
        <w:rPr>
          <w:rFonts w:asciiTheme="minorBidi" w:hAnsiTheme="minorBidi" w:cstheme="minorBidi"/>
          <w:i/>
          <w:iCs/>
          <w:sz w:val="20"/>
          <w:szCs w:val="20"/>
        </w:rPr>
        <w:t>k</w:t>
      </w:r>
      <w:r w:rsidRPr="00120CDD">
        <w:rPr>
          <w:rFonts w:asciiTheme="minorBidi" w:hAnsiTheme="minorBidi" w:cstheme="minorBidi"/>
          <w:i/>
          <w:iCs/>
          <w:sz w:val="20"/>
          <w:szCs w:val="20"/>
        </w:rPr>
        <w:t>ha</w:t>
      </w:r>
      <w:r w:rsidR="00120CDD" w:rsidRPr="00120CDD">
        <w:rPr>
          <w:rFonts w:asciiTheme="minorBidi" w:hAnsiTheme="minorBidi" w:cstheme="minorBidi"/>
          <w:i/>
          <w:iCs/>
          <w:sz w:val="20"/>
          <w:szCs w:val="20"/>
        </w:rPr>
        <w:t>h</w:t>
      </w:r>
      <w:proofErr w:type="spellEnd"/>
      <w:r>
        <w:rPr>
          <w:rFonts w:asciiTheme="minorBidi" w:hAnsiTheme="minorBidi" w:cstheme="minorBidi"/>
          <w:sz w:val="20"/>
          <w:szCs w:val="20"/>
        </w:rPr>
        <w:t>, he may have come to see it as a different, but legitimate method of Torah study (</w:t>
      </w:r>
      <w:r>
        <w:rPr>
          <w:rFonts w:ascii="FrankRuehl" w:eastAsiaTheme="minorHAnsi" w:hAnsi="FrankRuehl" w:cs="FrankRuehl"/>
          <w:color w:val="000000"/>
          <w:rtl/>
          <w:lang w:bidi="he-IL"/>
        </w:rPr>
        <w:t>שבעים פנים לתורה</w:t>
      </w:r>
      <w:r>
        <w:rPr>
          <w:rFonts w:asciiTheme="minorBidi" w:hAnsiTheme="minorBidi" w:cstheme="minorBidi"/>
          <w:sz w:val="20"/>
          <w:szCs w:val="20"/>
        </w:rPr>
        <w:t>).</w:t>
      </w:r>
    </w:p>
    <w:p w14:paraId="5CE037E0" w14:textId="77777777" w:rsidR="00505FAD" w:rsidRDefault="00505FAD" w:rsidP="00505FAD">
      <w:pPr>
        <w:spacing w:after="160" w:line="256" w:lineRule="auto"/>
        <w:rPr>
          <w:rFonts w:asciiTheme="minorBidi" w:hAnsiTheme="minorBidi" w:cstheme="minorBidi"/>
          <w:b/>
          <w:bCs/>
          <w:sz w:val="20"/>
          <w:szCs w:val="20"/>
        </w:rPr>
      </w:pPr>
    </w:p>
    <w:p w14:paraId="20CC7D25" w14:textId="77777777" w:rsidR="00505FAD" w:rsidRDefault="00505FAD" w:rsidP="00505FAD">
      <w:pPr>
        <w:spacing w:after="160" w:line="256" w:lineRule="auto"/>
        <w:rPr>
          <w:rFonts w:ascii="Arial" w:hAnsi="Arial" w:cs="Arial"/>
          <w:sz w:val="20"/>
          <w:szCs w:val="20"/>
          <w:u w:val="single"/>
        </w:rPr>
      </w:pPr>
      <w:r>
        <w:rPr>
          <w:rFonts w:ascii="Arial" w:hAnsi="Arial" w:cs="Arial"/>
          <w:sz w:val="20"/>
          <w:szCs w:val="20"/>
          <w:u w:val="single"/>
        </w:rPr>
        <w:t>IBN EZRA’S COMMENTARIES ON SEFER DANIEL</w:t>
      </w:r>
    </w:p>
    <w:p w14:paraId="5FE9B614" w14:textId="77777777" w:rsidR="00505FAD" w:rsidRDefault="00505FAD" w:rsidP="00505FAD">
      <w:pPr>
        <w:spacing w:after="160" w:line="256" w:lineRule="auto"/>
        <w:rPr>
          <w:rFonts w:asciiTheme="minorBidi" w:hAnsiTheme="minorBidi" w:cstheme="minorBidi"/>
          <w:b/>
          <w:bCs/>
          <w:sz w:val="22"/>
          <w:szCs w:val="22"/>
        </w:rPr>
      </w:pPr>
    </w:p>
    <w:p w14:paraId="23FAFB9A" w14:textId="489D8B94" w:rsidR="00505FAD" w:rsidRDefault="00505FAD" w:rsidP="00505FAD">
      <w:pPr>
        <w:spacing w:line="480" w:lineRule="auto"/>
        <w:ind w:firstLine="720"/>
        <w:rPr>
          <w:rFonts w:ascii="Arial" w:hAnsi="Arial" w:cs="Arial"/>
          <w:sz w:val="20"/>
          <w:szCs w:val="20"/>
        </w:rPr>
      </w:pPr>
      <w:r>
        <w:rPr>
          <w:rFonts w:ascii="Arial" w:hAnsi="Arial" w:cs="Arial"/>
          <w:sz w:val="20"/>
          <w:szCs w:val="20"/>
        </w:rPr>
        <w:t xml:space="preserve">As was done with both of his Commentaries on Torah I, II, Ibn Ezra’s two Commentaries on the Book of Daniel I, II (Short and Long) are examined for possible signs of his “acculturation” in </w:t>
      </w:r>
      <w:proofErr w:type="spellStart"/>
      <w:r>
        <w:rPr>
          <w:rFonts w:ascii="Arial" w:hAnsi="Arial" w:cs="Arial"/>
          <w:sz w:val="20"/>
          <w:szCs w:val="20"/>
        </w:rPr>
        <w:t>Ashkenaz</w:t>
      </w:r>
      <w:proofErr w:type="spellEnd"/>
      <w:r>
        <w:rPr>
          <w:rFonts w:ascii="Arial" w:hAnsi="Arial" w:cs="Arial"/>
          <w:sz w:val="20"/>
          <w:szCs w:val="20"/>
        </w:rPr>
        <w:t>.  This paper’s two-way comparison of his commentaries (i.e.</w:t>
      </w:r>
      <w:r w:rsidR="001A795A">
        <w:rPr>
          <w:rFonts w:ascii="Arial" w:hAnsi="Arial" w:cs="Arial"/>
          <w:sz w:val="20"/>
          <w:szCs w:val="20"/>
        </w:rPr>
        <w:t>,</w:t>
      </w:r>
      <w:r>
        <w:rPr>
          <w:rFonts w:ascii="Arial" w:hAnsi="Arial" w:cs="Arial"/>
          <w:sz w:val="20"/>
          <w:szCs w:val="20"/>
        </w:rPr>
        <w:t xml:space="preserve"> in relation to </w:t>
      </w:r>
      <w:proofErr w:type="spellStart"/>
      <w:r>
        <w:rPr>
          <w:rFonts w:ascii="Arial" w:hAnsi="Arial" w:cs="Arial"/>
          <w:sz w:val="20"/>
          <w:szCs w:val="20"/>
        </w:rPr>
        <w:t>Rashi</w:t>
      </w:r>
      <w:proofErr w:type="spellEnd"/>
      <w:r>
        <w:rPr>
          <w:rFonts w:ascii="Arial" w:hAnsi="Arial" w:cs="Arial"/>
          <w:sz w:val="20"/>
          <w:szCs w:val="20"/>
        </w:rPr>
        <w:t xml:space="preserve">, where possible, and to each other) focuses on two primary themes in </w:t>
      </w:r>
      <w:proofErr w:type="spellStart"/>
      <w:r>
        <w:rPr>
          <w:rFonts w:ascii="Arial" w:hAnsi="Arial" w:cs="Arial"/>
          <w:sz w:val="20"/>
          <w:szCs w:val="20"/>
        </w:rPr>
        <w:t>Sefer</w:t>
      </w:r>
      <w:proofErr w:type="spellEnd"/>
      <w:r>
        <w:rPr>
          <w:rFonts w:ascii="Arial" w:hAnsi="Arial" w:cs="Arial"/>
          <w:sz w:val="20"/>
          <w:szCs w:val="20"/>
        </w:rPr>
        <w:t xml:space="preserve"> Daniel.  The first subject deals with the possibility of deriving messianic calculations of the End of Days; the second topic focuses on the identities of the “Four Kingdoms” of the Jewish Exile</w:t>
      </w:r>
      <w:r w:rsidR="00120CDD">
        <w:rPr>
          <w:rFonts w:ascii="Arial" w:hAnsi="Arial" w:cs="Arial"/>
          <w:sz w:val="20"/>
          <w:szCs w:val="20"/>
        </w:rPr>
        <w:t xml:space="preserve">, </w:t>
      </w:r>
      <w:r>
        <w:rPr>
          <w:rFonts w:ascii="Arial" w:hAnsi="Arial" w:cs="Arial"/>
          <w:sz w:val="20"/>
          <w:szCs w:val="20"/>
        </w:rPr>
        <w:t xml:space="preserve">as represented in Nebuchadnezzar’s dreams and Daniel’s visions.  These topics relate to Daniel’s despondency following the destruction of the First Temple, and his longing for an end to the Exile and the rebuilding of the Second Temple.  The devastation and spiritual crisis suffered by Jews who experienced the destruction of the First Temple and its initial aftermath was mitigated in part by the knowledge that the Second Temple would be rebuilt after seventy years (Daniel 9:2).  This was not the case for the Jews who experienced the destruction of the Second Temple, or for the many succeeding generations of its nearly two-thousand-year Exile, for whom the final Messianic Redemption remains elusive and obscure.  </w:t>
      </w:r>
    </w:p>
    <w:p w14:paraId="6E9310B8" w14:textId="3F0FCE3B" w:rsidR="00505FAD" w:rsidRDefault="00505FAD" w:rsidP="00505FAD">
      <w:pPr>
        <w:spacing w:line="480" w:lineRule="auto"/>
        <w:ind w:firstLine="720"/>
        <w:rPr>
          <w:rFonts w:ascii="Arial" w:hAnsi="Arial" w:cs="Arial"/>
          <w:sz w:val="20"/>
          <w:szCs w:val="20"/>
        </w:rPr>
      </w:pPr>
      <w:r>
        <w:rPr>
          <w:rFonts w:ascii="Arial" w:hAnsi="Arial" w:cs="Arial"/>
          <w:sz w:val="20"/>
          <w:szCs w:val="20"/>
        </w:rPr>
        <w:t xml:space="preserve">From Tannaitic times </w:t>
      </w:r>
      <w:r w:rsidR="001A795A">
        <w:rPr>
          <w:rFonts w:ascii="Arial" w:hAnsi="Arial" w:cs="Arial"/>
          <w:sz w:val="20"/>
          <w:szCs w:val="20"/>
        </w:rPr>
        <w:t>following</w:t>
      </w:r>
      <w:r>
        <w:rPr>
          <w:rFonts w:ascii="Arial" w:hAnsi="Arial" w:cs="Arial"/>
          <w:sz w:val="20"/>
          <w:szCs w:val="20"/>
        </w:rPr>
        <w:t xml:space="preserve"> the failed Bar </w:t>
      </w:r>
      <w:proofErr w:type="spellStart"/>
      <w:r>
        <w:rPr>
          <w:rFonts w:ascii="Arial" w:hAnsi="Arial" w:cs="Arial"/>
          <w:sz w:val="20"/>
          <w:szCs w:val="20"/>
        </w:rPr>
        <w:t>Ko</w:t>
      </w:r>
      <w:r w:rsidR="001A795A">
        <w:rPr>
          <w:rFonts w:ascii="Arial" w:hAnsi="Arial" w:cs="Arial"/>
          <w:sz w:val="20"/>
          <w:szCs w:val="20"/>
        </w:rPr>
        <w:t>k</w:t>
      </w:r>
      <w:r>
        <w:rPr>
          <w:rFonts w:ascii="Arial" w:hAnsi="Arial" w:cs="Arial"/>
          <w:sz w:val="20"/>
          <w:szCs w:val="20"/>
        </w:rPr>
        <w:t>hba</w:t>
      </w:r>
      <w:proofErr w:type="spellEnd"/>
      <w:r>
        <w:rPr>
          <w:rFonts w:ascii="Arial" w:hAnsi="Arial" w:cs="Arial"/>
          <w:sz w:val="20"/>
          <w:szCs w:val="20"/>
        </w:rPr>
        <w:t xml:space="preserve"> revolt</w:t>
      </w:r>
      <w:r w:rsidR="001A795A">
        <w:rPr>
          <w:rFonts w:ascii="Arial" w:hAnsi="Arial" w:cs="Arial"/>
          <w:sz w:val="20"/>
          <w:szCs w:val="20"/>
        </w:rPr>
        <w:t>,</w:t>
      </w:r>
      <w:r>
        <w:rPr>
          <w:rFonts w:ascii="Arial" w:hAnsi="Arial" w:cs="Arial"/>
          <w:sz w:val="20"/>
          <w:szCs w:val="20"/>
        </w:rPr>
        <w:t xml:space="preserve"> until today’s modern era</w:t>
      </w:r>
      <w:r w:rsidR="001A795A">
        <w:rPr>
          <w:rFonts w:ascii="Arial" w:hAnsi="Arial" w:cs="Arial"/>
          <w:sz w:val="20"/>
          <w:szCs w:val="20"/>
        </w:rPr>
        <w:t>,</w:t>
      </w:r>
      <w:r>
        <w:rPr>
          <w:rFonts w:ascii="Arial" w:hAnsi="Arial" w:cs="Arial"/>
          <w:sz w:val="20"/>
          <w:szCs w:val="20"/>
        </w:rPr>
        <w:t xml:space="preserve"> which witnessed the Holocaust, Jewish experiences of persecution and destruction have spurred concomitant speculations of Messianic predictions, among Ashkenazic and Sephardic Jews, on both Rabbinic and popular levels.  The Talmudic position opposes the use of messianic speculations (BT San. 97b) in light of devastating consequences wrought from their failures to materialize.  Nevertheless, many great Rabbinic leaders (including R. </w:t>
      </w:r>
      <w:proofErr w:type="spellStart"/>
      <w:r>
        <w:rPr>
          <w:rFonts w:ascii="Arial" w:hAnsi="Arial" w:cs="Arial"/>
          <w:sz w:val="20"/>
          <w:szCs w:val="20"/>
        </w:rPr>
        <w:t>Saadiah</w:t>
      </w:r>
      <w:proofErr w:type="spellEnd"/>
      <w:r>
        <w:rPr>
          <w:rFonts w:ascii="Arial" w:hAnsi="Arial" w:cs="Arial"/>
          <w:sz w:val="20"/>
          <w:szCs w:val="20"/>
        </w:rPr>
        <w:t xml:space="preserve"> </w:t>
      </w:r>
      <w:proofErr w:type="spellStart"/>
      <w:r>
        <w:rPr>
          <w:rFonts w:ascii="Arial" w:hAnsi="Arial" w:cs="Arial"/>
          <w:sz w:val="20"/>
          <w:szCs w:val="20"/>
        </w:rPr>
        <w:t>Gaon</w:t>
      </w:r>
      <w:proofErr w:type="spellEnd"/>
      <w:r>
        <w:rPr>
          <w:rFonts w:ascii="Arial" w:hAnsi="Arial" w:cs="Arial"/>
          <w:sz w:val="20"/>
          <w:szCs w:val="20"/>
        </w:rPr>
        <w:t xml:space="preserve">, </w:t>
      </w:r>
      <w:proofErr w:type="spellStart"/>
      <w:r>
        <w:rPr>
          <w:rFonts w:ascii="Arial" w:hAnsi="Arial" w:cs="Arial"/>
          <w:sz w:val="20"/>
          <w:szCs w:val="20"/>
        </w:rPr>
        <w:t>Rashi</w:t>
      </w:r>
      <w:proofErr w:type="spellEnd"/>
      <w:r>
        <w:rPr>
          <w:rFonts w:ascii="Arial" w:hAnsi="Arial" w:cs="Arial"/>
          <w:sz w:val="20"/>
          <w:szCs w:val="20"/>
        </w:rPr>
        <w:t xml:space="preserve"> and Rambam), engaged in End of Days predictions in order to comfort the suffering and despairing Jewish masses.  Their speculations ranged from “activist” predictions of the imminent Messianic revelation, to distant forecasts of the Advent, based on the Talmudic interpretation of the biblical verse, “in its time… I will hasten it</w:t>
      </w:r>
      <w:r>
        <w:rPr>
          <w:rFonts w:asciiTheme="majorBidi" w:hAnsiTheme="majorBidi" w:cstheme="majorBidi"/>
        </w:rPr>
        <w:t>” (Is</w:t>
      </w:r>
      <w:r w:rsidR="00F05C5E">
        <w:rPr>
          <w:rFonts w:asciiTheme="majorBidi" w:hAnsiTheme="majorBidi" w:cstheme="majorBidi"/>
        </w:rPr>
        <w:t>a</w:t>
      </w:r>
      <w:r>
        <w:rPr>
          <w:rFonts w:ascii="Arial" w:hAnsi="Arial" w:cs="Arial"/>
          <w:sz w:val="20"/>
          <w:szCs w:val="20"/>
        </w:rPr>
        <w:t>. 60:22).</w:t>
      </w:r>
      <w:r>
        <w:rPr>
          <w:rStyle w:val="a6"/>
          <w:rFonts w:ascii="Arial" w:hAnsi="Arial" w:cs="Arial"/>
        </w:rPr>
        <w:footnoteReference w:id="45"/>
      </w:r>
      <w:r>
        <w:rPr>
          <w:rFonts w:ascii="Arial" w:hAnsi="Arial" w:cs="Arial"/>
          <w:sz w:val="20"/>
          <w:szCs w:val="20"/>
        </w:rPr>
        <w:t xml:space="preserve">  </w:t>
      </w:r>
    </w:p>
    <w:p w14:paraId="1AF55184" w14:textId="5F009391" w:rsidR="00505FAD" w:rsidRPr="00282F59" w:rsidRDefault="00505FAD" w:rsidP="007B430F">
      <w:pPr>
        <w:spacing w:line="480" w:lineRule="auto"/>
        <w:ind w:firstLine="720"/>
        <w:rPr>
          <w:rFonts w:ascii="Arial" w:hAnsi="Arial" w:cs="Arial"/>
          <w:sz w:val="20"/>
          <w:szCs w:val="20"/>
        </w:rPr>
      </w:pPr>
      <w:r>
        <w:rPr>
          <w:rFonts w:ascii="Arial" w:hAnsi="Arial" w:cs="Arial"/>
          <w:sz w:val="20"/>
          <w:szCs w:val="20"/>
        </w:rPr>
        <w:lastRenderedPageBreak/>
        <w:t xml:space="preserve">As noted, this </w:t>
      </w:r>
      <w:r w:rsidRPr="00FB02B5">
        <w:rPr>
          <w:rFonts w:ascii="Arial" w:hAnsi="Arial" w:cs="Arial"/>
          <w:sz w:val="20"/>
          <w:szCs w:val="20"/>
        </w:rPr>
        <w:t>essay</w:t>
      </w:r>
      <w:r>
        <w:rPr>
          <w:rFonts w:ascii="Arial" w:hAnsi="Arial" w:cs="Arial"/>
          <w:sz w:val="20"/>
          <w:szCs w:val="20"/>
        </w:rPr>
        <w:t xml:space="preserve"> will evaluate the messianic calculations of Ibn Ezra relative to </w:t>
      </w:r>
      <w:proofErr w:type="spellStart"/>
      <w:r>
        <w:rPr>
          <w:rFonts w:ascii="Arial" w:hAnsi="Arial" w:cs="Arial"/>
          <w:sz w:val="20"/>
          <w:szCs w:val="20"/>
        </w:rPr>
        <w:t>Rashi</w:t>
      </w:r>
      <w:proofErr w:type="spellEnd"/>
      <w:r>
        <w:rPr>
          <w:rFonts w:ascii="Arial" w:hAnsi="Arial" w:cs="Arial"/>
          <w:sz w:val="20"/>
          <w:szCs w:val="20"/>
        </w:rPr>
        <w:t xml:space="preserve"> when possible, in order to gauge his acculturation (or non-acculturation) in Christian Europe.  Before doing so, it is </w:t>
      </w:r>
      <w:r w:rsidRPr="00FB02B5">
        <w:rPr>
          <w:rFonts w:ascii="Arial" w:hAnsi="Arial" w:cs="Arial"/>
          <w:sz w:val="20"/>
          <w:szCs w:val="20"/>
        </w:rPr>
        <w:t>necessary</w:t>
      </w:r>
      <w:r>
        <w:rPr>
          <w:rFonts w:ascii="Arial" w:hAnsi="Arial" w:cs="Arial"/>
          <w:sz w:val="20"/>
          <w:szCs w:val="20"/>
        </w:rPr>
        <w:t xml:space="preserve"> to contextualize </w:t>
      </w:r>
      <w:proofErr w:type="spellStart"/>
      <w:r>
        <w:rPr>
          <w:rFonts w:ascii="Arial" w:hAnsi="Arial" w:cs="Arial"/>
          <w:sz w:val="20"/>
          <w:szCs w:val="20"/>
        </w:rPr>
        <w:t>Rashi’s</w:t>
      </w:r>
      <w:proofErr w:type="spellEnd"/>
      <w:r>
        <w:rPr>
          <w:rFonts w:ascii="Arial" w:hAnsi="Arial" w:cs="Arial"/>
          <w:sz w:val="20"/>
          <w:szCs w:val="20"/>
        </w:rPr>
        <w:t xml:space="preserve"> speculations within the greater medieval Ashkenazic framework in which he operated.  In previous </w:t>
      </w:r>
      <w:r w:rsidRPr="00FB02B5">
        <w:rPr>
          <w:rFonts w:ascii="Arial" w:hAnsi="Arial" w:cs="Arial"/>
          <w:sz w:val="20"/>
          <w:szCs w:val="20"/>
        </w:rPr>
        <w:t>decades</w:t>
      </w:r>
      <w:r>
        <w:rPr>
          <w:rFonts w:ascii="Arial" w:hAnsi="Arial" w:cs="Arial"/>
          <w:sz w:val="20"/>
          <w:szCs w:val="20"/>
        </w:rPr>
        <w:t xml:space="preserve">, historians Gerson Cohen and Yisrael Yuval classified the calculations of medieval </w:t>
      </w:r>
      <w:proofErr w:type="spellStart"/>
      <w:r>
        <w:rPr>
          <w:rFonts w:ascii="Arial" w:hAnsi="Arial" w:cs="Arial"/>
          <w:sz w:val="20"/>
          <w:szCs w:val="20"/>
        </w:rPr>
        <w:t>Rabbanim</w:t>
      </w:r>
      <w:proofErr w:type="spellEnd"/>
      <w:r>
        <w:rPr>
          <w:rFonts w:ascii="Arial" w:hAnsi="Arial" w:cs="Arial"/>
          <w:sz w:val="20"/>
          <w:szCs w:val="20"/>
        </w:rPr>
        <w:t xml:space="preserve"> (especially in the twelfth- and thirteenth-centuries), according to geographic regions – Ashkenazic or Sephardic.  Though </w:t>
      </w:r>
      <w:r w:rsidRPr="00691C94">
        <w:rPr>
          <w:rFonts w:ascii="Arial" w:hAnsi="Arial" w:cs="Arial"/>
          <w:sz w:val="20"/>
          <w:szCs w:val="20"/>
        </w:rPr>
        <w:t xml:space="preserve">both </w:t>
      </w:r>
      <w:r w:rsidR="008C2053" w:rsidRPr="00691C94">
        <w:rPr>
          <w:rFonts w:ascii="Arial" w:hAnsi="Arial" w:cs="Arial"/>
          <w:sz w:val="20"/>
          <w:szCs w:val="20"/>
        </w:rPr>
        <w:t>scholars</w:t>
      </w:r>
      <w:r>
        <w:rPr>
          <w:rFonts w:ascii="Arial" w:hAnsi="Arial" w:cs="Arial"/>
          <w:sz w:val="20"/>
          <w:szCs w:val="20"/>
        </w:rPr>
        <w:t xml:space="preserve"> were diametrically opposed in their characterizations of “</w:t>
      </w:r>
      <w:proofErr w:type="spellStart"/>
      <w:r>
        <w:rPr>
          <w:rFonts w:ascii="Arial" w:hAnsi="Arial" w:cs="Arial"/>
          <w:sz w:val="20"/>
          <w:szCs w:val="20"/>
        </w:rPr>
        <w:t>Ashekenazic</w:t>
      </w:r>
      <w:proofErr w:type="spellEnd"/>
      <w:r>
        <w:rPr>
          <w:rFonts w:ascii="Arial" w:hAnsi="Arial" w:cs="Arial"/>
          <w:sz w:val="20"/>
          <w:szCs w:val="20"/>
        </w:rPr>
        <w:t xml:space="preserve">” or “Sephardic” forms of messianism, their methodologies were the same, in that they both viewed their groups as entirely monolithic.  Accordingly, </w:t>
      </w:r>
      <w:r w:rsidR="00282F59">
        <w:rPr>
          <w:rFonts w:ascii="Arial" w:hAnsi="Arial" w:cs="Arial"/>
          <w:sz w:val="20"/>
          <w:szCs w:val="20"/>
        </w:rPr>
        <w:t>Yuval regarded Ashkenazic messianism as entirely “restrained”</w:t>
      </w:r>
      <w:r w:rsidR="00E140E9">
        <w:rPr>
          <w:rFonts w:ascii="Arial" w:hAnsi="Arial" w:cs="Arial"/>
          <w:sz w:val="20"/>
          <w:szCs w:val="20"/>
        </w:rPr>
        <w:t xml:space="preserve"> </w:t>
      </w:r>
      <w:r w:rsidR="00E140E9" w:rsidRPr="00E140E9">
        <w:rPr>
          <w:rFonts w:ascii="Arial" w:hAnsi="Arial" w:cs="Arial"/>
          <w:sz w:val="20"/>
          <w:szCs w:val="20"/>
        </w:rPr>
        <w:t>and limited</w:t>
      </w:r>
      <w:r w:rsidR="00E140E9">
        <w:rPr>
          <w:rFonts w:ascii="Arial" w:hAnsi="Arial" w:cs="Arial"/>
          <w:sz w:val="20"/>
          <w:szCs w:val="20"/>
        </w:rPr>
        <w:t xml:space="preserve"> –</w:t>
      </w:r>
      <w:r w:rsidR="00282F59">
        <w:rPr>
          <w:rFonts w:ascii="Arial" w:hAnsi="Arial" w:cs="Arial"/>
          <w:sz w:val="20"/>
          <w:szCs w:val="20"/>
        </w:rPr>
        <w:t xml:space="preserve"> i.e.</w:t>
      </w:r>
      <w:r w:rsidR="007B430F">
        <w:rPr>
          <w:rFonts w:ascii="Arial" w:hAnsi="Arial" w:cs="Arial"/>
          <w:sz w:val="20"/>
          <w:szCs w:val="20"/>
        </w:rPr>
        <w:t>,</w:t>
      </w:r>
      <w:r w:rsidR="00282F59">
        <w:rPr>
          <w:rFonts w:ascii="Arial" w:hAnsi="Arial" w:cs="Arial"/>
          <w:sz w:val="20"/>
          <w:szCs w:val="20"/>
        </w:rPr>
        <w:t xml:space="preserve"> being too far away from contemporary times to generate messianic excitement</w:t>
      </w:r>
      <w:r w:rsidR="007B430F">
        <w:rPr>
          <w:rFonts w:ascii="Arial" w:hAnsi="Arial" w:cs="Arial"/>
          <w:sz w:val="20"/>
          <w:szCs w:val="20"/>
        </w:rPr>
        <w:t xml:space="preserve"> </w:t>
      </w:r>
      <w:r w:rsidR="007B430F" w:rsidRPr="007B430F">
        <w:rPr>
          <w:rFonts w:ascii="Arial" w:hAnsi="Arial" w:cs="Arial"/>
          <w:sz w:val="20"/>
          <w:szCs w:val="20"/>
        </w:rPr>
        <w:t>–</w:t>
      </w:r>
      <w:r w:rsidR="007B430F">
        <w:rPr>
          <w:rFonts w:ascii="Arial" w:hAnsi="Arial" w:cs="Arial"/>
          <w:sz w:val="20"/>
          <w:szCs w:val="20"/>
        </w:rPr>
        <w:t xml:space="preserve"> </w:t>
      </w:r>
      <w:r w:rsidR="00282F59">
        <w:rPr>
          <w:rFonts w:ascii="Arial" w:hAnsi="Arial" w:cs="Arial"/>
          <w:sz w:val="20"/>
          <w:szCs w:val="20"/>
        </w:rPr>
        <w:t xml:space="preserve">while </w:t>
      </w:r>
      <w:r w:rsidR="005761FF">
        <w:rPr>
          <w:rFonts w:ascii="Arial" w:hAnsi="Arial" w:cs="Arial"/>
          <w:sz w:val="20"/>
          <w:szCs w:val="20"/>
        </w:rPr>
        <w:t>Cohen</w:t>
      </w:r>
      <w:r>
        <w:rPr>
          <w:rFonts w:ascii="Arial" w:hAnsi="Arial" w:cs="Arial"/>
          <w:sz w:val="20"/>
          <w:szCs w:val="20"/>
        </w:rPr>
        <w:t xml:space="preserve"> viewed </w:t>
      </w:r>
      <w:r w:rsidR="00282F59">
        <w:rPr>
          <w:rFonts w:ascii="Arial" w:hAnsi="Arial" w:cs="Arial"/>
          <w:sz w:val="20"/>
          <w:szCs w:val="20"/>
        </w:rPr>
        <w:t>it</w:t>
      </w:r>
      <w:r>
        <w:rPr>
          <w:rFonts w:ascii="Arial" w:hAnsi="Arial" w:cs="Arial"/>
          <w:sz w:val="20"/>
          <w:szCs w:val="20"/>
        </w:rPr>
        <w:t xml:space="preserve"> as</w:t>
      </w:r>
      <w:r w:rsidR="008C2053">
        <w:rPr>
          <w:rFonts w:ascii="Arial" w:hAnsi="Arial" w:cs="Arial"/>
          <w:sz w:val="20"/>
          <w:szCs w:val="20"/>
        </w:rPr>
        <w:t xml:space="preserve"> being</w:t>
      </w:r>
      <w:r>
        <w:rPr>
          <w:rFonts w:ascii="Arial" w:hAnsi="Arial" w:cs="Arial"/>
          <w:sz w:val="20"/>
          <w:szCs w:val="20"/>
        </w:rPr>
        <w:t xml:space="preserve"> </w:t>
      </w:r>
      <w:r w:rsidR="005761FF">
        <w:rPr>
          <w:rFonts w:ascii="Arial" w:hAnsi="Arial" w:cs="Arial"/>
          <w:sz w:val="20"/>
          <w:szCs w:val="20"/>
        </w:rPr>
        <w:t>completely</w:t>
      </w:r>
      <w:r>
        <w:rPr>
          <w:rFonts w:ascii="Arial" w:hAnsi="Arial" w:cs="Arial"/>
          <w:sz w:val="20"/>
          <w:szCs w:val="20"/>
        </w:rPr>
        <w:t xml:space="preserve"> “activist” </w:t>
      </w:r>
      <w:r w:rsidR="007B430F" w:rsidRPr="007B430F">
        <w:rPr>
          <w:rFonts w:ascii="Arial" w:hAnsi="Arial" w:cs="Arial"/>
          <w:sz w:val="20"/>
          <w:szCs w:val="20"/>
        </w:rPr>
        <w:t>–</w:t>
      </w:r>
      <w:r w:rsidR="007B430F" w:rsidRPr="007B430F" w:rsidDel="007B430F">
        <w:rPr>
          <w:rFonts w:ascii="Arial" w:hAnsi="Arial" w:cs="Arial"/>
          <w:sz w:val="20"/>
          <w:szCs w:val="20"/>
        </w:rPr>
        <w:t xml:space="preserve"> </w:t>
      </w:r>
      <w:r>
        <w:rPr>
          <w:rFonts w:ascii="Arial" w:hAnsi="Arial" w:cs="Arial"/>
          <w:sz w:val="20"/>
          <w:szCs w:val="20"/>
        </w:rPr>
        <w:t>i.e.</w:t>
      </w:r>
      <w:r w:rsidR="007B430F">
        <w:rPr>
          <w:rFonts w:ascii="Arial" w:hAnsi="Arial" w:cs="Arial"/>
          <w:sz w:val="20"/>
          <w:szCs w:val="20"/>
        </w:rPr>
        <w:t>,</w:t>
      </w:r>
      <w:r>
        <w:rPr>
          <w:rFonts w:ascii="Arial" w:hAnsi="Arial" w:cs="Arial"/>
          <w:sz w:val="20"/>
          <w:szCs w:val="20"/>
        </w:rPr>
        <w:t xml:space="preserve"> eliciting messianic fervor with imminent dates</w:t>
      </w:r>
      <w:r w:rsidR="00282F59">
        <w:rPr>
          <w:rFonts w:ascii="Arial" w:hAnsi="Arial" w:cs="Arial"/>
          <w:sz w:val="20"/>
          <w:szCs w:val="20"/>
        </w:rPr>
        <w:t>.</w:t>
      </w:r>
      <w:r>
        <w:rPr>
          <w:rStyle w:val="a6"/>
          <w:rFonts w:ascii="Arial" w:hAnsi="Arial" w:cs="Arial"/>
        </w:rPr>
        <w:footnoteReference w:id="46"/>
      </w:r>
      <w:r>
        <w:rPr>
          <w:rFonts w:ascii="Arial" w:hAnsi="Arial" w:cs="Arial"/>
          <w:sz w:val="20"/>
          <w:szCs w:val="20"/>
        </w:rPr>
        <w:t xml:space="preserve">  Moreover, </w:t>
      </w:r>
      <w:r w:rsidR="00FB02B5" w:rsidRPr="00FB02B5">
        <w:rPr>
          <w:rFonts w:ascii="Arial" w:hAnsi="Arial" w:cs="Arial"/>
          <w:sz w:val="20"/>
          <w:szCs w:val="20"/>
        </w:rPr>
        <w:t xml:space="preserve">both </w:t>
      </w:r>
      <w:r w:rsidR="00FB02B5">
        <w:rPr>
          <w:rFonts w:ascii="Arial" w:hAnsi="Arial" w:cs="Arial"/>
          <w:sz w:val="20"/>
          <w:szCs w:val="20"/>
        </w:rPr>
        <w:t>historians</w:t>
      </w:r>
      <w:r w:rsidRPr="00FB02B5">
        <w:rPr>
          <w:rFonts w:ascii="Arial" w:hAnsi="Arial" w:cs="Arial"/>
          <w:sz w:val="20"/>
          <w:szCs w:val="20"/>
        </w:rPr>
        <w:t xml:space="preserve"> </w:t>
      </w:r>
      <w:r>
        <w:rPr>
          <w:rFonts w:ascii="Arial" w:hAnsi="Arial" w:cs="Arial"/>
          <w:sz w:val="20"/>
          <w:szCs w:val="20"/>
        </w:rPr>
        <w:t xml:space="preserve">included </w:t>
      </w:r>
      <w:proofErr w:type="spellStart"/>
      <w:r>
        <w:rPr>
          <w:rFonts w:ascii="Arial" w:hAnsi="Arial" w:cs="Arial"/>
          <w:sz w:val="20"/>
          <w:szCs w:val="20"/>
        </w:rPr>
        <w:t>Rashi</w:t>
      </w:r>
      <w:proofErr w:type="spellEnd"/>
      <w:r>
        <w:rPr>
          <w:rFonts w:ascii="Arial" w:hAnsi="Arial" w:cs="Arial"/>
          <w:sz w:val="20"/>
          <w:szCs w:val="20"/>
        </w:rPr>
        <w:t xml:space="preserve"> within their own</w:t>
      </w:r>
      <w:r w:rsidR="00FB02B5">
        <w:rPr>
          <w:rFonts w:ascii="Arial" w:hAnsi="Arial" w:cs="Arial"/>
          <w:sz w:val="20"/>
          <w:szCs w:val="20"/>
        </w:rPr>
        <w:t xml:space="preserve"> respective</w:t>
      </w:r>
      <w:r>
        <w:rPr>
          <w:rFonts w:ascii="Arial" w:hAnsi="Arial" w:cs="Arial"/>
          <w:sz w:val="20"/>
          <w:szCs w:val="20"/>
        </w:rPr>
        <w:t xml:space="preserve"> “Ashkenazic” setting</w:t>
      </w:r>
      <w:r w:rsidR="00274337">
        <w:rPr>
          <w:rFonts w:ascii="Arial" w:hAnsi="Arial" w:cs="Arial"/>
          <w:sz w:val="20"/>
          <w:szCs w:val="20"/>
        </w:rPr>
        <w:t>s</w:t>
      </w:r>
      <w:r>
        <w:rPr>
          <w:rFonts w:ascii="Arial" w:hAnsi="Arial" w:cs="Arial"/>
          <w:sz w:val="20"/>
          <w:szCs w:val="20"/>
        </w:rPr>
        <w:t xml:space="preserve">, despite the fact that </w:t>
      </w:r>
      <w:proofErr w:type="spellStart"/>
      <w:r>
        <w:rPr>
          <w:rFonts w:ascii="Arial" w:hAnsi="Arial" w:cs="Arial"/>
          <w:sz w:val="20"/>
          <w:szCs w:val="20"/>
        </w:rPr>
        <w:t>Rashi’s</w:t>
      </w:r>
      <w:proofErr w:type="spellEnd"/>
      <w:r>
        <w:rPr>
          <w:rFonts w:ascii="Arial" w:hAnsi="Arial" w:cs="Arial"/>
          <w:sz w:val="20"/>
          <w:szCs w:val="20"/>
        </w:rPr>
        <w:t xml:space="preserve"> more rationalistic tendencies did not comport with the “typical,” </w:t>
      </w:r>
      <w:proofErr w:type="spellStart"/>
      <w:r>
        <w:rPr>
          <w:rFonts w:ascii="Arial" w:hAnsi="Arial" w:cs="Arial"/>
          <w:i/>
          <w:iCs/>
          <w:sz w:val="20"/>
          <w:szCs w:val="20"/>
        </w:rPr>
        <w:t>derash</w:t>
      </w:r>
      <w:proofErr w:type="spellEnd"/>
      <w:r>
        <w:rPr>
          <w:rFonts w:ascii="Arial" w:hAnsi="Arial" w:cs="Arial"/>
          <w:sz w:val="20"/>
          <w:szCs w:val="20"/>
        </w:rPr>
        <w:t xml:space="preserve">-based approach of greater Northern France, either in form or in content.   </w:t>
      </w:r>
    </w:p>
    <w:p w14:paraId="5044F35E" w14:textId="4742FBA4" w:rsidR="00505FAD" w:rsidRDefault="002F2B16" w:rsidP="000D7278">
      <w:pPr>
        <w:spacing w:line="480" w:lineRule="auto"/>
        <w:ind w:firstLine="720"/>
        <w:rPr>
          <w:rFonts w:asciiTheme="minorBidi" w:hAnsiTheme="minorBidi" w:cstheme="minorBidi"/>
          <w:sz w:val="20"/>
          <w:szCs w:val="20"/>
        </w:rPr>
      </w:pPr>
      <w:r>
        <w:rPr>
          <w:rFonts w:ascii="Arial" w:hAnsi="Arial" w:cs="Arial"/>
          <w:sz w:val="20"/>
          <w:szCs w:val="20"/>
        </w:rPr>
        <w:lastRenderedPageBreak/>
        <w:t>H</w:t>
      </w:r>
      <w:r w:rsidR="00505FAD">
        <w:rPr>
          <w:rFonts w:ascii="Arial" w:hAnsi="Arial" w:cs="Arial"/>
          <w:sz w:val="20"/>
          <w:szCs w:val="20"/>
        </w:rPr>
        <w:t xml:space="preserve">istorian Ephraim </w:t>
      </w:r>
      <w:proofErr w:type="spellStart"/>
      <w:r w:rsidR="00505FAD">
        <w:rPr>
          <w:rFonts w:ascii="Arial" w:hAnsi="Arial" w:cs="Arial"/>
          <w:sz w:val="20"/>
          <w:szCs w:val="20"/>
        </w:rPr>
        <w:t>Kanarfogel</w:t>
      </w:r>
      <w:proofErr w:type="spellEnd"/>
      <w:r w:rsidR="00505FAD">
        <w:rPr>
          <w:rFonts w:ascii="Arial" w:hAnsi="Arial" w:cs="Arial"/>
          <w:sz w:val="20"/>
          <w:szCs w:val="20"/>
        </w:rPr>
        <w:t xml:space="preserve"> presents a third group – i.e.</w:t>
      </w:r>
      <w:r w:rsidR="00B54D5B">
        <w:rPr>
          <w:rFonts w:ascii="Arial" w:hAnsi="Arial" w:cs="Arial"/>
          <w:sz w:val="20"/>
          <w:szCs w:val="20"/>
        </w:rPr>
        <w:t>,</w:t>
      </w:r>
      <w:r w:rsidR="00505FAD">
        <w:rPr>
          <w:rFonts w:ascii="Arial" w:hAnsi="Arial" w:cs="Arial"/>
          <w:sz w:val="20"/>
          <w:szCs w:val="20"/>
        </w:rPr>
        <w:t xml:space="preserve"> </w:t>
      </w:r>
      <w:proofErr w:type="spellStart"/>
      <w:r w:rsidR="00505FAD">
        <w:rPr>
          <w:rFonts w:ascii="Arial" w:hAnsi="Arial" w:cs="Arial"/>
          <w:sz w:val="20"/>
          <w:szCs w:val="20"/>
        </w:rPr>
        <w:t>Rashi</w:t>
      </w:r>
      <w:proofErr w:type="spellEnd"/>
      <w:r w:rsidR="00505FAD">
        <w:rPr>
          <w:rFonts w:ascii="Arial" w:hAnsi="Arial" w:cs="Arial"/>
          <w:sz w:val="20"/>
          <w:szCs w:val="20"/>
        </w:rPr>
        <w:t xml:space="preserve"> and his followers</w:t>
      </w:r>
      <w:r w:rsidR="000D7278" w:rsidRPr="000D7278">
        <w:rPr>
          <w:rFonts w:ascii="Arial" w:hAnsi="Arial" w:cs="Arial"/>
          <w:sz w:val="20"/>
          <w:szCs w:val="20"/>
        </w:rPr>
        <w:t xml:space="preserve"> –</w:t>
      </w:r>
      <w:r w:rsidR="00505FAD">
        <w:rPr>
          <w:rFonts w:ascii="Arial" w:hAnsi="Arial" w:cs="Arial"/>
          <w:sz w:val="20"/>
          <w:szCs w:val="20"/>
        </w:rPr>
        <w:t xml:space="preserve"> whose speculations do not adhere to the extreme features of either category noted above.</w:t>
      </w:r>
      <w:r w:rsidR="00505FAD">
        <w:rPr>
          <w:rStyle w:val="a6"/>
          <w:rFonts w:ascii="Arial" w:hAnsi="Arial" w:cs="Arial"/>
        </w:rPr>
        <w:footnoteReference w:id="47"/>
      </w:r>
      <w:r w:rsidR="00505FAD">
        <w:rPr>
          <w:rFonts w:ascii="Arial" w:hAnsi="Arial" w:cs="Arial"/>
          <w:sz w:val="20"/>
          <w:szCs w:val="20"/>
        </w:rPr>
        <w:t xml:space="preserve">  According to </w:t>
      </w:r>
      <w:proofErr w:type="spellStart"/>
      <w:r w:rsidR="00505FAD" w:rsidRPr="00BC695E">
        <w:rPr>
          <w:rFonts w:ascii="Arial" w:hAnsi="Arial" w:cs="Arial"/>
          <w:sz w:val="20"/>
          <w:szCs w:val="20"/>
        </w:rPr>
        <w:t>Kanarfogel</w:t>
      </w:r>
      <w:proofErr w:type="spellEnd"/>
      <w:r w:rsidR="00505FAD" w:rsidRPr="00BC695E">
        <w:rPr>
          <w:rFonts w:ascii="Arial" w:hAnsi="Arial" w:cs="Arial"/>
          <w:sz w:val="20"/>
          <w:szCs w:val="20"/>
        </w:rPr>
        <w:t xml:space="preserve">, </w:t>
      </w:r>
      <w:proofErr w:type="spellStart"/>
      <w:r w:rsidR="00505FAD" w:rsidRPr="00E72C51">
        <w:rPr>
          <w:rFonts w:ascii="Arial" w:hAnsi="Arial" w:cs="Arial"/>
          <w:sz w:val="20"/>
          <w:szCs w:val="20"/>
        </w:rPr>
        <w:t>Rashi’s</w:t>
      </w:r>
      <w:proofErr w:type="spellEnd"/>
      <w:r w:rsidR="00505FAD" w:rsidRPr="00E72C51">
        <w:rPr>
          <w:rFonts w:ascii="Arial" w:hAnsi="Arial" w:cs="Arial"/>
          <w:sz w:val="20"/>
          <w:szCs w:val="20"/>
        </w:rPr>
        <w:t xml:space="preserve"> methodology was neither “distant” </w:t>
      </w:r>
      <w:r w:rsidR="00505FAD" w:rsidRPr="00E72C51">
        <w:rPr>
          <w:rFonts w:asciiTheme="minorBidi" w:hAnsiTheme="minorBidi" w:cstheme="minorBidi"/>
          <w:sz w:val="20"/>
          <w:szCs w:val="20"/>
        </w:rPr>
        <w:t xml:space="preserve">nor connected with independent </w:t>
      </w:r>
      <w:proofErr w:type="spellStart"/>
      <w:r w:rsidR="00505FAD" w:rsidRPr="00E72C51">
        <w:rPr>
          <w:rFonts w:asciiTheme="minorBidi" w:hAnsiTheme="minorBidi" w:cstheme="minorBidi"/>
          <w:i/>
          <w:sz w:val="20"/>
          <w:szCs w:val="20"/>
        </w:rPr>
        <w:t>gematriyot</w:t>
      </w:r>
      <w:proofErr w:type="spellEnd"/>
      <w:r w:rsidR="00505FAD" w:rsidRPr="00E72C51">
        <w:rPr>
          <w:rFonts w:asciiTheme="minorBidi" w:hAnsiTheme="minorBidi" w:cstheme="minorBidi"/>
          <w:sz w:val="20"/>
          <w:szCs w:val="20"/>
        </w:rPr>
        <w:t xml:space="preserve"> (</w:t>
      </w:r>
      <w:r w:rsidR="00505FAD" w:rsidRPr="0041489E">
        <w:rPr>
          <w:rFonts w:asciiTheme="minorBidi" w:hAnsiTheme="minorBidi" w:cstheme="minorBidi"/>
          <w:sz w:val="20"/>
          <w:szCs w:val="20"/>
        </w:rPr>
        <w:t>per Cohen’s view</w:t>
      </w:r>
      <w:r w:rsidR="00505FAD" w:rsidRPr="00E72C51">
        <w:rPr>
          <w:rFonts w:asciiTheme="minorBidi" w:hAnsiTheme="minorBidi" w:cstheme="minorBidi"/>
          <w:sz w:val="20"/>
          <w:szCs w:val="20"/>
        </w:rPr>
        <w:t>);</w:t>
      </w:r>
      <w:r w:rsidR="00505FAD">
        <w:rPr>
          <w:rFonts w:asciiTheme="minorBidi" w:hAnsiTheme="minorBidi" w:cstheme="minorBidi"/>
          <w:sz w:val="20"/>
          <w:szCs w:val="20"/>
        </w:rPr>
        <w:t xml:space="preserve"> nor was it “imminent,” based on millenarian events (per Yuval).  Rather, it contained overlapping features of both.  </w:t>
      </w:r>
      <w:proofErr w:type="spellStart"/>
      <w:r w:rsidR="00505FAD">
        <w:rPr>
          <w:rFonts w:asciiTheme="minorBidi" w:hAnsiTheme="minorBidi" w:cstheme="minorBidi"/>
          <w:sz w:val="20"/>
          <w:szCs w:val="20"/>
        </w:rPr>
        <w:t>Kanarfogel</w:t>
      </w:r>
      <w:proofErr w:type="spellEnd"/>
      <w:r w:rsidR="00505FAD">
        <w:rPr>
          <w:rFonts w:asciiTheme="minorBidi" w:hAnsiTheme="minorBidi" w:cstheme="minorBidi"/>
          <w:sz w:val="20"/>
          <w:szCs w:val="20"/>
        </w:rPr>
        <w:t xml:space="preserve"> concludes that there was not a homogenous system of messianic calculations by Ashkenazic rabbis in the late eleventh- through thirteenth-centuries.  Instead, a “two-tiered” system of dates – imminent and distant, and of multiple approaches – coexisted simultaneously, based on the above-noted rabbinic interpretation: “If they merit, ‘I will hasten [the Redemption]; if they do not [merit], ‘in its time” (BT San. 98a).</w:t>
      </w:r>
      <w:r w:rsidR="00505FAD">
        <w:rPr>
          <w:rStyle w:val="a6"/>
          <w:rFonts w:asciiTheme="minorBidi" w:hAnsiTheme="minorBidi" w:cstheme="minorBidi"/>
        </w:rPr>
        <w:footnoteReference w:id="48"/>
      </w:r>
      <w:r w:rsidR="00505FAD">
        <w:rPr>
          <w:rFonts w:asciiTheme="minorBidi" w:hAnsiTheme="minorBidi" w:cstheme="minorBidi"/>
          <w:sz w:val="20"/>
          <w:szCs w:val="20"/>
        </w:rPr>
        <w:t xml:space="preserve">  The comparisons between </w:t>
      </w:r>
      <w:proofErr w:type="spellStart"/>
      <w:r w:rsidR="00505FAD">
        <w:rPr>
          <w:rFonts w:asciiTheme="minorBidi" w:hAnsiTheme="minorBidi" w:cstheme="minorBidi"/>
          <w:sz w:val="20"/>
          <w:szCs w:val="20"/>
        </w:rPr>
        <w:t>Rashi</w:t>
      </w:r>
      <w:proofErr w:type="spellEnd"/>
      <w:r w:rsidR="00505FAD">
        <w:rPr>
          <w:rFonts w:asciiTheme="minorBidi" w:hAnsiTheme="minorBidi" w:cstheme="minorBidi"/>
          <w:sz w:val="20"/>
          <w:szCs w:val="20"/>
        </w:rPr>
        <w:t xml:space="preserve"> and Ibn Ezra discussed herein are based on </w:t>
      </w:r>
      <w:proofErr w:type="spellStart"/>
      <w:r w:rsidR="00505FAD">
        <w:rPr>
          <w:rFonts w:asciiTheme="minorBidi" w:hAnsiTheme="minorBidi" w:cstheme="minorBidi"/>
          <w:sz w:val="20"/>
          <w:szCs w:val="20"/>
        </w:rPr>
        <w:t>Kanarfogel’s</w:t>
      </w:r>
      <w:proofErr w:type="spellEnd"/>
      <w:r w:rsidR="00505FAD">
        <w:rPr>
          <w:rFonts w:asciiTheme="minorBidi" w:hAnsiTheme="minorBidi" w:cstheme="minorBidi"/>
          <w:sz w:val="20"/>
          <w:szCs w:val="20"/>
        </w:rPr>
        <w:t xml:space="preserve"> view of </w:t>
      </w:r>
      <w:proofErr w:type="spellStart"/>
      <w:r w:rsidR="00505FAD">
        <w:rPr>
          <w:rFonts w:asciiTheme="minorBidi" w:hAnsiTheme="minorBidi" w:cstheme="minorBidi"/>
          <w:sz w:val="20"/>
          <w:szCs w:val="20"/>
        </w:rPr>
        <w:t>Rashi’s</w:t>
      </w:r>
      <w:proofErr w:type="spellEnd"/>
      <w:r w:rsidR="00505FAD">
        <w:rPr>
          <w:rFonts w:asciiTheme="minorBidi" w:hAnsiTheme="minorBidi" w:cstheme="minorBidi"/>
          <w:sz w:val="20"/>
          <w:szCs w:val="20"/>
        </w:rPr>
        <w:t xml:space="preserve"> messianic calculations. </w:t>
      </w:r>
    </w:p>
    <w:p w14:paraId="003942C1" w14:textId="77777777" w:rsidR="00505FAD" w:rsidRDefault="00505FAD" w:rsidP="00505FAD">
      <w:pPr>
        <w:spacing w:line="480" w:lineRule="auto"/>
        <w:rPr>
          <w:rFonts w:ascii="Arial" w:hAnsi="Arial" w:cs="Arial"/>
          <w:sz w:val="20"/>
          <w:szCs w:val="20"/>
          <w:highlight w:val="yellow"/>
        </w:rPr>
      </w:pPr>
    </w:p>
    <w:p w14:paraId="2FC2A547" w14:textId="77777777" w:rsidR="00505FAD" w:rsidRDefault="00505FAD" w:rsidP="00505FAD">
      <w:pPr>
        <w:spacing w:line="480" w:lineRule="auto"/>
        <w:rPr>
          <w:rFonts w:asciiTheme="minorBidi" w:hAnsiTheme="minorBidi" w:cstheme="minorBidi"/>
          <w:sz w:val="20"/>
          <w:szCs w:val="20"/>
        </w:rPr>
      </w:pPr>
      <w:r>
        <w:rPr>
          <w:rFonts w:ascii="Arial" w:hAnsi="Arial" w:cs="Arial"/>
          <w:sz w:val="20"/>
          <w:szCs w:val="20"/>
          <w:u w:val="single"/>
        </w:rPr>
        <w:t>THE CALCULATIONS IN SEFER DANIEL, ACCORDING TO RASHI AND IBN EZRA</w:t>
      </w:r>
    </w:p>
    <w:p w14:paraId="594B735A" w14:textId="77777777" w:rsidR="00505FAD" w:rsidRDefault="00505FAD" w:rsidP="00505FAD">
      <w:pPr>
        <w:spacing w:line="480" w:lineRule="auto"/>
        <w:rPr>
          <w:rFonts w:asciiTheme="minorBidi" w:hAnsiTheme="minorBidi" w:cstheme="minorBidi"/>
          <w:sz w:val="20"/>
          <w:szCs w:val="20"/>
        </w:rPr>
      </w:pPr>
      <w:r>
        <w:rPr>
          <w:rFonts w:asciiTheme="minorBidi" w:hAnsiTheme="minorBidi" w:cstheme="minorBidi"/>
          <w:sz w:val="20"/>
          <w:szCs w:val="20"/>
        </w:rPr>
        <w:t xml:space="preserve">The messianic calculations discussed herein are based primarily on three verses in </w:t>
      </w:r>
      <w:proofErr w:type="spellStart"/>
      <w:r>
        <w:rPr>
          <w:rFonts w:asciiTheme="minorBidi" w:hAnsiTheme="minorBidi" w:cstheme="minorBidi"/>
          <w:sz w:val="20"/>
          <w:szCs w:val="20"/>
        </w:rPr>
        <w:t>Sefer</w:t>
      </w:r>
      <w:proofErr w:type="spellEnd"/>
      <w:r>
        <w:rPr>
          <w:rFonts w:asciiTheme="minorBidi" w:hAnsiTheme="minorBidi" w:cstheme="minorBidi"/>
          <w:sz w:val="20"/>
          <w:szCs w:val="20"/>
        </w:rPr>
        <w:t xml:space="preserve"> Daniel: </w:t>
      </w:r>
    </w:p>
    <w:p w14:paraId="3E9534C3" w14:textId="3DA9AC12" w:rsidR="00505FAD" w:rsidRDefault="00505FAD" w:rsidP="00505FAD">
      <w:pPr>
        <w:pStyle w:val="a5"/>
        <w:numPr>
          <w:ilvl w:val="0"/>
          <w:numId w:val="2"/>
        </w:numPr>
        <w:rPr>
          <w:rFonts w:asciiTheme="minorBidi" w:hAnsiTheme="minorBidi" w:cstheme="minorBidi"/>
          <w:sz w:val="28"/>
          <w:szCs w:val="28"/>
        </w:rPr>
      </w:pPr>
      <w:r>
        <w:rPr>
          <w:rFonts w:asciiTheme="minorBidi" w:hAnsiTheme="minorBidi" w:cstheme="minorBidi"/>
          <w:sz w:val="20"/>
          <w:szCs w:val="20"/>
        </w:rPr>
        <w:t xml:space="preserve">the number of “days”– 1,290 and 1,335, </w:t>
      </w:r>
      <w:r>
        <w:rPr>
          <w:rFonts w:ascii="Arial" w:hAnsi="Arial" w:cs="Arial"/>
          <w:sz w:val="20"/>
          <w:szCs w:val="20"/>
        </w:rPr>
        <w:t>“from the time the daily sacrifice was taken away</w:t>
      </w:r>
      <w:r>
        <w:rPr>
          <w:rFonts w:asciiTheme="minorBidi" w:hAnsiTheme="minorBidi" w:cstheme="minorBidi"/>
          <w:sz w:val="20"/>
          <w:szCs w:val="20"/>
        </w:rPr>
        <w:t>”</w:t>
      </w:r>
      <w:r>
        <w:rPr>
          <w:rStyle w:val="a6"/>
          <w:rFonts w:asciiTheme="minorBidi" w:hAnsiTheme="minorBidi" w:cstheme="minorBidi"/>
          <w:sz w:val="20"/>
          <w:szCs w:val="20"/>
        </w:rPr>
        <w:t xml:space="preserve"> </w:t>
      </w:r>
      <w:r>
        <w:rPr>
          <w:rStyle w:val="a6"/>
          <w:rFonts w:asciiTheme="minorBidi" w:hAnsiTheme="minorBidi" w:cstheme="minorBidi"/>
          <w:sz w:val="20"/>
          <w:szCs w:val="20"/>
        </w:rPr>
        <w:footnoteReference w:id="49"/>
      </w:r>
      <w:r>
        <w:rPr>
          <w:rFonts w:asciiTheme="minorBidi" w:hAnsiTheme="minorBidi" w:cstheme="minorBidi"/>
          <w:sz w:val="20"/>
          <w:szCs w:val="20"/>
        </w:rPr>
        <w:t xml:space="preserve"> </w:t>
      </w:r>
      <w:r>
        <w:t>(</w:t>
      </w:r>
      <w:r>
        <w:rPr>
          <w:rFonts w:ascii="David" w:eastAsiaTheme="minorHAnsi" w:hAnsi="David" w:cs="David"/>
          <w:color w:val="000000"/>
          <w:rtl/>
          <w:lang w:bidi="he-IL"/>
        </w:rPr>
        <w:t>מעת הוסר התמיד</w:t>
      </w:r>
      <w:r>
        <w:t xml:space="preserve">), </w:t>
      </w:r>
      <w:r>
        <w:rPr>
          <w:rFonts w:asciiTheme="minorBidi" w:hAnsiTheme="minorBidi" w:cstheme="minorBidi"/>
          <w:sz w:val="20"/>
          <w:szCs w:val="20"/>
        </w:rPr>
        <w:t>after which the Redemption is expected to come (Dan. 12:11-12):</w:t>
      </w:r>
      <w:r>
        <w:rPr>
          <w:rFonts w:ascii="FrankRuehl" w:eastAsiaTheme="minorHAnsi" w:hAnsi="FrankRuehl" w:cs="FrankRuehl"/>
          <w:color w:val="000000"/>
          <w:szCs w:val="40"/>
          <w:rtl/>
          <w:lang w:bidi="he-IL"/>
        </w:rPr>
        <w:t> </w:t>
      </w:r>
      <w:r>
        <w:rPr>
          <w:rFonts w:ascii="FrankRuehl" w:eastAsiaTheme="minorHAnsi" w:hAnsi="FrankRuehl" w:cs="FrankRuehl"/>
          <w:color w:val="000000"/>
          <w:sz w:val="28"/>
          <w:szCs w:val="28"/>
          <w:rtl/>
          <w:lang w:bidi="he-IL"/>
        </w:rPr>
        <w:t>וּמֵעֵת֙ הוּסַ֣ר הַתָּמִ֔יד וְלָתֵ֖ת שִׁקּ֣וּץ שֹׁמֵ֑ם יָמִ֕ים אֶ֖לֶף מָאתַ֥יִם וְתִשְׁעִֽים: אַשְׁרֵ֥י הַֽמְחַכֶּ֖ה וְיַגִּ֑יעַ לְיָמִ֕ים אֶ֕לֶף שְׁל֥שׁ מֵא֖וֹת שְׁלשִׁ֥ים וַֽחֲמִשָּֽׁה</w:t>
      </w:r>
    </w:p>
    <w:p w14:paraId="7D15FA59" w14:textId="77777777" w:rsidR="00505FAD" w:rsidRDefault="00505FAD" w:rsidP="00505FAD">
      <w:pPr>
        <w:pStyle w:val="a5"/>
        <w:rPr>
          <w:rFonts w:asciiTheme="minorBidi" w:hAnsiTheme="minorBidi" w:cstheme="minorBidi"/>
          <w:sz w:val="20"/>
          <w:szCs w:val="20"/>
        </w:rPr>
      </w:pPr>
    </w:p>
    <w:p w14:paraId="4F321C8C" w14:textId="313AF7E5" w:rsidR="00505FAD" w:rsidRDefault="00505FAD" w:rsidP="00505FAD">
      <w:pPr>
        <w:pStyle w:val="a5"/>
        <w:numPr>
          <w:ilvl w:val="0"/>
          <w:numId w:val="2"/>
        </w:numPr>
        <w:rPr>
          <w:rFonts w:asciiTheme="minorBidi" w:hAnsiTheme="minorBidi" w:cstheme="minorBidi"/>
          <w:sz w:val="20"/>
          <w:szCs w:val="20"/>
        </w:rPr>
      </w:pPr>
      <w:r>
        <w:rPr>
          <w:rFonts w:asciiTheme="minorBidi" w:hAnsiTheme="minorBidi" w:cstheme="minorBidi"/>
          <w:sz w:val="20"/>
          <w:szCs w:val="20"/>
        </w:rPr>
        <w:t xml:space="preserve">the cryptic phrase, “for a time, times, and a half” </w:t>
      </w:r>
      <w:r>
        <w:rPr>
          <w:rFonts w:asciiTheme="minorBidi" w:hAnsiTheme="minorBidi" w:cstheme="minorBidi"/>
          <w:sz w:val="22"/>
          <w:szCs w:val="22"/>
        </w:rPr>
        <w:t>(</w:t>
      </w:r>
      <w:r>
        <w:rPr>
          <w:rFonts w:ascii="FrankRuehl" w:eastAsiaTheme="minorHAnsi" w:hAnsi="FrankRuehl" w:cs="FrankRuehl"/>
          <w:color w:val="000000"/>
          <w:rtl/>
          <w:lang w:bidi="he-IL"/>
        </w:rPr>
        <w:t>לְמוֹעֵ֨ד מֽוֹעֲדִ֜ים וָחֵ֗צִי</w:t>
      </w:r>
      <w:r>
        <w:rPr>
          <w:rFonts w:asciiTheme="minorBidi" w:hAnsiTheme="minorBidi" w:cstheme="minorBidi"/>
          <w:sz w:val="22"/>
          <w:szCs w:val="22"/>
        </w:rPr>
        <w:t>)</w:t>
      </w:r>
      <w:r>
        <w:rPr>
          <w:rFonts w:asciiTheme="minorBidi" w:hAnsiTheme="minorBidi" w:cstheme="minorBidi"/>
          <w:sz w:val="20"/>
          <w:szCs w:val="20"/>
        </w:rPr>
        <w:t xml:space="preserve"> (Dan. 12:7) and its Aramaic equivalent </w:t>
      </w:r>
      <w:r>
        <w:rPr>
          <w:rFonts w:asciiTheme="minorBidi" w:hAnsiTheme="minorBidi" w:cstheme="minorBidi"/>
          <w:sz w:val="22"/>
          <w:szCs w:val="22"/>
        </w:rPr>
        <w:t>(</w:t>
      </w:r>
      <w:r>
        <w:rPr>
          <w:rFonts w:ascii="FrankRuehl" w:eastAsiaTheme="minorHAnsi" w:hAnsi="FrankRuehl" w:cs="FrankRuehl"/>
          <w:color w:val="000000"/>
          <w:rtl/>
          <w:lang w:bidi="he-IL"/>
        </w:rPr>
        <w:t>ו</w:t>
      </w:r>
      <w:r>
        <w:rPr>
          <w:rFonts w:ascii="FrankRuehl" w:eastAsiaTheme="minorHAnsi" w:hAnsi="FrankRuehl" w:cs="FrankRuehl"/>
          <w:color w:val="000000"/>
          <w:sz w:val="28"/>
          <w:szCs w:val="28"/>
          <w:rtl/>
          <w:lang w:bidi="he-IL"/>
        </w:rPr>
        <w:t>עִֽדָּֽנִ֖ין וּפְלַ֥ג עִדָּֽן עַד־עִדָּ֥ן</w:t>
      </w:r>
      <w:r>
        <w:rPr>
          <w:rFonts w:ascii="FrankRuehl" w:hAnsi="FrankRuehl" w:cs="FrankRuehl"/>
        </w:rPr>
        <w:t>)</w:t>
      </w:r>
      <w:r>
        <w:rPr>
          <w:rFonts w:asciiTheme="minorBidi" w:hAnsiTheme="minorBidi" w:cstheme="minorBidi"/>
          <w:sz w:val="20"/>
          <w:szCs w:val="20"/>
        </w:rPr>
        <w:t xml:space="preserve"> (Dan. 7:25);  </w:t>
      </w:r>
    </w:p>
    <w:p w14:paraId="507DF635" w14:textId="77777777" w:rsidR="00505FAD" w:rsidRDefault="00505FAD" w:rsidP="00505FAD">
      <w:pPr>
        <w:pStyle w:val="a5"/>
        <w:rPr>
          <w:rFonts w:asciiTheme="minorBidi" w:hAnsiTheme="minorBidi" w:cstheme="minorBidi"/>
          <w:sz w:val="20"/>
          <w:szCs w:val="20"/>
        </w:rPr>
      </w:pPr>
    </w:p>
    <w:p w14:paraId="0B5B36CF" w14:textId="77777777" w:rsidR="00505FAD" w:rsidRDefault="00505FAD" w:rsidP="00505FAD">
      <w:pPr>
        <w:pStyle w:val="a5"/>
        <w:rPr>
          <w:rFonts w:asciiTheme="minorBidi" w:hAnsiTheme="minorBidi" w:cstheme="minorBidi"/>
          <w:sz w:val="28"/>
          <w:szCs w:val="28"/>
        </w:rPr>
      </w:pPr>
      <w:r>
        <w:rPr>
          <w:rFonts w:ascii="FrankRuehl" w:eastAsiaTheme="minorHAnsi" w:hAnsi="FrankRuehl" w:cs="FrankRuehl"/>
          <w:color w:val="000000"/>
          <w:sz w:val="28"/>
          <w:szCs w:val="28"/>
          <w:rtl/>
          <w:lang w:bidi="he-IL"/>
        </w:rPr>
        <w:t>כִּי֩ לְמוֹעֵ֨ד מֽוֹעֲדִ֜ים וָחֵ֗צִי וּכְכַלּ֛וֹת נַפֵּ֥ץ יַד־עַם־קֹ֖דֶשׁ תִּכְלֶ֥ינָה כָל־אֵֽלֶּה</w:t>
      </w:r>
    </w:p>
    <w:p w14:paraId="455257B9" w14:textId="77777777" w:rsidR="00505FAD" w:rsidRDefault="00505FAD" w:rsidP="00505FAD">
      <w:pPr>
        <w:rPr>
          <w:rFonts w:asciiTheme="minorBidi" w:hAnsiTheme="minorBidi" w:cstheme="minorBidi"/>
          <w:sz w:val="20"/>
          <w:szCs w:val="20"/>
        </w:rPr>
      </w:pPr>
    </w:p>
    <w:p w14:paraId="02FC3AB7" w14:textId="77777777" w:rsidR="00505FAD" w:rsidRDefault="00505FAD" w:rsidP="00505FAD">
      <w:pPr>
        <w:pStyle w:val="a5"/>
        <w:numPr>
          <w:ilvl w:val="0"/>
          <w:numId w:val="2"/>
        </w:numPr>
        <w:rPr>
          <w:rFonts w:asciiTheme="minorBidi" w:hAnsiTheme="minorBidi" w:cstheme="minorBidi"/>
          <w:sz w:val="20"/>
          <w:szCs w:val="20"/>
        </w:rPr>
      </w:pPr>
      <w:r>
        <w:rPr>
          <w:rFonts w:asciiTheme="minorBidi" w:hAnsiTheme="minorBidi" w:cstheme="minorBidi"/>
          <w:sz w:val="20"/>
          <w:szCs w:val="20"/>
        </w:rPr>
        <w:t xml:space="preserve">the hint, “For 2,300 evenings and mornings; then shall the sanctuary be restored”, (Dan. 8:14).  </w:t>
      </w:r>
      <w:r>
        <w:rPr>
          <w:rFonts w:ascii="FrankRuehl" w:eastAsiaTheme="minorHAnsi" w:hAnsi="FrankRuehl" w:cs="FrankRuehl"/>
          <w:color w:val="000000"/>
          <w:szCs w:val="40"/>
          <w:rtl/>
          <w:lang w:bidi="he-IL"/>
        </w:rPr>
        <w:t> </w:t>
      </w:r>
      <w:r>
        <w:rPr>
          <w:rFonts w:ascii="FrankRuehl" w:eastAsiaTheme="minorHAnsi" w:hAnsi="FrankRuehl" w:cs="FrankRuehl"/>
          <w:color w:val="000000"/>
          <w:sz w:val="28"/>
          <w:szCs w:val="28"/>
          <w:rtl/>
          <w:lang w:bidi="he-IL"/>
        </w:rPr>
        <w:t>וַיֹּ֣אמֶר אֵלַ֔י עַ֚ד עֶ֣רֶב בֹּ֔קֶר אַלְפַּ֖יִם וּשְׁל֣שׁ מֵא֑וֹת וְנִצְדַּ֖ק קֹֽדֶשׁ</w:t>
      </w:r>
    </w:p>
    <w:p w14:paraId="21651E2D" w14:textId="77777777" w:rsidR="00505FAD" w:rsidRDefault="00505FAD" w:rsidP="00505FAD">
      <w:pPr>
        <w:rPr>
          <w:rFonts w:asciiTheme="minorBidi" w:hAnsiTheme="minorBidi" w:cstheme="minorBidi"/>
          <w:sz w:val="20"/>
          <w:szCs w:val="20"/>
        </w:rPr>
      </w:pPr>
    </w:p>
    <w:p w14:paraId="3F4377D2" w14:textId="77777777" w:rsidR="00505FAD" w:rsidRDefault="00505FAD" w:rsidP="00505FAD">
      <w:pPr>
        <w:rPr>
          <w:rFonts w:asciiTheme="minorBidi" w:hAnsiTheme="minorBidi" w:cstheme="minorBidi"/>
          <w:sz w:val="20"/>
          <w:szCs w:val="20"/>
        </w:rPr>
      </w:pPr>
    </w:p>
    <w:p w14:paraId="1A588B1C" w14:textId="77777777" w:rsidR="00505FAD" w:rsidRDefault="00505FAD" w:rsidP="00505FAD">
      <w:pPr>
        <w:rPr>
          <w:rFonts w:asciiTheme="minorBidi" w:hAnsiTheme="minorBidi" w:cstheme="minorBidi"/>
          <w:sz w:val="20"/>
          <w:szCs w:val="20"/>
        </w:rPr>
      </w:pPr>
      <w:r>
        <w:rPr>
          <w:rFonts w:asciiTheme="minorBidi" w:hAnsiTheme="minorBidi" w:cstheme="minorBidi"/>
          <w:sz w:val="20"/>
          <w:szCs w:val="20"/>
        </w:rPr>
        <w:t xml:space="preserve">RASHI’S </w:t>
      </w:r>
      <w:r w:rsidRPr="00A2377B">
        <w:rPr>
          <w:rFonts w:asciiTheme="minorBidi" w:hAnsiTheme="minorBidi" w:cstheme="minorBidi"/>
          <w:i/>
          <w:iCs/>
          <w:sz w:val="20"/>
          <w:szCs w:val="20"/>
        </w:rPr>
        <w:t>PERUSH</w:t>
      </w:r>
      <w:r>
        <w:rPr>
          <w:rFonts w:asciiTheme="minorBidi" w:hAnsiTheme="minorBidi" w:cstheme="minorBidi"/>
          <w:sz w:val="20"/>
          <w:szCs w:val="20"/>
        </w:rPr>
        <w:t xml:space="preserve"> ON CACLULATIONS</w:t>
      </w:r>
    </w:p>
    <w:p w14:paraId="51DD6027" w14:textId="77777777" w:rsidR="00505FAD" w:rsidRDefault="00505FAD" w:rsidP="00505FAD">
      <w:pPr>
        <w:ind w:left="360"/>
        <w:rPr>
          <w:rFonts w:asciiTheme="minorBidi" w:hAnsiTheme="minorBidi" w:cstheme="minorBidi"/>
          <w:sz w:val="20"/>
          <w:szCs w:val="20"/>
        </w:rPr>
      </w:pPr>
    </w:p>
    <w:p w14:paraId="34BE8DBD" w14:textId="4C3141F7" w:rsidR="00505FAD" w:rsidRDefault="00505FAD" w:rsidP="00505FAD">
      <w:pPr>
        <w:spacing w:line="480" w:lineRule="auto"/>
        <w:ind w:firstLine="720"/>
        <w:rPr>
          <w:rFonts w:ascii="Arial" w:hAnsi="Arial" w:cs="Arial"/>
          <w:sz w:val="20"/>
          <w:szCs w:val="20"/>
        </w:rPr>
      </w:pPr>
      <w:proofErr w:type="spellStart"/>
      <w:r>
        <w:rPr>
          <w:rFonts w:asciiTheme="minorBidi" w:hAnsiTheme="minorBidi" w:cstheme="minorBidi"/>
          <w:sz w:val="20"/>
          <w:szCs w:val="20"/>
        </w:rPr>
        <w:lastRenderedPageBreak/>
        <w:t>Rashi’s</w:t>
      </w:r>
      <w:proofErr w:type="spellEnd"/>
      <w:r>
        <w:rPr>
          <w:rFonts w:ascii="Arial" w:hAnsi="Arial" w:cs="Arial"/>
          <w:sz w:val="20"/>
          <w:szCs w:val="20"/>
        </w:rPr>
        <w:t xml:space="preserve"> calculations are based on the methodology of his illustrious Geonic predecessor, R. </w:t>
      </w:r>
      <w:proofErr w:type="spellStart"/>
      <w:r>
        <w:rPr>
          <w:rFonts w:ascii="Arial" w:hAnsi="Arial" w:cs="Arial"/>
          <w:sz w:val="20"/>
          <w:szCs w:val="20"/>
        </w:rPr>
        <w:t>Saadiah</w:t>
      </w:r>
      <w:proofErr w:type="spellEnd"/>
      <w:r>
        <w:rPr>
          <w:rFonts w:ascii="Arial" w:hAnsi="Arial" w:cs="Arial"/>
          <w:sz w:val="20"/>
          <w:szCs w:val="20"/>
        </w:rPr>
        <w:t xml:space="preserve"> </w:t>
      </w:r>
      <w:proofErr w:type="spellStart"/>
      <w:r>
        <w:rPr>
          <w:rFonts w:ascii="Arial" w:hAnsi="Arial" w:cs="Arial"/>
          <w:sz w:val="20"/>
          <w:szCs w:val="20"/>
        </w:rPr>
        <w:t>Gaon</w:t>
      </w:r>
      <w:proofErr w:type="spellEnd"/>
      <w:r>
        <w:rPr>
          <w:rFonts w:ascii="Arial" w:hAnsi="Arial" w:cs="Arial"/>
          <w:sz w:val="20"/>
          <w:szCs w:val="20"/>
        </w:rPr>
        <w:t>, whom he cites</w:t>
      </w:r>
      <w:r w:rsidR="00CC3DE9">
        <w:rPr>
          <w:rFonts w:ascii="Arial" w:hAnsi="Arial" w:cs="Arial"/>
          <w:sz w:val="20"/>
          <w:szCs w:val="20"/>
        </w:rPr>
        <w:t>, al</w:t>
      </w:r>
      <w:r>
        <w:rPr>
          <w:rFonts w:ascii="Arial" w:hAnsi="Arial" w:cs="Arial"/>
          <w:sz w:val="20"/>
          <w:szCs w:val="20"/>
        </w:rPr>
        <w:t>though their final dates differ</w:t>
      </w:r>
      <w:r w:rsidR="006E29E6">
        <w:rPr>
          <w:rFonts w:ascii="Arial" w:hAnsi="Arial" w:cs="Arial"/>
          <w:sz w:val="20"/>
          <w:szCs w:val="20"/>
        </w:rPr>
        <w:t>.</w:t>
      </w:r>
      <w:r>
        <w:rPr>
          <w:rStyle w:val="a6"/>
          <w:rFonts w:ascii="Arial" w:hAnsi="Arial" w:cs="Arial"/>
        </w:rPr>
        <w:footnoteReference w:id="50"/>
      </w:r>
      <w:r>
        <w:rPr>
          <w:rFonts w:ascii="Arial" w:hAnsi="Arial" w:cs="Arial"/>
          <w:sz w:val="20"/>
          <w:szCs w:val="20"/>
        </w:rPr>
        <w:t xml:space="preserve">  </w:t>
      </w:r>
      <w:proofErr w:type="spellStart"/>
      <w:r>
        <w:rPr>
          <w:rFonts w:ascii="Arial" w:hAnsi="Arial" w:cs="Arial"/>
          <w:sz w:val="20"/>
          <w:szCs w:val="20"/>
        </w:rPr>
        <w:t>Rashi</w:t>
      </w:r>
      <w:proofErr w:type="spellEnd"/>
      <w:r>
        <w:rPr>
          <w:rFonts w:ascii="Arial" w:hAnsi="Arial" w:cs="Arial"/>
          <w:sz w:val="20"/>
          <w:szCs w:val="20"/>
        </w:rPr>
        <w:t xml:space="preserve"> interprets the 1,290 “days” as the number of years “from the time the daily sacrifice was taken away” (i.e.</w:t>
      </w:r>
      <w:r w:rsidR="00CC3DE9">
        <w:rPr>
          <w:rFonts w:ascii="Arial" w:hAnsi="Arial" w:cs="Arial"/>
          <w:sz w:val="20"/>
          <w:szCs w:val="20"/>
        </w:rPr>
        <w:t>,</w:t>
      </w:r>
      <w:r>
        <w:rPr>
          <w:rFonts w:ascii="Arial" w:hAnsi="Arial" w:cs="Arial"/>
          <w:sz w:val="20"/>
          <w:szCs w:val="20"/>
        </w:rPr>
        <w:t xml:space="preserve"> six years before the destruction of the Second Temple – 62 CE), after which the messiah will arrive (</w:t>
      </w:r>
      <w:proofErr w:type="spellStart"/>
      <w:r>
        <w:rPr>
          <w:rFonts w:ascii="Arial" w:hAnsi="Arial" w:cs="Arial"/>
          <w:sz w:val="20"/>
          <w:szCs w:val="20"/>
        </w:rPr>
        <w:t>Rashi</w:t>
      </w:r>
      <w:proofErr w:type="spellEnd"/>
      <w:r>
        <w:rPr>
          <w:rFonts w:ascii="Arial" w:hAnsi="Arial" w:cs="Arial"/>
          <w:sz w:val="20"/>
          <w:szCs w:val="20"/>
        </w:rPr>
        <w:t xml:space="preserve"> 12:11).  This corresponds to the date 1352 CE.</w:t>
      </w:r>
      <w:r>
        <w:rPr>
          <w:rStyle w:val="a6"/>
          <w:rFonts w:ascii="Arial" w:hAnsi="Arial" w:cs="Arial"/>
        </w:rPr>
        <w:footnoteReference w:id="51"/>
      </w:r>
      <w:r>
        <w:rPr>
          <w:rFonts w:ascii="Arial" w:hAnsi="Arial" w:cs="Arial"/>
          <w:sz w:val="20"/>
          <w:szCs w:val="20"/>
        </w:rPr>
        <w:t xml:space="preserve">  </w:t>
      </w:r>
      <w:proofErr w:type="spellStart"/>
      <w:r>
        <w:rPr>
          <w:rFonts w:ascii="Arial" w:hAnsi="Arial" w:cs="Arial"/>
          <w:sz w:val="20"/>
          <w:szCs w:val="20"/>
        </w:rPr>
        <w:t>Rashi</w:t>
      </w:r>
      <w:proofErr w:type="spellEnd"/>
      <w:r>
        <w:rPr>
          <w:rFonts w:ascii="Arial" w:hAnsi="Arial" w:cs="Arial"/>
          <w:sz w:val="20"/>
          <w:szCs w:val="20"/>
        </w:rPr>
        <w:t xml:space="preserve"> claims the difference between 1,290 and 1,335 represents the 45 years after the messiah’s initial arrival, during which time he will be in hiding prior to his revelation, which will then complete the Redemption (</w:t>
      </w:r>
      <w:proofErr w:type="spellStart"/>
      <w:r>
        <w:rPr>
          <w:rFonts w:ascii="Arial" w:hAnsi="Arial" w:cs="Arial"/>
          <w:sz w:val="20"/>
          <w:szCs w:val="20"/>
        </w:rPr>
        <w:t>Rashi</w:t>
      </w:r>
      <w:proofErr w:type="spellEnd"/>
      <w:r>
        <w:rPr>
          <w:rFonts w:ascii="Arial" w:hAnsi="Arial" w:cs="Arial"/>
          <w:sz w:val="20"/>
          <w:szCs w:val="20"/>
        </w:rPr>
        <w:t xml:space="preserve"> 12:12).  Second is the cryptic phrase, “for a time, times, and a half” – </w:t>
      </w:r>
      <w:r>
        <w:t>(</w:t>
      </w:r>
      <w:r>
        <w:rPr>
          <w:rFonts w:ascii="FrankRuehl" w:eastAsiaTheme="minorHAnsi" w:hAnsi="FrankRuehl" w:cs="FrankRuehl"/>
          <w:color w:val="000000"/>
          <w:szCs w:val="28"/>
          <w:rtl/>
          <w:lang w:bidi="he-IL"/>
        </w:rPr>
        <w:t>לְמוֹעֵ֨ד מֽוֹעֲדִ֜ים וָחֵ֗צִי</w:t>
      </w:r>
      <w:r>
        <w:t xml:space="preserve">) </w:t>
      </w:r>
      <w:r>
        <w:rPr>
          <w:rFonts w:ascii="Arial" w:hAnsi="Arial" w:cs="Arial"/>
          <w:sz w:val="20"/>
          <w:szCs w:val="20"/>
        </w:rPr>
        <w:t>and its Aramaic equivalent (</w:t>
      </w:r>
      <w:r>
        <w:rPr>
          <w:rFonts w:ascii="FrankRuehl" w:eastAsiaTheme="minorHAnsi" w:hAnsi="FrankRuehl" w:cs="FrankRuehl"/>
          <w:color w:val="000000"/>
          <w:szCs w:val="28"/>
          <w:rtl/>
          <w:lang w:bidi="he-IL"/>
        </w:rPr>
        <w:t>וְעִֽדָּֽנִ֖ין וּפְלַ֥ג עִדָּֽן עַד־עִדָּ֥ן</w:t>
      </w:r>
      <w:r>
        <w:rPr>
          <w:rFonts w:ascii="Arial" w:hAnsi="Arial" w:cs="Arial"/>
          <w:sz w:val="20"/>
          <w:szCs w:val="20"/>
        </w:rPr>
        <w:t xml:space="preserve">).  </w:t>
      </w:r>
      <w:proofErr w:type="spellStart"/>
      <w:r>
        <w:rPr>
          <w:rFonts w:ascii="Arial" w:hAnsi="Arial" w:cs="Arial"/>
          <w:sz w:val="20"/>
          <w:szCs w:val="20"/>
        </w:rPr>
        <w:t>Rashi</w:t>
      </w:r>
      <w:proofErr w:type="spellEnd"/>
      <w:r>
        <w:rPr>
          <w:rFonts w:ascii="Arial" w:hAnsi="Arial" w:cs="Arial"/>
          <w:sz w:val="20"/>
          <w:szCs w:val="20"/>
        </w:rPr>
        <w:t xml:space="preserve"> claims these “times” represent two unequal periods in Jewish history which anticipate the Redemption (</w:t>
      </w:r>
      <w:proofErr w:type="spellStart"/>
      <w:r>
        <w:rPr>
          <w:rFonts w:ascii="Arial" w:hAnsi="Arial" w:cs="Arial"/>
          <w:sz w:val="20"/>
          <w:szCs w:val="20"/>
        </w:rPr>
        <w:t>Rashi</w:t>
      </w:r>
      <w:proofErr w:type="spellEnd"/>
      <w:r>
        <w:rPr>
          <w:rFonts w:ascii="Arial" w:hAnsi="Arial" w:cs="Arial"/>
          <w:sz w:val="20"/>
          <w:szCs w:val="20"/>
        </w:rPr>
        <w:t xml:space="preserve"> 7:25).</w:t>
      </w:r>
      <w:r>
        <w:rPr>
          <w:rStyle w:val="a6"/>
          <w:rFonts w:ascii="Arial" w:hAnsi="Arial" w:cs="Arial"/>
        </w:rPr>
        <w:footnoteReference w:id="52"/>
      </w:r>
      <w:r>
        <w:rPr>
          <w:rFonts w:ascii="Arial" w:hAnsi="Arial" w:cs="Arial"/>
          <w:sz w:val="20"/>
          <w:szCs w:val="20"/>
        </w:rPr>
        <w:t xml:space="preserve">  These periods begin with the Exodus from Egypt and end with the Messianic Advent, once again in 1352 CE.</w:t>
      </w:r>
      <w:r>
        <w:rPr>
          <w:rStyle w:val="a6"/>
          <w:rFonts w:ascii="Arial" w:hAnsi="Arial" w:cs="Arial"/>
        </w:rPr>
        <w:footnoteReference w:id="53"/>
      </w:r>
      <w:r>
        <w:rPr>
          <w:rFonts w:ascii="Arial" w:hAnsi="Arial" w:cs="Arial"/>
          <w:sz w:val="20"/>
          <w:szCs w:val="20"/>
        </w:rPr>
        <w:t xml:space="preserve">  Third is the verse, “For 2,300 evenings and mornings; then shall the sanctuary be restored”</w:t>
      </w:r>
      <w:r>
        <w:t xml:space="preserve"> (</w:t>
      </w:r>
      <w:r>
        <w:rPr>
          <w:rFonts w:ascii="FrankRuehl" w:eastAsiaTheme="minorHAnsi" w:hAnsi="FrankRuehl" w:cs="FrankRuehl"/>
          <w:color w:val="000000"/>
          <w:szCs w:val="28"/>
          <w:rtl/>
          <w:lang w:bidi="he-IL"/>
        </w:rPr>
        <w:t>עַ֚ד עֶ֣רֶב בֹּ֔קֶר אַלְפַּ֖יִם וּשְׁל֣שׁ מֵא֑וֹת וְנִצְדַּ֖ק קֹֽדֶשׁ</w:t>
      </w:r>
      <w:r>
        <w:t>)</w:t>
      </w:r>
      <w:r>
        <w:rPr>
          <w:rFonts w:ascii="Arial" w:hAnsi="Arial" w:cs="Arial"/>
          <w:sz w:val="20"/>
          <w:szCs w:val="20"/>
        </w:rPr>
        <w:t xml:space="preserve">.  </w:t>
      </w:r>
      <w:proofErr w:type="spellStart"/>
      <w:r>
        <w:rPr>
          <w:rFonts w:ascii="Arial" w:hAnsi="Arial" w:cs="Arial"/>
          <w:sz w:val="20"/>
          <w:szCs w:val="20"/>
        </w:rPr>
        <w:t>Rashi’s</w:t>
      </w:r>
      <w:proofErr w:type="spellEnd"/>
      <w:r>
        <w:rPr>
          <w:rFonts w:ascii="Arial" w:hAnsi="Arial" w:cs="Arial"/>
          <w:sz w:val="20"/>
          <w:szCs w:val="20"/>
        </w:rPr>
        <w:t xml:space="preserve"> </w:t>
      </w:r>
      <w:proofErr w:type="spellStart"/>
      <w:r>
        <w:rPr>
          <w:rFonts w:ascii="Arial" w:hAnsi="Arial" w:cs="Arial"/>
          <w:i/>
          <w:iCs/>
          <w:sz w:val="20"/>
          <w:szCs w:val="20"/>
        </w:rPr>
        <w:t>perush</w:t>
      </w:r>
      <w:proofErr w:type="spellEnd"/>
      <w:r>
        <w:rPr>
          <w:rFonts w:ascii="Arial" w:hAnsi="Arial" w:cs="Arial"/>
          <w:sz w:val="20"/>
          <w:szCs w:val="20"/>
        </w:rPr>
        <w:t xml:space="preserve"> here uses the addition of a hidden </w:t>
      </w:r>
      <w:proofErr w:type="spellStart"/>
      <w:r>
        <w:rPr>
          <w:rFonts w:ascii="Arial" w:hAnsi="Arial" w:cs="Arial"/>
          <w:i/>
          <w:sz w:val="20"/>
          <w:szCs w:val="20"/>
        </w:rPr>
        <w:t>gematriya</w:t>
      </w:r>
      <w:proofErr w:type="spellEnd"/>
      <w:r>
        <w:rPr>
          <w:rFonts w:ascii="Arial" w:hAnsi="Arial" w:cs="Arial"/>
          <w:sz w:val="20"/>
          <w:szCs w:val="20"/>
        </w:rPr>
        <w:t xml:space="preserve"> from the verse itself</w:t>
      </w:r>
      <w:r>
        <w:t xml:space="preserve"> (</w:t>
      </w:r>
      <w:r>
        <w:rPr>
          <w:rFonts w:ascii="FrankRuehl" w:eastAsiaTheme="minorHAnsi" w:hAnsi="FrankRuehl" w:cs="FrankRuehl"/>
          <w:color w:val="000000"/>
          <w:szCs w:val="28"/>
          <w:rtl/>
          <w:lang w:bidi="he-IL"/>
        </w:rPr>
        <w:t>עֶ֣רֶב בֹּ֔קֶר</w:t>
      </w:r>
      <w:r>
        <w:t xml:space="preserve">), </w:t>
      </w:r>
      <w:r>
        <w:rPr>
          <w:rFonts w:ascii="Arial" w:hAnsi="Arial" w:cs="Arial"/>
          <w:sz w:val="20"/>
          <w:szCs w:val="20"/>
        </w:rPr>
        <w:t>which equals 574 (</w:t>
      </w:r>
      <w:proofErr w:type="spellStart"/>
      <w:r>
        <w:rPr>
          <w:rFonts w:ascii="Arial" w:hAnsi="Arial" w:cs="Arial"/>
          <w:sz w:val="20"/>
          <w:szCs w:val="20"/>
        </w:rPr>
        <w:t>Rashi</w:t>
      </w:r>
      <w:proofErr w:type="spellEnd"/>
      <w:r>
        <w:rPr>
          <w:rFonts w:ascii="Arial" w:hAnsi="Arial" w:cs="Arial"/>
          <w:sz w:val="20"/>
          <w:szCs w:val="20"/>
        </w:rPr>
        <w:t xml:space="preserve"> 8:14).  </w:t>
      </w:r>
      <w:proofErr w:type="spellStart"/>
      <w:r>
        <w:rPr>
          <w:rFonts w:ascii="Arial" w:hAnsi="Arial" w:cs="Arial"/>
          <w:sz w:val="20"/>
          <w:szCs w:val="20"/>
        </w:rPr>
        <w:t>Rashi</w:t>
      </w:r>
      <w:proofErr w:type="spellEnd"/>
      <w:r>
        <w:rPr>
          <w:rFonts w:ascii="Arial" w:hAnsi="Arial" w:cs="Arial"/>
          <w:sz w:val="20"/>
          <w:szCs w:val="20"/>
        </w:rPr>
        <w:t xml:space="preserve"> </w:t>
      </w:r>
      <w:r>
        <w:rPr>
          <w:rFonts w:asciiTheme="minorBidi" w:hAnsiTheme="minorBidi" w:cstheme="minorBidi"/>
          <w:sz w:val="20"/>
          <w:szCs w:val="20"/>
        </w:rPr>
        <w:t>explains the sum of 2,300 and 574 (2,874) as representing the total number of years from the first Exile of Egypt to the Messianic Arrival.  This sum 2,874 also accords internally with the earlier two messianic verses – i.e.</w:t>
      </w:r>
      <w:r w:rsidR="00CC3DE9">
        <w:rPr>
          <w:rFonts w:asciiTheme="minorBidi" w:hAnsiTheme="minorBidi" w:cstheme="minorBidi"/>
          <w:sz w:val="20"/>
          <w:szCs w:val="20"/>
        </w:rPr>
        <w:t>,</w:t>
      </w:r>
      <w:r>
        <w:rPr>
          <w:rFonts w:asciiTheme="minorBidi" w:hAnsiTheme="minorBidi" w:cstheme="minorBidi"/>
          <w:sz w:val="20"/>
          <w:szCs w:val="20"/>
        </w:rPr>
        <w:t xml:space="preserve"> 1290 “days,” and “for a time, times, and a half” (</w:t>
      </w:r>
      <w:r>
        <w:rPr>
          <w:rFonts w:ascii="DavidD" w:eastAsiaTheme="minorHAnsi" w:hAnsi="DavidD" w:cstheme="minorBidi"/>
          <w:color w:val="000000"/>
          <w:rtl/>
          <w:lang w:bidi="he-IL"/>
        </w:rPr>
        <w:t>לְמוֹעֵ֨ד מֽוֹעֲדִ֜ים וָחֵ֗צִי</w:t>
      </w:r>
      <w:r>
        <w:rPr>
          <w:rFonts w:asciiTheme="minorBidi" w:hAnsiTheme="minorBidi" w:cstheme="minorBidi"/>
          <w:sz w:val="20"/>
          <w:szCs w:val="20"/>
        </w:rPr>
        <w:t>).  This is achieved by being the composite of two time periods which culminate in the Messianic Age: 1. the total number of years from the beginning of the Egyptian Exile until six years preceding the destruction of the Second Temple (</w:t>
      </w:r>
      <w:r>
        <w:rPr>
          <w:rFonts w:asciiTheme="minorBidi" w:eastAsiaTheme="minorHAnsi" w:hAnsiTheme="minorBidi" w:cstheme="minorBidi"/>
          <w:color w:val="000000"/>
          <w:sz w:val="20"/>
          <w:szCs w:val="20"/>
          <w:rtl/>
          <w:lang w:bidi="he-IL"/>
        </w:rPr>
        <w:t>מעת הוסר התמיד</w:t>
      </w:r>
      <w:r>
        <w:rPr>
          <w:rFonts w:asciiTheme="minorBidi" w:hAnsiTheme="minorBidi" w:cstheme="minorBidi"/>
          <w:sz w:val="20"/>
          <w:szCs w:val="20"/>
        </w:rPr>
        <w:t>), which equals 1,584 years;  2. the 1,290 “days”</w:t>
      </w:r>
      <w:r w:rsidR="00A2377B">
        <w:rPr>
          <w:rFonts w:asciiTheme="minorBidi" w:hAnsiTheme="minorBidi" w:cstheme="minorBidi"/>
          <w:sz w:val="20"/>
          <w:szCs w:val="20"/>
        </w:rPr>
        <w:t xml:space="preserve"> </w:t>
      </w:r>
      <w:r w:rsidR="003862B7">
        <w:rPr>
          <w:rFonts w:asciiTheme="minorBidi" w:hAnsiTheme="minorBidi" w:cstheme="minorBidi"/>
          <w:sz w:val="20"/>
          <w:szCs w:val="20"/>
        </w:rPr>
        <w:t xml:space="preserve">i.e., </w:t>
      </w:r>
      <w:r>
        <w:rPr>
          <w:rFonts w:asciiTheme="minorBidi" w:hAnsiTheme="minorBidi" w:cstheme="minorBidi"/>
          <w:sz w:val="20"/>
          <w:szCs w:val="20"/>
        </w:rPr>
        <w:t xml:space="preserve">years, “from the time the daily sacrifice was taken away” until the </w:t>
      </w:r>
      <w:r>
        <w:rPr>
          <w:rFonts w:asciiTheme="minorBidi" w:hAnsiTheme="minorBidi" w:cstheme="minorBidi"/>
          <w:sz w:val="20"/>
          <w:szCs w:val="20"/>
        </w:rPr>
        <w:lastRenderedPageBreak/>
        <w:t>arrival of the Messiah.  Once again</w:t>
      </w:r>
      <w:r w:rsidR="003862B7">
        <w:rPr>
          <w:rFonts w:asciiTheme="minorBidi" w:hAnsiTheme="minorBidi" w:cstheme="minorBidi"/>
          <w:sz w:val="20"/>
          <w:szCs w:val="20"/>
        </w:rPr>
        <w:t>,</w:t>
      </w:r>
      <w:r>
        <w:rPr>
          <w:rFonts w:asciiTheme="minorBidi" w:hAnsiTheme="minorBidi" w:cstheme="minorBidi"/>
          <w:sz w:val="20"/>
          <w:szCs w:val="20"/>
        </w:rPr>
        <w:t xml:space="preserve"> the final date in this set of computations</w:t>
      </w:r>
      <w:r>
        <w:rPr>
          <w:rFonts w:ascii="Arial" w:hAnsi="Arial" w:cs="Arial"/>
          <w:sz w:val="20"/>
          <w:szCs w:val="20"/>
        </w:rPr>
        <w:t xml:space="preserve"> is 1352 CE.</w:t>
      </w:r>
      <w:r>
        <w:rPr>
          <w:rStyle w:val="a6"/>
          <w:rFonts w:ascii="Arial" w:hAnsi="Arial" w:cs="Arial"/>
        </w:rPr>
        <w:footnoteReference w:id="54"/>
      </w:r>
      <w:r>
        <w:rPr>
          <w:rFonts w:ascii="Arial" w:hAnsi="Arial" w:cs="Arial"/>
          <w:sz w:val="20"/>
          <w:szCs w:val="20"/>
        </w:rPr>
        <w:t xml:space="preserve">  </w:t>
      </w:r>
      <w:proofErr w:type="spellStart"/>
      <w:r>
        <w:rPr>
          <w:rFonts w:ascii="Arial" w:hAnsi="Arial" w:cs="Arial"/>
          <w:sz w:val="20"/>
          <w:szCs w:val="20"/>
        </w:rPr>
        <w:t>Kanarfogel</w:t>
      </w:r>
      <w:proofErr w:type="spellEnd"/>
      <w:r>
        <w:rPr>
          <w:rFonts w:asciiTheme="minorBidi" w:hAnsiTheme="minorBidi" w:cstheme="minorBidi"/>
          <w:sz w:val="20"/>
          <w:szCs w:val="20"/>
        </w:rPr>
        <w:t xml:space="preserve"> suggests that </w:t>
      </w:r>
      <w:proofErr w:type="spellStart"/>
      <w:r>
        <w:rPr>
          <w:rFonts w:asciiTheme="minorBidi" w:hAnsiTheme="minorBidi" w:cstheme="minorBidi"/>
          <w:sz w:val="20"/>
          <w:szCs w:val="20"/>
        </w:rPr>
        <w:t>Rashi’s</w:t>
      </w:r>
      <w:proofErr w:type="spellEnd"/>
      <w:r>
        <w:rPr>
          <w:rFonts w:asciiTheme="minorBidi" w:hAnsiTheme="minorBidi" w:cstheme="minorBidi"/>
          <w:sz w:val="20"/>
          <w:szCs w:val="20"/>
        </w:rPr>
        <w:t xml:space="preserve"> later dates (</w:t>
      </w:r>
      <w:r w:rsidR="00A86232">
        <w:rPr>
          <w:rFonts w:asciiTheme="minorBidi" w:hAnsiTheme="minorBidi" w:cstheme="minorBidi"/>
          <w:sz w:val="20"/>
          <w:szCs w:val="20"/>
        </w:rPr>
        <w:t>i.e.,</w:t>
      </w:r>
      <w:r>
        <w:rPr>
          <w:rFonts w:asciiTheme="minorBidi" w:hAnsiTheme="minorBidi" w:cstheme="minorBidi"/>
          <w:sz w:val="20"/>
          <w:szCs w:val="20"/>
        </w:rPr>
        <w:t xml:space="preserve"> 1352 CE, some two hundred fifty years after his death, in 1104 CE) might have contained an indirect polemical message of restraint and moderation, in the face of Jewish </w:t>
      </w:r>
      <w:proofErr w:type="spellStart"/>
      <w:r>
        <w:rPr>
          <w:rFonts w:asciiTheme="minorBidi" w:hAnsiTheme="minorBidi" w:cstheme="minorBidi"/>
          <w:sz w:val="20"/>
          <w:szCs w:val="20"/>
        </w:rPr>
        <w:t>millenaristic</w:t>
      </w:r>
      <w:proofErr w:type="spellEnd"/>
      <w:r>
        <w:rPr>
          <w:rFonts w:asciiTheme="minorBidi" w:hAnsiTheme="minorBidi" w:cstheme="minorBidi"/>
          <w:sz w:val="20"/>
          <w:szCs w:val="20"/>
        </w:rPr>
        <w:t xml:space="preserve"> fervor (and disappointment) happening in his day</w:t>
      </w:r>
      <w:r w:rsidR="003862B7">
        <w:rPr>
          <w:rFonts w:asciiTheme="minorBidi" w:hAnsiTheme="minorBidi" w:cstheme="minorBidi"/>
          <w:sz w:val="20"/>
          <w:szCs w:val="20"/>
        </w:rPr>
        <w:t>.</w:t>
      </w:r>
      <w:r>
        <w:rPr>
          <w:rFonts w:asciiTheme="minorBidi" w:hAnsiTheme="minorBidi" w:cstheme="minorBidi"/>
          <w:sz w:val="20"/>
          <w:szCs w:val="20"/>
        </w:rPr>
        <w:t xml:space="preserve">  The notorious </w:t>
      </w:r>
      <w:proofErr w:type="spellStart"/>
      <w:r>
        <w:rPr>
          <w:rFonts w:asciiTheme="minorBidi" w:hAnsiTheme="minorBidi" w:cstheme="minorBidi"/>
          <w:i/>
          <w:sz w:val="20"/>
          <w:szCs w:val="20"/>
        </w:rPr>
        <w:t>gematriya</w:t>
      </w:r>
      <w:proofErr w:type="spellEnd"/>
      <w:r>
        <w:rPr>
          <w:rFonts w:asciiTheme="minorBidi" w:hAnsiTheme="minorBidi" w:cstheme="minorBidi"/>
          <w:iCs/>
          <w:sz w:val="20"/>
          <w:szCs w:val="20"/>
        </w:rPr>
        <w:t xml:space="preserve"> of 1096, circulating as the year of the Messianic Redemption,</w:t>
      </w:r>
      <w:r>
        <w:rPr>
          <w:rFonts w:asciiTheme="minorBidi" w:hAnsiTheme="minorBidi" w:cstheme="minorBidi"/>
          <w:sz w:val="20"/>
          <w:szCs w:val="20"/>
        </w:rPr>
        <w:t xml:space="preserve"> culminated instead in catastrophe for the Jews of </w:t>
      </w:r>
      <w:proofErr w:type="spellStart"/>
      <w:r>
        <w:rPr>
          <w:rFonts w:asciiTheme="minorBidi" w:hAnsiTheme="minorBidi" w:cstheme="minorBidi"/>
          <w:sz w:val="20"/>
          <w:szCs w:val="20"/>
        </w:rPr>
        <w:t>Ashknenaz</w:t>
      </w:r>
      <w:proofErr w:type="spellEnd"/>
      <w:r>
        <w:rPr>
          <w:rFonts w:asciiTheme="minorBidi" w:hAnsiTheme="minorBidi" w:cstheme="minorBidi"/>
          <w:sz w:val="20"/>
          <w:szCs w:val="20"/>
        </w:rPr>
        <w:t xml:space="preserve"> in the wake of the First Crusade (1096 CE).</w:t>
      </w:r>
      <w:r>
        <w:rPr>
          <w:rStyle w:val="a6"/>
          <w:rFonts w:asciiTheme="minorBidi" w:hAnsiTheme="minorBidi" w:cstheme="minorBidi"/>
        </w:rPr>
        <w:footnoteReference w:id="55"/>
      </w:r>
      <w:r>
        <w:rPr>
          <w:rFonts w:ascii="Arial" w:hAnsi="Arial" w:cs="Arial"/>
          <w:sz w:val="20"/>
          <w:szCs w:val="20"/>
        </w:rPr>
        <w:t xml:space="preserve">  </w:t>
      </w:r>
    </w:p>
    <w:p w14:paraId="0D504FC6" w14:textId="5DBCA64E" w:rsidR="00505FAD" w:rsidRDefault="00505FAD" w:rsidP="00505FAD">
      <w:pPr>
        <w:spacing w:line="480" w:lineRule="auto"/>
        <w:ind w:firstLine="720"/>
        <w:rPr>
          <w:rFonts w:ascii="Arial" w:hAnsi="Arial" w:cs="Arial"/>
          <w:sz w:val="20"/>
          <w:szCs w:val="20"/>
        </w:rPr>
      </w:pPr>
      <w:r>
        <w:rPr>
          <w:rFonts w:ascii="Arial" w:hAnsi="Arial" w:cs="Arial"/>
          <w:sz w:val="20"/>
          <w:szCs w:val="20"/>
        </w:rPr>
        <w:t xml:space="preserve">In his interpretations of the above three messianic verses, Ibn Ezra does not make any reference to </w:t>
      </w:r>
      <w:proofErr w:type="spellStart"/>
      <w:r>
        <w:rPr>
          <w:rFonts w:ascii="Arial" w:hAnsi="Arial" w:cs="Arial"/>
          <w:sz w:val="20"/>
          <w:szCs w:val="20"/>
        </w:rPr>
        <w:t>Rashi</w:t>
      </w:r>
      <w:proofErr w:type="spellEnd"/>
      <w:r>
        <w:rPr>
          <w:rFonts w:ascii="Arial" w:hAnsi="Arial" w:cs="Arial"/>
          <w:sz w:val="20"/>
          <w:szCs w:val="20"/>
        </w:rPr>
        <w:t xml:space="preserve">, although he refers to </w:t>
      </w:r>
      <w:proofErr w:type="spellStart"/>
      <w:r>
        <w:rPr>
          <w:rFonts w:ascii="Arial" w:hAnsi="Arial" w:cs="Arial"/>
          <w:sz w:val="20"/>
          <w:szCs w:val="20"/>
        </w:rPr>
        <w:t>Rasag’s</w:t>
      </w:r>
      <w:proofErr w:type="spellEnd"/>
      <w:r>
        <w:rPr>
          <w:rFonts w:ascii="Arial" w:hAnsi="Arial" w:cs="Arial"/>
          <w:sz w:val="20"/>
          <w:szCs w:val="20"/>
        </w:rPr>
        <w:t xml:space="preserve"> speculations in both his Short and Long Commentaries I, II on Daniel (see below). </w:t>
      </w:r>
      <w:r w:rsidR="00CB5429">
        <w:rPr>
          <w:rFonts w:ascii="Arial" w:hAnsi="Arial" w:cs="Arial"/>
          <w:sz w:val="20"/>
          <w:szCs w:val="20"/>
        </w:rPr>
        <w:t xml:space="preserve"> </w:t>
      </w:r>
      <w:r w:rsidR="003077B6">
        <w:rPr>
          <w:rFonts w:ascii="Arial" w:hAnsi="Arial" w:cs="Arial"/>
          <w:sz w:val="20"/>
          <w:szCs w:val="20"/>
        </w:rPr>
        <w:t xml:space="preserve">Since </w:t>
      </w:r>
      <w:proofErr w:type="spellStart"/>
      <w:r>
        <w:rPr>
          <w:rFonts w:ascii="Arial" w:hAnsi="Arial" w:cs="Arial"/>
          <w:sz w:val="20"/>
          <w:szCs w:val="20"/>
        </w:rPr>
        <w:t>Rashi’s</w:t>
      </w:r>
      <w:proofErr w:type="spellEnd"/>
      <w:r>
        <w:rPr>
          <w:rFonts w:ascii="Arial" w:hAnsi="Arial" w:cs="Arial"/>
          <w:sz w:val="20"/>
          <w:szCs w:val="20"/>
        </w:rPr>
        <w:t xml:space="preserve"> </w:t>
      </w:r>
      <w:r w:rsidR="00CB5429">
        <w:rPr>
          <w:rFonts w:ascii="Arial" w:hAnsi="Arial" w:cs="Arial"/>
          <w:sz w:val="20"/>
          <w:szCs w:val="20"/>
        </w:rPr>
        <w:t xml:space="preserve">messianic </w:t>
      </w:r>
      <w:r>
        <w:rPr>
          <w:rFonts w:ascii="Arial" w:hAnsi="Arial" w:cs="Arial"/>
          <w:sz w:val="20"/>
          <w:szCs w:val="20"/>
        </w:rPr>
        <w:t xml:space="preserve">calculations did not comport with the “typical” Ashkenazic mode of </w:t>
      </w:r>
      <w:proofErr w:type="spellStart"/>
      <w:r>
        <w:rPr>
          <w:rFonts w:ascii="Arial" w:hAnsi="Arial" w:cs="Arial"/>
          <w:i/>
          <w:iCs/>
          <w:sz w:val="20"/>
          <w:szCs w:val="20"/>
        </w:rPr>
        <w:t>derash</w:t>
      </w:r>
      <w:proofErr w:type="spellEnd"/>
      <w:r w:rsidR="003077B6">
        <w:rPr>
          <w:rFonts w:ascii="Arial" w:hAnsi="Arial" w:cs="Arial"/>
          <w:sz w:val="20"/>
          <w:szCs w:val="20"/>
        </w:rPr>
        <w:t xml:space="preserve"> and deviated from his own usual </w:t>
      </w:r>
      <w:proofErr w:type="spellStart"/>
      <w:r w:rsidR="003077B6" w:rsidRPr="00FB1CFF">
        <w:rPr>
          <w:rFonts w:ascii="Arial" w:hAnsi="Arial" w:cs="Arial"/>
          <w:i/>
          <w:iCs/>
          <w:sz w:val="20"/>
          <w:szCs w:val="20"/>
        </w:rPr>
        <w:t>derash</w:t>
      </w:r>
      <w:proofErr w:type="spellEnd"/>
      <w:r w:rsidR="003077B6">
        <w:rPr>
          <w:rFonts w:ascii="Arial" w:hAnsi="Arial" w:cs="Arial"/>
          <w:sz w:val="20"/>
          <w:szCs w:val="20"/>
        </w:rPr>
        <w:t>-based exegesis</w:t>
      </w:r>
      <w:r>
        <w:rPr>
          <w:rFonts w:ascii="Arial" w:hAnsi="Arial" w:cs="Arial"/>
          <w:sz w:val="20"/>
          <w:szCs w:val="20"/>
        </w:rPr>
        <w:t>, perhaps they were not well known or accessible to the general public</w:t>
      </w:r>
      <w:r w:rsidR="003077B6">
        <w:rPr>
          <w:rFonts w:ascii="Arial" w:hAnsi="Arial" w:cs="Arial"/>
          <w:sz w:val="20"/>
          <w:szCs w:val="20"/>
        </w:rPr>
        <w:t>,</w:t>
      </w:r>
      <w:r>
        <w:rPr>
          <w:rFonts w:ascii="Arial" w:hAnsi="Arial" w:cs="Arial"/>
          <w:sz w:val="20"/>
          <w:szCs w:val="20"/>
        </w:rPr>
        <w:t xml:space="preserve"> even in his home territory.  Furthermore, even if Ibn Ezra </w:t>
      </w:r>
      <w:r>
        <w:rPr>
          <w:rFonts w:ascii="Arial" w:hAnsi="Arial" w:cs="Arial"/>
          <w:i/>
          <w:iCs/>
          <w:sz w:val="20"/>
          <w:szCs w:val="20"/>
        </w:rPr>
        <w:t>were</w:t>
      </w:r>
      <w:r>
        <w:rPr>
          <w:rFonts w:ascii="Arial" w:hAnsi="Arial" w:cs="Arial"/>
          <w:sz w:val="20"/>
          <w:szCs w:val="20"/>
        </w:rPr>
        <w:t xml:space="preserve"> aware of </w:t>
      </w:r>
      <w:proofErr w:type="spellStart"/>
      <w:r>
        <w:rPr>
          <w:rFonts w:ascii="Arial" w:hAnsi="Arial" w:cs="Arial"/>
          <w:sz w:val="20"/>
          <w:szCs w:val="20"/>
        </w:rPr>
        <w:t>Rashi’s</w:t>
      </w:r>
      <w:proofErr w:type="spellEnd"/>
      <w:r>
        <w:rPr>
          <w:rFonts w:ascii="Arial" w:hAnsi="Arial" w:cs="Arial"/>
          <w:sz w:val="20"/>
          <w:szCs w:val="20"/>
        </w:rPr>
        <w:t xml:space="preserve"> calculations, he consistently directs his comments at their originator, </w:t>
      </w:r>
      <w:proofErr w:type="spellStart"/>
      <w:r>
        <w:rPr>
          <w:rFonts w:ascii="Arial" w:hAnsi="Arial" w:cs="Arial"/>
          <w:sz w:val="20"/>
          <w:szCs w:val="20"/>
        </w:rPr>
        <w:t>Rasag</w:t>
      </w:r>
      <w:proofErr w:type="spellEnd"/>
      <w:r>
        <w:rPr>
          <w:rFonts w:ascii="Arial" w:hAnsi="Arial" w:cs="Arial"/>
          <w:sz w:val="20"/>
          <w:szCs w:val="20"/>
        </w:rPr>
        <w:t xml:space="preserve">, whose </w:t>
      </w:r>
      <w:proofErr w:type="spellStart"/>
      <w:r>
        <w:rPr>
          <w:rFonts w:ascii="Arial" w:hAnsi="Arial" w:cs="Arial"/>
          <w:i/>
          <w:iCs/>
          <w:sz w:val="20"/>
          <w:szCs w:val="20"/>
        </w:rPr>
        <w:t>perush</w:t>
      </w:r>
      <w:proofErr w:type="spellEnd"/>
      <w:r>
        <w:rPr>
          <w:rFonts w:ascii="Arial" w:hAnsi="Arial" w:cs="Arial"/>
          <w:sz w:val="20"/>
          <w:szCs w:val="20"/>
        </w:rPr>
        <w:t xml:space="preserve"> he cites numerous times throughout his biblical commentaries.</w:t>
      </w:r>
      <w:r>
        <w:rPr>
          <w:rStyle w:val="a6"/>
          <w:rFonts w:ascii="Arial" w:hAnsi="Arial" w:cs="Arial"/>
          <w:sz w:val="20"/>
          <w:szCs w:val="20"/>
        </w:rPr>
        <w:footnoteReference w:id="56"/>
      </w:r>
      <w:r>
        <w:rPr>
          <w:rFonts w:ascii="Arial" w:hAnsi="Arial" w:cs="Arial"/>
          <w:sz w:val="20"/>
          <w:szCs w:val="20"/>
        </w:rPr>
        <w:t xml:space="preserve">  Thus, a comparison to </w:t>
      </w:r>
      <w:proofErr w:type="spellStart"/>
      <w:r>
        <w:rPr>
          <w:rFonts w:ascii="Arial" w:hAnsi="Arial" w:cs="Arial"/>
          <w:sz w:val="20"/>
          <w:szCs w:val="20"/>
        </w:rPr>
        <w:t>Rashi</w:t>
      </w:r>
      <w:proofErr w:type="spellEnd"/>
      <w:r>
        <w:rPr>
          <w:rFonts w:ascii="Arial" w:hAnsi="Arial" w:cs="Arial"/>
          <w:sz w:val="20"/>
          <w:szCs w:val="20"/>
        </w:rPr>
        <w:t xml:space="preserve"> is not meaningful in this context.</w:t>
      </w:r>
    </w:p>
    <w:p w14:paraId="5D1116AD" w14:textId="77777777" w:rsidR="00505FAD" w:rsidRDefault="00505FAD" w:rsidP="00505FAD">
      <w:pPr>
        <w:spacing w:after="160" w:line="480" w:lineRule="auto"/>
        <w:rPr>
          <w:rFonts w:ascii="Arial" w:hAnsi="Arial" w:cs="Arial"/>
          <w:sz w:val="20"/>
          <w:szCs w:val="20"/>
        </w:rPr>
      </w:pPr>
      <w:r>
        <w:rPr>
          <w:rFonts w:ascii="Arial" w:hAnsi="Arial" w:cs="Arial"/>
          <w:sz w:val="20"/>
          <w:szCs w:val="20"/>
        </w:rPr>
        <w:t xml:space="preserve">IBN EZRA’S </w:t>
      </w:r>
      <w:r w:rsidRPr="0009260E">
        <w:rPr>
          <w:rFonts w:ascii="Arial" w:hAnsi="Arial" w:cs="Arial"/>
          <w:i/>
          <w:iCs/>
          <w:sz w:val="20"/>
          <w:szCs w:val="20"/>
        </w:rPr>
        <w:t>PERUSH</w:t>
      </w:r>
      <w:r>
        <w:rPr>
          <w:rFonts w:ascii="Arial" w:hAnsi="Arial" w:cs="Arial"/>
          <w:sz w:val="20"/>
          <w:szCs w:val="20"/>
        </w:rPr>
        <w:t xml:space="preserve"> ON CALCULATIONS (LONG AND SHORT)</w:t>
      </w:r>
    </w:p>
    <w:p w14:paraId="739FCA14" w14:textId="42C18DB8" w:rsidR="008F7AB7" w:rsidRPr="008F7AB7" w:rsidRDefault="00505FAD" w:rsidP="00283421">
      <w:pPr>
        <w:spacing w:after="160" w:line="480" w:lineRule="auto"/>
        <w:ind w:firstLine="720"/>
        <w:rPr>
          <w:rFonts w:asciiTheme="minorBidi" w:hAnsiTheme="minorBidi" w:cstheme="minorBidi"/>
          <w:sz w:val="20"/>
          <w:szCs w:val="20"/>
        </w:rPr>
      </w:pPr>
      <w:r>
        <w:rPr>
          <w:rFonts w:ascii="Arial" w:hAnsi="Arial" w:cs="Arial"/>
          <w:sz w:val="20"/>
          <w:szCs w:val="20"/>
        </w:rPr>
        <w:t xml:space="preserve">Ibn Ezra analyzes the above-mentioned messianic computations in a bold and unique fashion, in which he is consistent in both his Short and Long Commentaries I, II.  First, contrary to the </w:t>
      </w:r>
      <w:r>
        <w:rPr>
          <w:rFonts w:asciiTheme="minorBidi" w:hAnsiTheme="minorBidi" w:cstheme="minorBidi"/>
          <w:sz w:val="20"/>
          <w:szCs w:val="20"/>
        </w:rPr>
        <w:t>standard interpretation by medieval Jewish exegetes, in which 1,290/1,335 “days” refer to years, Ibn Ezra claims they are actual days.  He maintains the word “days” may only be understood as “years” if it is mentioned on its own, but not if it’s associated with a number, like “1,290 days” (Dan. 9:24).</w:t>
      </w:r>
      <w:r>
        <w:rPr>
          <w:rStyle w:val="a6"/>
          <w:rFonts w:asciiTheme="minorBidi" w:hAnsiTheme="minorBidi" w:cstheme="minorBidi"/>
          <w:sz w:val="20"/>
          <w:szCs w:val="20"/>
        </w:rPr>
        <w:footnoteReference w:id="57"/>
      </w:r>
      <w:r>
        <w:rPr>
          <w:rFonts w:asciiTheme="minorBidi" w:hAnsiTheme="minorBidi" w:cstheme="minorBidi"/>
          <w:sz w:val="20"/>
          <w:szCs w:val="20"/>
        </w:rPr>
        <w:t xml:space="preserve"> Consequently, instead of spanning more than a</w:t>
      </w:r>
      <w:r>
        <w:rPr>
          <w:rFonts w:ascii="Arial" w:hAnsi="Arial" w:cs="Arial"/>
          <w:sz w:val="20"/>
          <w:szCs w:val="20"/>
        </w:rPr>
        <w:t xml:space="preserve"> millennium in time, they comprise merely some three and a half years. According to this interpretation, 1,290 days refers to the amount of time in which the Second Temple </w:t>
      </w:r>
      <w:r>
        <w:rPr>
          <w:rFonts w:ascii="Arial" w:hAnsi="Arial" w:cs="Arial"/>
          <w:sz w:val="20"/>
          <w:szCs w:val="20"/>
        </w:rPr>
        <w:lastRenderedPageBreak/>
        <w:t>stood “without the daily sacrifice”</w:t>
      </w:r>
      <w:r>
        <w:t xml:space="preserve"> (</w:t>
      </w:r>
      <w:r>
        <w:rPr>
          <w:rFonts w:ascii="David" w:eastAsiaTheme="minorHAnsi" w:hAnsi="David" w:cs="David"/>
          <w:color w:val="000000"/>
          <w:rtl/>
          <w:lang w:bidi="he-IL"/>
        </w:rPr>
        <w:t>מעת הוסר התמיד</w:t>
      </w:r>
      <w:r>
        <w:t xml:space="preserve">) </w:t>
      </w:r>
      <w:r>
        <w:rPr>
          <w:rFonts w:ascii="Arial" w:hAnsi="Arial" w:cs="Arial"/>
          <w:sz w:val="20"/>
          <w:szCs w:val="20"/>
        </w:rPr>
        <w:t>before it was destroyed.  Likewise, the 1,335 days correspond to a similar period of intense Jewish suffering before the Messianic advent.</w:t>
      </w:r>
      <w:r>
        <w:rPr>
          <w:rStyle w:val="a6"/>
          <w:rFonts w:ascii="Arial" w:hAnsi="Arial" w:cs="Arial"/>
          <w:sz w:val="20"/>
          <w:szCs w:val="20"/>
        </w:rPr>
        <w:footnoteReference w:id="58"/>
      </w:r>
      <w:r>
        <w:rPr>
          <w:rFonts w:ascii="Arial" w:hAnsi="Arial" w:cs="Arial"/>
          <w:sz w:val="20"/>
          <w:szCs w:val="20"/>
        </w:rPr>
        <w:t xml:space="preserve">   In a unified fashion, Ibn Ezra shows that the three and a half years also defines the period of time in the second verse, “for a time, times, and a half” (</w:t>
      </w:r>
      <w:r w:rsidR="00283421">
        <w:rPr>
          <w:rFonts w:ascii="Arial" w:hAnsi="Arial" w:cs="Arial"/>
          <w:sz w:val="20"/>
          <w:szCs w:val="20"/>
        </w:rPr>
        <w:t xml:space="preserve">Dan. </w:t>
      </w:r>
      <w:r>
        <w:rPr>
          <w:rFonts w:ascii="Arial" w:hAnsi="Arial" w:cs="Arial"/>
          <w:sz w:val="20"/>
          <w:szCs w:val="20"/>
        </w:rPr>
        <w:t>12:7)</w:t>
      </w:r>
      <w:r>
        <w:t xml:space="preserve"> (</w:t>
      </w:r>
      <w:r>
        <w:rPr>
          <w:rFonts w:ascii="David" w:eastAsiaTheme="minorHAnsi" w:hAnsi="David" w:cs="David"/>
          <w:color w:val="000000"/>
          <w:rtl/>
          <w:lang w:bidi="he-IL"/>
        </w:rPr>
        <w:t>לְמוֹעֵ֨ד מֽוֹעֲדִ֜ים וָחֵ֗צִי</w:t>
      </w:r>
      <w:r>
        <w:t xml:space="preserve">).  </w:t>
      </w:r>
      <w:r>
        <w:rPr>
          <w:rFonts w:asciiTheme="minorBidi" w:hAnsiTheme="minorBidi" w:cstheme="minorBidi"/>
          <w:sz w:val="20"/>
          <w:szCs w:val="20"/>
        </w:rPr>
        <w:t xml:space="preserve">Ibn Ezra claims, (like </w:t>
      </w:r>
      <w:proofErr w:type="spellStart"/>
      <w:r>
        <w:rPr>
          <w:rFonts w:asciiTheme="minorBidi" w:hAnsiTheme="minorBidi" w:cstheme="minorBidi"/>
          <w:sz w:val="20"/>
          <w:szCs w:val="20"/>
        </w:rPr>
        <w:t>Rasag</w:t>
      </w:r>
      <w:proofErr w:type="spellEnd"/>
      <w:r>
        <w:rPr>
          <w:rFonts w:asciiTheme="minorBidi" w:hAnsiTheme="minorBidi" w:cstheme="minorBidi"/>
          <w:sz w:val="20"/>
          <w:szCs w:val="20"/>
        </w:rPr>
        <w:t xml:space="preserve">, and </w:t>
      </w:r>
      <w:proofErr w:type="spellStart"/>
      <w:r>
        <w:rPr>
          <w:rFonts w:asciiTheme="minorBidi" w:hAnsiTheme="minorBidi" w:cstheme="minorBidi"/>
          <w:sz w:val="20"/>
          <w:szCs w:val="20"/>
        </w:rPr>
        <w:t>Rashi</w:t>
      </w:r>
      <w:proofErr w:type="spellEnd"/>
      <w:r>
        <w:rPr>
          <w:rFonts w:asciiTheme="minorBidi" w:hAnsiTheme="minorBidi" w:cstheme="minorBidi"/>
          <w:sz w:val="20"/>
          <w:szCs w:val="20"/>
        </w:rPr>
        <w:t xml:space="preserve">), that the first reference to </w:t>
      </w:r>
      <w:proofErr w:type="spellStart"/>
      <w:r>
        <w:rPr>
          <w:rFonts w:asciiTheme="minorBidi" w:hAnsiTheme="minorBidi" w:cstheme="minorBidi"/>
          <w:i/>
          <w:sz w:val="20"/>
          <w:szCs w:val="20"/>
        </w:rPr>
        <w:t>moed</w:t>
      </w:r>
      <w:proofErr w:type="spellEnd"/>
      <w:r>
        <w:rPr>
          <w:rFonts w:asciiTheme="majorBidi" w:hAnsiTheme="majorBidi" w:cstheme="majorBidi"/>
          <w:sz w:val="20"/>
          <w:szCs w:val="20"/>
        </w:rPr>
        <w:t xml:space="preserve"> (</w:t>
      </w:r>
      <w:r>
        <w:rPr>
          <w:rFonts w:asciiTheme="majorBidi" w:eastAsiaTheme="minorHAnsi" w:hAnsiTheme="majorBidi" w:cstheme="majorBidi" w:hint="cs"/>
          <w:color w:val="000000"/>
          <w:sz w:val="20"/>
          <w:szCs w:val="20"/>
          <w:rtl/>
          <w:lang w:bidi="he-IL"/>
        </w:rPr>
        <w:t>ל</w:t>
      </w:r>
      <w:r>
        <w:rPr>
          <w:rFonts w:asciiTheme="majorBidi" w:eastAsiaTheme="minorHAnsi" w:hAnsiTheme="majorBidi" w:cstheme="majorBidi" w:hint="cs"/>
          <w:color w:val="000000"/>
          <w:sz w:val="22"/>
          <w:szCs w:val="22"/>
          <w:rtl/>
          <w:lang w:bidi="he-IL"/>
        </w:rPr>
        <w:t>ְמוֹעֵ֨ד</w:t>
      </w:r>
      <w:r>
        <w:rPr>
          <w:rFonts w:asciiTheme="majorBidi" w:hAnsiTheme="majorBidi" w:cstheme="majorBidi"/>
          <w:sz w:val="20"/>
          <w:szCs w:val="20"/>
        </w:rPr>
        <w:t xml:space="preserve">) </w:t>
      </w:r>
      <w:r>
        <w:rPr>
          <w:rFonts w:asciiTheme="minorBidi" w:hAnsiTheme="minorBidi" w:cstheme="minorBidi"/>
          <w:sz w:val="20"/>
          <w:szCs w:val="20"/>
        </w:rPr>
        <w:t xml:space="preserve">is prefatory.  He then argues that the minimal number of a Hebrew plural form is </w:t>
      </w:r>
      <w:r>
        <w:rPr>
          <w:rFonts w:asciiTheme="minorBidi" w:hAnsiTheme="minorBidi" w:cstheme="minorBidi"/>
          <w:i/>
          <w:sz w:val="20"/>
          <w:szCs w:val="20"/>
        </w:rPr>
        <w:t>three</w:t>
      </w:r>
      <w:r>
        <w:rPr>
          <w:rFonts w:asciiTheme="minorBidi" w:hAnsiTheme="minorBidi" w:cstheme="minorBidi"/>
          <w:sz w:val="20"/>
          <w:szCs w:val="20"/>
        </w:rPr>
        <w:t xml:space="preserve"> – not two, unless it is a dual-plural form</w:t>
      </w:r>
      <w:r w:rsidR="00283421">
        <w:rPr>
          <w:rFonts w:asciiTheme="minorBidi" w:hAnsiTheme="minorBidi" w:cstheme="minorBidi"/>
          <w:sz w:val="20"/>
          <w:szCs w:val="20"/>
        </w:rPr>
        <w:t xml:space="preserve"> </w:t>
      </w:r>
      <w:r w:rsidR="00283421" w:rsidRPr="00283421">
        <w:rPr>
          <w:rFonts w:asciiTheme="minorBidi" w:hAnsiTheme="minorBidi" w:cstheme="minorBidi"/>
          <w:sz w:val="20"/>
          <w:szCs w:val="20"/>
        </w:rPr>
        <w:t>–</w:t>
      </w:r>
      <w:r w:rsidR="00283421">
        <w:rPr>
          <w:rFonts w:asciiTheme="minorBidi" w:hAnsiTheme="minorBidi" w:cstheme="minorBidi"/>
          <w:sz w:val="20"/>
          <w:szCs w:val="20"/>
        </w:rPr>
        <w:t xml:space="preserve"> </w:t>
      </w:r>
      <w:r>
        <w:rPr>
          <w:rFonts w:asciiTheme="minorBidi" w:hAnsiTheme="minorBidi" w:cstheme="minorBidi"/>
          <w:sz w:val="20"/>
          <w:szCs w:val="20"/>
        </w:rPr>
        <w:t>For example</w:t>
      </w:r>
      <w:proofErr w:type="gramStart"/>
      <w:r>
        <w:rPr>
          <w:rFonts w:asciiTheme="minorBidi" w:hAnsiTheme="minorBidi" w:cstheme="minorBidi"/>
          <w:sz w:val="20"/>
          <w:szCs w:val="20"/>
        </w:rPr>
        <w:t>,</w:t>
      </w:r>
      <w:r>
        <w:rPr>
          <w:rFonts w:ascii="DavidD" w:hAnsi="DavidD" w:cstheme="majorBidi"/>
        </w:rPr>
        <w:t></w:t>
      </w:r>
      <w:proofErr w:type="gramEnd"/>
      <w:r>
        <w:rPr>
          <w:rFonts w:ascii="DavidD" w:eastAsiaTheme="minorHAnsi" w:hAnsi="DavidD" w:cstheme="majorBidi" w:hint="cs"/>
          <w:color w:val="000000"/>
          <w:rtl/>
          <w:lang w:bidi="he-IL"/>
        </w:rPr>
        <w:t>שנתים</w:t>
      </w:r>
      <w:r>
        <w:rPr>
          <w:rFonts w:asciiTheme="majorBidi" w:hAnsiTheme="majorBidi" w:cstheme="majorBidi" w:hint="cs"/>
          <w:sz w:val="20"/>
          <w:szCs w:val="20"/>
          <w:rtl/>
          <w:lang w:bidi="he-IL"/>
        </w:rPr>
        <w:t xml:space="preserve"> </w:t>
      </w:r>
      <w:r>
        <w:rPr>
          <w:rFonts w:asciiTheme="minorBidi" w:hAnsiTheme="minorBidi" w:cstheme="minorBidi"/>
          <w:sz w:val="20"/>
          <w:szCs w:val="20"/>
        </w:rPr>
        <w:t xml:space="preserve"> </w:t>
      </w:r>
      <w:r w:rsidR="00DD174C">
        <w:rPr>
          <w:rFonts w:asciiTheme="minorBidi" w:hAnsiTheme="minorBidi" w:cstheme="minorBidi"/>
          <w:sz w:val="20"/>
          <w:szCs w:val="20"/>
        </w:rPr>
        <w:t xml:space="preserve">are </w:t>
      </w:r>
      <w:r>
        <w:rPr>
          <w:rFonts w:asciiTheme="minorBidi" w:hAnsiTheme="minorBidi" w:cstheme="minorBidi"/>
          <w:sz w:val="20"/>
          <w:szCs w:val="20"/>
        </w:rPr>
        <w:t>two years, while</w:t>
      </w:r>
      <w:r>
        <w:rPr>
          <w:rFonts w:asciiTheme="majorBidi" w:hAnsiTheme="majorBidi" w:cstheme="majorBidi"/>
          <w:sz w:val="22"/>
          <w:szCs w:val="22"/>
        </w:rPr>
        <w:t xml:space="preserve"> </w:t>
      </w:r>
      <w:r>
        <w:rPr>
          <w:rFonts w:asciiTheme="majorBidi" w:eastAsiaTheme="minorHAnsi" w:hAnsiTheme="majorBidi" w:cstheme="majorBidi" w:hint="cs"/>
          <w:color w:val="000000"/>
          <w:sz w:val="22"/>
          <w:szCs w:val="22"/>
          <w:rtl/>
          <w:lang w:bidi="he-IL"/>
        </w:rPr>
        <w:t>שָנִים</w:t>
      </w:r>
      <w:r>
        <w:rPr>
          <w:rFonts w:asciiTheme="majorBidi" w:hAnsiTheme="majorBidi" w:cstheme="majorBidi" w:hint="cs"/>
          <w:sz w:val="20"/>
          <w:szCs w:val="20"/>
          <w:rtl/>
          <w:lang w:bidi="he-IL"/>
        </w:rPr>
        <w:t xml:space="preserve"> </w:t>
      </w:r>
      <w:r>
        <w:rPr>
          <w:rFonts w:asciiTheme="minorBidi" w:hAnsiTheme="minorBidi" w:cstheme="minorBidi"/>
          <w:sz w:val="20"/>
          <w:szCs w:val="20"/>
        </w:rPr>
        <w:t xml:space="preserve"> </w:t>
      </w:r>
      <w:r w:rsidR="00195808">
        <w:rPr>
          <w:rFonts w:asciiTheme="minorBidi" w:hAnsiTheme="minorBidi" w:cstheme="minorBidi"/>
          <w:sz w:val="20"/>
          <w:szCs w:val="20"/>
        </w:rPr>
        <w:t xml:space="preserve">are </w:t>
      </w:r>
      <w:r>
        <w:rPr>
          <w:rFonts w:asciiTheme="minorBidi" w:hAnsiTheme="minorBidi" w:cstheme="minorBidi"/>
          <w:sz w:val="20"/>
          <w:szCs w:val="20"/>
        </w:rPr>
        <w:t>at least three years.</w:t>
      </w:r>
      <w:r>
        <w:rPr>
          <w:rStyle w:val="a6"/>
          <w:rFonts w:asciiTheme="minorBidi" w:hAnsiTheme="minorBidi" w:cstheme="minorBidi"/>
          <w:sz w:val="20"/>
          <w:szCs w:val="20"/>
        </w:rPr>
        <w:footnoteReference w:id="59"/>
      </w:r>
      <w:r>
        <w:rPr>
          <w:rFonts w:asciiTheme="minorBidi" w:hAnsiTheme="minorBidi" w:cstheme="minorBidi"/>
          <w:sz w:val="20"/>
          <w:szCs w:val="20"/>
        </w:rPr>
        <w:t xml:space="preserve">  Ibn Ezra also claims that the Aramaic translation of </w:t>
      </w:r>
      <w:proofErr w:type="spellStart"/>
      <w:r>
        <w:rPr>
          <w:rFonts w:asciiTheme="minorBidi" w:hAnsiTheme="minorBidi" w:cstheme="minorBidi"/>
          <w:i/>
          <w:sz w:val="20"/>
          <w:szCs w:val="20"/>
        </w:rPr>
        <w:t>moed</w:t>
      </w:r>
      <w:proofErr w:type="spellEnd"/>
      <w:r>
        <w:rPr>
          <w:rFonts w:asciiTheme="minorBidi" w:hAnsiTheme="minorBidi" w:cstheme="minorBidi"/>
          <w:sz w:val="20"/>
          <w:szCs w:val="20"/>
        </w:rPr>
        <w:t xml:space="preserve">, </w:t>
      </w:r>
      <w:proofErr w:type="spellStart"/>
      <w:r>
        <w:rPr>
          <w:rFonts w:asciiTheme="minorBidi" w:hAnsiTheme="minorBidi" w:cstheme="minorBidi"/>
          <w:i/>
          <w:sz w:val="20"/>
          <w:szCs w:val="20"/>
        </w:rPr>
        <w:t>idan</w:t>
      </w:r>
      <w:proofErr w:type="spellEnd"/>
      <w:r>
        <w:rPr>
          <w:rFonts w:asciiTheme="minorBidi" w:hAnsiTheme="minorBidi" w:cstheme="minorBidi"/>
          <w:iCs/>
          <w:sz w:val="20"/>
          <w:szCs w:val="20"/>
        </w:rPr>
        <w:t>,</w:t>
      </w:r>
      <w:r>
        <w:rPr>
          <w:rFonts w:asciiTheme="majorBidi" w:hAnsiTheme="majorBidi" w:cstheme="majorBidi"/>
          <w:sz w:val="20"/>
          <w:szCs w:val="20"/>
        </w:rPr>
        <w:t xml:space="preserve"> </w:t>
      </w:r>
      <w:r>
        <w:rPr>
          <w:rFonts w:asciiTheme="minorBidi" w:hAnsiTheme="minorBidi" w:cstheme="minorBidi"/>
          <w:sz w:val="20"/>
          <w:szCs w:val="20"/>
        </w:rPr>
        <w:t xml:space="preserve">refers to a single year; and </w:t>
      </w:r>
      <w:proofErr w:type="spellStart"/>
      <w:r>
        <w:rPr>
          <w:rFonts w:asciiTheme="minorBidi" w:hAnsiTheme="minorBidi" w:cstheme="minorBidi"/>
          <w:i/>
          <w:iCs/>
          <w:sz w:val="20"/>
          <w:szCs w:val="20"/>
        </w:rPr>
        <w:t>hetzi</w:t>
      </w:r>
      <w:proofErr w:type="spellEnd"/>
      <w:r>
        <w:rPr>
          <w:rFonts w:asciiTheme="minorBidi" w:hAnsiTheme="minorBidi" w:cstheme="minorBidi"/>
          <w:sz w:val="20"/>
          <w:szCs w:val="20"/>
        </w:rPr>
        <w:t xml:space="preserve"> refers to half a </w:t>
      </w:r>
      <w:proofErr w:type="spellStart"/>
      <w:r>
        <w:rPr>
          <w:rFonts w:asciiTheme="minorBidi" w:hAnsiTheme="minorBidi" w:cstheme="minorBidi"/>
          <w:i/>
          <w:iCs/>
          <w:sz w:val="20"/>
          <w:szCs w:val="20"/>
        </w:rPr>
        <w:t>mo’ed</w:t>
      </w:r>
      <w:proofErr w:type="spellEnd"/>
      <w:r>
        <w:rPr>
          <w:rFonts w:asciiTheme="minorBidi" w:hAnsiTheme="minorBidi" w:cstheme="minorBidi"/>
          <w:sz w:val="20"/>
          <w:szCs w:val="20"/>
        </w:rPr>
        <w:t xml:space="preserve">, which is half a year.  Thus, </w:t>
      </w:r>
      <w:proofErr w:type="spellStart"/>
      <w:r>
        <w:rPr>
          <w:rFonts w:asciiTheme="minorBidi" w:hAnsiTheme="minorBidi" w:cstheme="minorBidi"/>
          <w:i/>
          <w:sz w:val="20"/>
          <w:szCs w:val="20"/>
        </w:rPr>
        <w:t>moadim</w:t>
      </w:r>
      <w:proofErr w:type="spellEnd"/>
      <w:r>
        <w:rPr>
          <w:rFonts w:asciiTheme="minorBidi" w:hAnsiTheme="minorBidi" w:cstheme="minorBidi"/>
          <w:sz w:val="20"/>
          <w:szCs w:val="20"/>
        </w:rPr>
        <w:t xml:space="preserve"> </w:t>
      </w:r>
      <w:proofErr w:type="spellStart"/>
      <w:r>
        <w:rPr>
          <w:rFonts w:asciiTheme="minorBidi" w:hAnsiTheme="minorBidi" w:cstheme="minorBidi"/>
          <w:i/>
          <w:sz w:val="20"/>
          <w:szCs w:val="20"/>
        </w:rPr>
        <w:t>va-hetzi</w:t>
      </w:r>
      <w:proofErr w:type="spellEnd"/>
      <w:r>
        <w:rPr>
          <w:rFonts w:asciiTheme="minorBidi" w:hAnsiTheme="minorBidi" w:cstheme="minorBidi"/>
          <w:sz w:val="20"/>
          <w:szCs w:val="20"/>
        </w:rPr>
        <w:t xml:space="preserve"> </w:t>
      </w:r>
      <w:r>
        <w:rPr>
          <w:rFonts w:asciiTheme="majorBidi" w:hAnsiTheme="majorBidi" w:cstheme="majorBidi"/>
          <w:sz w:val="20"/>
          <w:szCs w:val="20"/>
        </w:rPr>
        <w:t>(</w:t>
      </w:r>
      <w:r>
        <w:rPr>
          <w:rFonts w:asciiTheme="majorBidi" w:eastAsiaTheme="minorHAnsi" w:hAnsiTheme="majorBidi" w:cstheme="majorBidi" w:hint="cs"/>
          <w:color w:val="000000"/>
          <w:sz w:val="22"/>
          <w:szCs w:val="22"/>
          <w:rtl/>
          <w:lang w:bidi="he-IL"/>
        </w:rPr>
        <w:t>מֽוֹעֲדִ֜ים וָחֵ֗צִי</w:t>
      </w:r>
      <w:r>
        <w:rPr>
          <w:rFonts w:asciiTheme="majorBidi" w:hAnsiTheme="majorBidi" w:cstheme="majorBidi"/>
          <w:sz w:val="22"/>
          <w:szCs w:val="22"/>
        </w:rPr>
        <w:t xml:space="preserve">) </w:t>
      </w:r>
      <w:r>
        <w:rPr>
          <w:rFonts w:asciiTheme="minorBidi" w:hAnsiTheme="minorBidi" w:cstheme="minorBidi"/>
          <w:sz w:val="20"/>
          <w:szCs w:val="20"/>
        </w:rPr>
        <w:t xml:space="preserve">totals three and a half years, which approximates the 1,335 days mentioned above.  </w:t>
      </w:r>
      <w:r>
        <w:rPr>
          <w:rFonts w:ascii="Arial" w:hAnsi="Arial" w:cs="Arial"/>
          <w:sz w:val="20"/>
          <w:szCs w:val="20"/>
        </w:rPr>
        <w:t>He concludes that this period will entail great Jewish suffering and will precede the futuristic war between “the king of the North” and “the king of the South,” after which the messianic “Redeemer will come to Israel.”</w:t>
      </w:r>
      <w:r>
        <w:rPr>
          <w:rStyle w:val="a6"/>
          <w:rFonts w:ascii="Arial" w:hAnsi="Arial" w:cs="Arial"/>
        </w:rPr>
        <w:footnoteReference w:id="60"/>
      </w:r>
      <w:r>
        <w:rPr>
          <w:rFonts w:ascii="Arial" w:hAnsi="Arial" w:cs="Arial"/>
          <w:sz w:val="20"/>
          <w:szCs w:val="20"/>
        </w:rPr>
        <w:t xml:space="preserve">  Finally, Ibn Ezra explains the third verse in a similar linguistic fashion.  Thus, </w:t>
      </w:r>
      <w:r>
        <w:rPr>
          <w:rFonts w:asciiTheme="minorBidi" w:hAnsiTheme="minorBidi" w:cstheme="minorBidi"/>
          <w:sz w:val="20"/>
          <w:szCs w:val="20"/>
        </w:rPr>
        <w:t xml:space="preserve">the “2,300 evenings and mornings” refer to 2,300 actual days (and not years, per </w:t>
      </w:r>
      <w:proofErr w:type="spellStart"/>
      <w:r>
        <w:rPr>
          <w:rFonts w:asciiTheme="minorBidi" w:hAnsiTheme="minorBidi" w:cstheme="minorBidi"/>
          <w:sz w:val="20"/>
          <w:szCs w:val="20"/>
        </w:rPr>
        <w:t>Rasag</w:t>
      </w:r>
      <w:proofErr w:type="spellEnd"/>
      <w:r>
        <w:rPr>
          <w:rFonts w:asciiTheme="minorBidi" w:hAnsiTheme="minorBidi" w:cstheme="minorBidi"/>
          <w:sz w:val="20"/>
          <w:szCs w:val="20"/>
        </w:rPr>
        <w:t xml:space="preserve"> and </w:t>
      </w:r>
      <w:proofErr w:type="spellStart"/>
      <w:r>
        <w:rPr>
          <w:rFonts w:asciiTheme="minorBidi" w:hAnsiTheme="minorBidi" w:cstheme="minorBidi"/>
          <w:sz w:val="20"/>
          <w:szCs w:val="20"/>
        </w:rPr>
        <w:t>Rashi</w:t>
      </w:r>
      <w:proofErr w:type="spellEnd"/>
      <w:r>
        <w:rPr>
          <w:rFonts w:asciiTheme="minorBidi" w:hAnsiTheme="minorBidi" w:cstheme="minorBidi"/>
          <w:sz w:val="20"/>
          <w:szCs w:val="20"/>
        </w:rPr>
        <w:t>).  Ibn Ezra claims that these approximately</w:t>
      </w:r>
      <w:r w:rsidR="00283421">
        <w:rPr>
          <w:rFonts w:asciiTheme="minorBidi" w:hAnsiTheme="minorBidi" w:cstheme="minorBidi"/>
          <w:sz w:val="20"/>
          <w:szCs w:val="20"/>
        </w:rPr>
        <w:t xml:space="preserve"> </w:t>
      </w:r>
      <w:r>
        <w:rPr>
          <w:rFonts w:asciiTheme="minorBidi" w:hAnsiTheme="minorBidi" w:cstheme="minorBidi"/>
          <w:sz w:val="20"/>
          <w:szCs w:val="20"/>
        </w:rPr>
        <w:t>six years and three months refer to past years of intense Jewish suffering under the persecution of a Greek ruler</w:t>
      </w:r>
      <w:r w:rsidRPr="008F7AB7">
        <w:rPr>
          <w:rFonts w:asciiTheme="minorBidi" w:hAnsiTheme="minorBidi" w:cstheme="minorBidi"/>
          <w:sz w:val="20"/>
          <w:szCs w:val="20"/>
        </w:rPr>
        <w:t>.</w:t>
      </w:r>
      <w:r w:rsidRPr="008F7AB7">
        <w:rPr>
          <w:rStyle w:val="a6"/>
          <w:rFonts w:asciiTheme="minorBidi" w:hAnsiTheme="minorBidi" w:cstheme="minorBidi"/>
          <w:sz w:val="20"/>
          <w:szCs w:val="20"/>
        </w:rPr>
        <w:footnoteReference w:id="61"/>
      </w:r>
      <w:r w:rsidR="008F7AB7" w:rsidRPr="008F7AB7">
        <w:rPr>
          <w:rFonts w:asciiTheme="minorBidi" w:hAnsiTheme="minorBidi" w:cstheme="minorBidi"/>
          <w:sz w:val="20"/>
          <w:szCs w:val="20"/>
        </w:rPr>
        <w:t xml:space="preserve">  In both his Short and Long commentaries, therefore, Ibn Ezra’s interpretations of these messianic verses show his exegetical consistency and his lack of ideological change (</w:t>
      </w:r>
      <w:r w:rsidR="00AC1476">
        <w:rPr>
          <w:rFonts w:asciiTheme="minorBidi" w:hAnsiTheme="minorBidi" w:cstheme="minorBidi"/>
          <w:sz w:val="20"/>
          <w:szCs w:val="20"/>
        </w:rPr>
        <w:t xml:space="preserve">i.e., </w:t>
      </w:r>
      <w:r w:rsidR="008F7AB7" w:rsidRPr="008F7AB7">
        <w:rPr>
          <w:rFonts w:asciiTheme="minorBidi" w:hAnsiTheme="minorBidi" w:cstheme="minorBidi"/>
          <w:sz w:val="20"/>
          <w:szCs w:val="20"/>
        </w:rPr>
        <w:t>messianic “acculturation”), during his residence in Ashkenazic lands.</w:t>
      </w:r>
    </w:p>
    <w:p w14:paraId="54185C4C" w14:textId="77777777" w:rsidR="00505FAD" w:rsidRDefault="00505FAD" w:rsidP="00505FAD">
      <w:pPr>
        <w:spacing w:line="480" w:lineRule="auto"/>
        <w:rPr>
          <w:rFonts w:ascii="Arial" w:hAnsi="Arial" w:cs="Arial"/>
          <w:sz w:val="22"/>
          <w:szCs w:val="22"/>
        </w:rPr>
      </w:pPr>
      <w:r>
        <w:rPr>
          <w:rFonts w:ascii="Arial" w:hAnsi="Arial" w:cs="Arial"/>
          <w:sz w:val="22"/>
          <w:szCs w:val="22"/>
        </w:rPr>
        <w:t xml:space="preserve">IBN EZRA’S VIEWS ON SPECULATION OF THE END OF DAYS </w:t>
      </w:r>
    </w:p>
    <w:p w14:paraId="4599B357" w14:textId="39B9BE9C" w:rsidR="00505FAD" w:rsidRDefault="00505FAD" w:rsidP="00505FAD">
      <w:pPr>
        <w:spacing w:line="480" w:lineRule="auto"/>
        <w:ind w:firstLine="720"/>
        <w:rPr>
          <w:rFonts w:ascii="Arial" w:hAnsi="Arial" w:cs="Arial"/>
          <w:sz w:val="20"/>
          <w:szCs w:val="20"/>
        </w:rPr>
      </w:pPr>
      <w:r>
        <w:rPr>
          <w:rFonts w:ascii="Arial" w:hAnsi="Arial" w:cs="Arial"/>
          <w:sz w:val="20"/>
          <w:szCs w:val="20"/>
        </w:rPr>
        <w:t xml:space="preserve">How did Ibn Ezra regard the possibility of predicting the End of Days from </w:t>
      </w:r>
      <w:proofErr w:type="spellStart"/>
      <w:r>
        <w:rPr>
          <w:rFonts w:ascii="Arial" w:hAnsi="Arial" w:cs="Arial"/>
          <w:sz w:val="20"/>
          <w:szCs w:val="20"/>
        </w:rPr>
        <w:t>Sefer</w:t>
      </w:r>
      <w:proofErr w:type="spellEnd"/>
      <w:r>
        <w:rPr>
          <w:rFonts w:ascii="Arial" w:hAnsi="Arial" w:cs="Arial"/>
          <w:sz w:val="20"/>
          <w:szCs w:val="20"/>
        </w:rPr>
        <w:t xml:space="preserve"> Daniel?  Ibn Ezra consistently rejects the practice of messianic speculation in both of his commentaries on Daniel.  For </w:t>
      </w:r>
      <w:r>
        <w:rPr>
          <w:rFonts w:ascii="Arial" w:hAnsi="Arial" w:cs="Arial"/>
          <w:sz w:val="20"/>
          <w:szCs w:val="20"/>
        </w:rPr>
        <w:lastRenderedPageBreak/>
        <w:t xml:space="preserve">example, in his Short Commentary I, he </w:t>
      </w:r>
      <w:r>
        <w:rPr>
          <w:rFonts w:asciiTheme="minorBidi" w:hAnsiTheme="minorBidi" w:cstheme="minorBidi"/>
          <w:sz w:val="20"/>
          <w:szCs w:val="20"/>
        </w:rPr>
        <w:t xml:space="preserve">cites and dismisses the “rational,” text-based calculations of </w:t>
      </w:r>
      <w:proofErr w:type="spellStart"/>
      <w:r>
        <w:rPr>
          <w:rFonts w:asciiTheme="minorBidi" w:hAnsiTheme="minorBidi" w:cstheme="minorBidi"/>
          <w:sz w:val="20"/>
          <w:szCs w:val="20"/>
        </w:rPr>
        <w:t>Rasag</w:t>
      </w:r>
      <w:proofErr w:type="spellEnd"/>
      <w:r>
        <w:rPr>
          <w:rFonts w:asciiTheme="minorBidi" w:hAnsiTheme="minorBidi" w:cstheme="minorBidi"/>
          <w:sz w:val="20"/>
          <w:szCs w:val="20"/>
        </w:rPr>
        <w:t>.</w:t>
      </w:r>
      <w:r>
        <w:rPr>
          <w:rStyle w:val="a6"/>
          <w:rFonts w:asciiTheme="minorBidi" w:hAnsiTheme="minorBidi" w:cstheme="minorBidi"/>
        </w:rPr>
        <w:footnoteReference w:id="62"/>
      </w:r>
      <w:r>
        <w:rPr>
          <w:rFonts w:asciiTheme="minorBidi" w:hAnsiTheme="minorBidi" w:cstheme="minorBidi"/>
          <w:sz w:val="20"/>
          <w:szCs w:val="20"/>
        </w:rPr>
        <w:t xml:space="preserve">  Using arguments of grammar and logic, Ibn Ezra explains the implausibility of interpreting 1,290 “days” as years</w:t>
      </w:r>
      <w:r w:rsidR="00465049">
        <w:rPr>
          <w:rFonts w:asciiTheme="minorBidi" w:hAnsiTheme="minorBidi" w:cstheme="minorBidi"/>
          <w:sz w:val="20"/>
          <w:szCs w:val="20"/>
        </w:rPr>
        <w:t>,</w:t>
      </w:r>
      <w:r>
        <w:rPr>
          <w:rFonts w:asciiTheme="minorBidi" w:hAnsiTheme="minorBidi" w:cstheme="minorBidi"/>
          <w:sz w:val="20"/>
          <w:szCs w:val="20"/>
        </w:rPr>
        <w:t xml:space="preserve"> and, hence, of calculating a messianic date.  He states: “If the interpretation was as [</w:t>
      </w:r>
      <w:proofErr w:type="spellStart"/>
      <w:r>
        <w:rPr>
          <w:rFonts w:asciiTheme="minorBidi" w:hAnsiTheme="minorBidi" w:cstheme="minorBidi"/>
          <w:sz w:val="20"/>
          <w:szCs w:val="20"/>
        </w:rPr>
        <w:t>Rasag</w:t>
      </w:r>
      <w:proofErr w:type="spellEnd"/>
      <w:r>
        <w:rPr>
          <w:rFonts w:asciiTheme="minorBidi" w:hAnsiTheme="minorBidi" w:cstheme="minorBidi"/>
          <w:sz w:val="20"/>
          <w:szCs w:val="20"/>
        </w:rPr>
        <w:t>] said, the simplest of simpletons would know this secret (</w:t>
      </w:r>
      <w:r>
        <w:rPr>
          <w:rFonts w:ascii="FrankRuehl" w:eastAsiaTheme="minorHAnsi" w:hAnsi="FrankRuehl" w:cs="FrankRuehl"/>
          <w:color w:val="000000"/>
          <w:rtl/>
          <w:lang w:bidi="he-IL"/>
        </w:rPr>
        <w:t>הקל שבקלים ידע זה הסוד</w:t>
      </w:r>
      <w:r>
        <w:rPr>
          <w:rFonts w:asciiTheme="minorBidi" w:hAnsiTheme="minorBidi" w:cstheme="minorBidi"/>
          <w:color w:val="000000"/>
          <w:sz w:val="20"/>
          <w:szCs w:val="20"/>
        </w:rPr>
        <w:t>).</w:t>
      </w:r>
      <w:r>
        <w:rPr>
          <w:rFonts w:asciiTheme="minorBidi" w:hAnsiTheme="minorBidi" w:cstheme="minorBidi"/>
          <w:sz w:val="20"/>
          <w:szCs w:val="20"/>
        </w:rPr>
        <w:t xml:space="preserve">  And how would one explain [the angel’s order of secrecy], ‘Shut up the words, and seal the book, until the time of the end?’” (Dan. 12:4).  Ibn Ezra further notes the absurdity of the angel’s telling Daniel to wait for 1,335 “years” (Dan. 12:12), as people do not live that long.</w:t>
      </w:r>
      <w:r>
        <w:rPr>
          <w:rStyle w:val="a6"/>
          <w:rFonts w:asciiTheme="minorBidi" w:hAnsiTheme="minorBidi" w:cstheme="minorBidi"/>
        </w:rPr>
        <w:footnoteReference w:id="63"/>
      </w:r>
      <w:r>
        <w:rPr>
          <w:rFonts w:asciiTheme="minorBidi" w:hAnsiTheme="minorBidi" w:cstheme="minorBidi"/>
          <w:sz w:val="20"/>
          <w:szCs w:val="20"/>
        </w:rPr>
        <w:t xml:space="preserve">  </w:t>
      </w:r>
      <w:r>
        <w:rPr>
          <w:rFonts w:ascii="Arial" w:hAnsi="Arial" w:cs="Arial"/>
          <w:sz w:val="20"/>
          <w:szCs w:val="20"/>
        </w:rPr>
        <w:t xml:space="preserve">Similarly, he refers to </w:t>
      </w:r>
      <w:proofErr w:type="spellStart"/>
      <w:r>
        <w:rPr>
          <w:rFonts w:ascii="Arial" w:hAnsi="Arial" w:cs="Arial"/>
          <w:sz w:val="20"/>
          <w:szCs w:val="20"/>
        </w:rPr>
        <w:t>Rasag’s</w:t>
      </w:r>
      <w:proofErr w:type="spellEnd"/>
      <w:r>
        <w:rPr>
          <w:rFonts w:ascii="Arial" w:hAnsi="Arial" w:cs="Arial"/>
          <w:sz w:val="20"/>
          <w:szCs w:val="20"/>
        </w:rPr>
        <w:t xml:space="preserve"> calculations of “2,300 evenings and mornings” (8:14) as “all vanity” and no longer relevant, as “their time had already long passed.” </w:t>
      </w:r>
      <w:r w:rsidR="00195808">
        <w:rPr>
          <w:rFonts w:ascii="Arial" w:hAnsi="Arial" w:cs="Arial"/>
          <w:sz w:val="20"/>
          <w:szCs w:val="20"/>
        </w:rPr>
        <w:t xml:space="preserve"> </w:t>
      </w:r>
      <w:r>
        <w:rPr>
          <w:rFonts w:ascii="Arial" w:hAnsi="Arial" w:cs="Arial"/>
          <w:sz w:val="20"/>
          <w:szCs w:val="20"/>
        </w:rPr>
        <w:t>Accordingly, it is impossible to derive any messianic calculation from this verse.</w:t>
      </w:r>
      <w:r>
        <w:rPr>
          <w:rStyle w:val="a6"/>
          <w:rFonts w:ascii="Arial" w:hAnsi="Arial" w:cs="Arial"/>
        </w:rPr>
        <w:footnoteReference w:id="64"/>
      </w:r>
      <w:r>
        <w:rPr>
          <w:rFonts w:ascii="Arial" w:hAnsi="Arial" w:cs="Arial"/>
          <w:sz w:val="20"/>
          <w:szCs w:val="20"/>
        </w:rPr>
        <w:t xml:space="preserve">   </w:t>
      </w:r>
    </w:p>
    <w:p w14:paraId="3481E161" w14:textId="76C69A2A" w:rsidR="00505FAD" w:rsidRDefault="00505FAD" w:rsidP="00502027">
      <w:pPr>
        <w:spacing w:line="480" w:lineRule="auto"/>
        <w:ind w:firstLine="720"/>
        <w:rPr>
          <w:rFonts w:ascii="Arial" w:hAnsi="Arial" w:cs="Arial"/>
          <w:sz w:val="20"/>
          <w:szCs w:val="20"/>
        </w:rPr>
      </w:pPr>
      <w:r>
        <w:rPr>
          <w:rFonts w:ascii="Arial" w:hAnsi="Arial" w:cs="Arial"/>
          <w:sz w:val="20"/>
          <w:szCs w:val="20"/>
        </w:rPr>
        <w:t>Perhaps Ibn Ezra’s most scathing attack against such speculations can be seen in his Long Commentary II (11:31)</w:t>
      </w:r>
      <w:r w:rsidR="0086083C">
        <w:rPr>
          <w:rFonts w:ascii="Arial" w:hAnsi="Arial" w:cs="Arial"/>
          <w:sz w:val="20"/>
          <w:szCs w:val="20"/>
        </w:rPr>
        <w:t>.</w:t>
      </w:r>
      <w:r>
        <w:rPr>
          <w:rFonts w:ascii="Arial" w:hAnsi="Arial" w:cs="Arial"/>
          <w:sz w:val="20"/>
          <w:szCs w:val="20"/>
        </w:rPr>
        <w:t xml:space="preserve">  Here he explains the irrationality of deriving messianic calculations, particularly by </w:t>
      </w:r>
      <w:proofErr w:type="spellStart"/>
      <w:r>
        <w:rPr>
          <w:rFonts w:ascii="Arial" w:hAnsi="Arial" w:cs="Arial"/>
          <w:i/>
          <w:iCs/>
          <w:sz w:val="20"/>
          <w:szCs w:val="20"/>
        </w:rPr>
        <w:t>gematriyot</w:t>
      </w:r>
      <w:proofErr w:type="spellEnd"/>
      <w:r>
        <w:rPr>
          <w:rFonts w:ascii="Arial" w:hAnsi="Arial" w:cs="Arial"/>
          <w:sz w:val="20"/>
          <w:szCs w:val="20"/>
        </w:rPr>
        <w:t xml:space="preserve">. He states: “All who interpret words or numbers by calculations of </w:t>
      </w:r>
      <w:proofErr w:type="spellStart"/>
      <w:r>
        <w:rPr>
          <w:rFonts w:ascii="Arial" w:hAnsi="Arial" w:cs="Arial"/>
          <w:i/>
          <w:sz w:val="20"/>
          <w:szCs w:val="20"/>
        </w:rPr>
        <w:t>gematriya</w:t>
      </w:r>
      <w:proofErr w:type="spellEnd"/>
      <w:r>
        <w:rPr>
          <w:rFonts w:ascii="Arial" w:hAnsi="Arial" w:cs="Arial"/>
          <w:sz w:val="20"/>
          <w:szCs w:val="20"/>
        </w:rPr>
        <w:t>, it is all emptiness and evil spirit; because Daniel did not know the End, and [certainly, neither did] those who came after him…”</w:t>
      </w:r>
      <w:r>
        <w:rPr>
          <w:rStyle w:val="a6"/>
          <w:rFonts w:ascii="Arial" w:hAnsi="Arial" w:cs="Arial"/>
        </w:rPr>
        <w:footnoteReference w:id="65"/>
      </w:r>
      <w:r>
        <w:rPr>
          <w:rFonts w:ascii="Arial" w:hAnsi="Arial" w:cs="Arial"/>
          <w:sz w:val="20"/>
          <w:szCs w:val="20"/>
        </w:rPr>
        <w:t xml:space="preserve">  Mondschein notes that Ibn Ezra’s strong opposition to messianic speculations and </w:t>
      </w:r>
      <w:proofErr w:type="spellStart"/>
      <w:r>
        <w:rPr>
          <w:rFonts w:ascii="Arial" w:hAnsi="Arial" w:cs="Arial"/>
          <w:i/>
          <w:sz w:val="20"/>
          <w:szCs w:val="20"/>
        </w:rPr>
        <w:t>gematriyot</w:t>
      </w:r>
      <w:proofErr w:type="spellEnd"/>
      <w:r>
        <w:rPr>
          <w:rFonts w:ascii="Arial" w:hAnsi="Arial" w:cs="Arial"/>
          <w:sz w:val="20"/>
          <w:szCs w:val="20"/>
        </w:rPr>
        <w:t xml:space="preserve"> was contrary to his usual method of indirect criticism of Ashkenazic exegetes or their methods while in France, even though in this case he was citing Sephardic exegetes.  Accordingly, Mondschein suggests that Ibn Ezra’s vehement opposition here may have stemmed from the fear of furthering messianic excitement </w:t>
      </w:r>
      <w:r w:rsidR="00502027" w:rsidRPr="00502027">
        <w:rPr>
          <w:rFonts w:ascii="Arial" w:hAnsi="Arial" w:cs="Arial"/>
          <w:sz w:val="20"/>
          <w:szCs w:val="20"/>
        </w:rPr>
        <w:t>–</w:t>
      </w:r>
      <w:r w:rsidR="00502027" w:rsidRPr="00502027" w:rsidDel="00502027">
        <w:rPr>
          <w:rFonts w:ascii="Arial" w:hAnsi="Arial" w:cs="Arial"/>
          <w:sz w:val="20"/>
          <w:szCs w:val="20"/>
        </w:rPr>
        <w:t xml:space="preserve"> </w:t>
      </w:r>
      <w:r>
        <w:rPr>
          <w:rFonts w:ascii="Arial" w:hAnsi="Arial" w:cs="Arial"/>
          <w:sz w:val="20"/>
          <w:szCs w:val="20"/>
        </w:rPr>
        <w:t>and thus</w:t>
      </w:r>
      <w:r w:rsidR="00502027">
        <w:rPr>
          <w:rFonts w:ascii="Arial" w:hAnsi="Arial" w:cs="Arial"/>
          <w:sz w:val="20"/>
          <w:szCs w:val="20"/>
        </w:rPr>
        <w:t>,</w:t>
      </w:r>
      <w:r>
        <w:rPr>
          <w:rFonts w:ascii="Arial" w:hAnsi="Arial" w:cs="Arial"/>
          <w:sz w:val="20"/>
          <w:szCs w:val="20"/>
        </w:rPr>
        <w:t xml:space="preserve"> mass disillusionment </w:t>
      </w:r>
      <w:r w:rsidR="00502027" w:rsidRPr="00502027">
        <w:rPr>
          <w:rFonts w:ascii="Arial" w:hAnsi="Arial" w:cs="Arial"/>
          <w:sz w:val="20"/>
          <w:szCs w:val="20"/>
        </w:rPr>
        <w:t>–</w:t>
      </w:r>
      <w:r w:rsidR="00502027">
        <w:rPr>
          <w:rFonts w:ascii="Arial" w:hAnsi="Arial" w:cs="Arial"/>
          <w:sz w:val="20"/>
          <w:szCs w:val="20"/>
        </w:rPr>
        <w:t xml:space="preserve"> </w:t>
      </w:r>
      <w:r>
        <w:rPr>
          <w:rFonts w:ascii="Arial" w:hAnsi="Arial" w:cs="Arial"/>
          <w:sz w:val="20"/>
          <w:szCs w:val="20"/>
        </w:rPr>
        <w:t xml:space="preserve">in the context of failed, twelfth-century Sephardic messianic movements and global turmoil spurred by the Crusades in both Muslim and </w:t>
      </w:r>
      <w:r>
        <w:rPr>
          <w:rFonts w:ascii="Arial" w:hAnsi="Arial" w:cs="Arial"/>
          <w:sz w:val="20"/>
          <w:szCs w:val="20"/>
        </w:rPr>
        <w:lastRenderedPageBreak/>
        <w:t>Christian empires.</w:t>
      </w:r>
      <w:r>
        <w:rPr>
          <w:rStyle w:val="a6"/>
          <w:rFonts w:ascii="Arial" w:hAnsi="Arial" w:cs="Arial"/>
        </w:rPr>
        <w:footnoteReference w:id="66"/>
      </w:r>
      <w:r>
        <w:rPr>
          <w:rFonts w:ascii="Arial" w:hAnsi="Arial" w:cs="Arial"/>
          <w:sz w:val="20"/>
          <w:szCs w:val="20"/>
        </w:rPr>
        <w:t xml:space="preserve">  If that is true, then Ibn Ezra’s polemical concerns precluded any acculturation on his part – either in substance or in tone in this area.  </w:t>
      </w:r>
    </w:p>
    <w:p w14:paraId="75B018BB" w14:textId="77777777" w:rsidR="00505FAD" w:rsidRDefault="00505FAD" w:rsidP="00505FAD">
      <w:pPr>
        <w:spacing w:line="480" w:lineRule="auto"/>
        <w:rPr>
          <w:rFonts w:ascii="Arial" w:hAnsi="Arial" w:cs="Arial"/>
          <w:sz w:val="20"/>
          <w:szCs w:val="20"/>
        </w:rPr>
      </w:pPr>
    </w:p>
    <w:p w14:paraId="7FB1BD9C" w14:textId="77777777" w:rsidR="00505FAD" w:rsidRDefault="00505FAD" w:rsidP="00505FAD">
      <w:pPr>
        <w:spacing w:line="480" w:lineRule="auto"/>
        <w:rPr>
          <w:rFonts w:ascii="Arial" w:hAnsi="Arial" w:cs="Arial"/>
          <w:sz w:val="20"/>
          <w:szCs w:val="20"/>
        </w:rPr>
      </w:pPr>
      <w:r>
        <w:rPr>
          <w:rFonts w:ascii="Arial" w:hAnsi="Arial" w:cs="Arial"/>
          <w:sz w:val="20"/>
          <w:szCs w:val="20"/>
        </w:rPr>
        <w:t xml:space="preserve">THE FOUR KINGDOMS IN DANIEL </w:t>
      </w:r>
    </w:p>
    <w:p w14:paraId="60C3F74A" w14:textId="0E4251C8" w:rsidR="00505FAD" w:rsidRDefault="00505FAD" w:rsidP="00505FAD">
      <w:pPr>
        <w:spacing w:line="480" w:lineRule="auto"/>
        <w:ind w:firstLine="720"/>
        <w:rPr>
          <w:rFonts w:ascii="Arial" w:hAnsi="Arial" w:cs="Arial"/>
          <w:sz w:val="20"/>
          <w:szCs w:val="20"/>
        </w:rPr>
      </w:pPr>
      <w:r>
        <w:rPr>
          <w:rFonts w:ascii="Arial" w:hAnsi="Arial" w:cs="Arial"/>
          <w:sz w:val="20"/>
          <w:szCs w:val="20"/>
        </w:rPr>
        <w:t xml:space="preserve">Another theme in </w:t>
      </w:r>
      <w:proofErr w:type="spellStart"/>
      <w:r>
        <w:rPr>
          <w:rFonts w:ascii="Arial" w:hAnsi="Arial" w:cs="Arial"/>
          <w:sz w:val="20"/>
          <w:szCs w:val="20"/>
        </w:rPr>
        <w:t>Sefer</w:t>
      </w:r>
      <w:proofErr w:type="spellEnd"/>
      <w:r>
        <w:rPr>
          <w:rFonts w:ascii="Arial" w:hAnsi="Arial" w:cs="Arial"/>
          <w:sz w:val="20"/>
          <w:szCs w:val="20"/>
        </w:rPr>
        <w:t xml:space="preserve"> Daniel </w:t>
      </w:r>
      <w:r w:rsidR="004A3776">
        <w:rPr>
          <w:rFonts w:ascii="Arial" w:hAnsi="Arial" w:cs="Arial"/>
          <w:sz w:val="20"/>
          <w:szCs w:val="20"/>
        </w:rPr>
        <w:t>is that of</w:t>
      </w:r>
      <w:r>
        <w:rPr>
          <w:rFonts w:ascii="Arial" w:hAnsi="Arial" w:cs="Arial"/>
          <w:sz w:val="20"/>
          <w:szCs w:val="20"/>
        </w:rPr>
        <w:t xml:space="preserve"> the Four Kingdoms, which represent the four Jewish Exiles.  They are symbolically prophesized in Nebuchadnezzar’s dream (Dan. 2:31-45) and in Daniel’s first and second visions (ch</w:t>
      </w:r>
      <w:r w:rsidR="00502027">
        <w:rPr>
          <w:rFonts w:ascii="Arial" w:hAnsi="Arial" w:cs="Arial"/>
          <w:sz w:val="20"/>
          <w:szCs w:val="20"/>
        </w:rPr>
        <w:t>apters</w:t>
      </w:r>
      <w:r>
        <w:rPr>
          <w:rFonts w:ascii="Arial" w:hAnsi="Arial" w:cs="Arial"/>
          <w:sz w:val="20"/>
          <w:szCs w:val="20"/>
        </w:rPr>
        <w:t xml:space="preserve"> 7-8).  Nebuchadnezzar’s dream contained a personified “terrible” image, comprised of four, increasingly inferior metals, from its gold</w:t>
      </w:r>
      <w:r w:rsidR="004A3776">
        <w:rPr>
          <w:rFonts w:ascii="Arial" w:hAnsi="Arial" w:cs="Arial"/>
          <w:sz w:val="20"/>
          <w:szCs w:val="20"/>
        </w:rPr>
        <w:t>en</w:t>
      </w:r>
      <w:r>
        <w:rPr>
          <w:rFonts w:ascii="Arial" w:hAnsi="Arial" w:cs="Arial"/>
          <w:sz w:val="20"/>
          <w:szCs w:val="20"/>
        </w:rPr>
        <w:t xml:space="preserve"> head down to its iron-clay feet.  Daniel explained to Nebuchadnezzar, “You are this head of gold” (2:38) – i.e.</w:t>
      </w:r>
      <w:r w:rsidR="00502027">
        <w:rPr>
          <w:rFonts w:ascii="Arial" w:hAnsi="Arial" w:cs="Arial"/>
          <w:sz w:val="20"/>
          <w:szCs w:val="20"/>
        </w:rPr>
        <w:t>,</w:t>
      </w:r>
      <w:r>
        <w:rPr>
          <w:rFonts w:ascii="Arial" w:hAnsi="Arial" w:cs="Arial"/>
          <w:sz w:val="20"/>
          <w:szCs w:val="20"/>
        </w:rPr>
        <w:t xml:space="preserve"> the first kingdom is that of </w:t>
      </w:r>
      <w:proofErr w:type="spellStart"/>
      <w:r>
        <w:rPr>
          <w:rFonts w:ascii="Arial" w:hAnsi="Arial" w:cs="Arial"/>
          <w:sz w:val="20"/>
          <w:szCs w:val="20"/>
        </w:rPr>
        <w:t>Bavel</w:t>
      </w:r>
      <w:proofErr w:type="spellEnd"/>
      <w:r>
        <w:rPr>
          <w:rFonts w:ascii="Arial" w:hAnsi="Arial" w:cs="Arial"/>
          <w:sz w:val="20"/>
          <w:szCs w:val="20"/>
        </w:rPr>
        <w:t>.  After it</w:t>
      </w:r>
      <w:r w:rsidR="00502027">
        <w:rPr>
          <w:rFonts w:ascii="Arial" w:hAnsi="Arial" w:cs="Arial"/>
          <w:sz w:val="20"/>
          <w:szCs w:val="20"/>
        </w:rPr>
        <w:t>,</w:t>
      </w:r>
      <w:r>
        <w:rPr>
          <w:rFonts w:ascii="Arial" w:hAnsi="Arial" w:cs="Arial"/>
          <w:sz w:val="20"/>
          <w:szCs w:val="20"/>
        </w:rPr>
        <w:t xml:space="preserve"> a second, “lesser,” kingdom of silver would then rule; followed by a third, brass realm (2:39). The iron legs (with clay-iron feet) represent a fourth empire, which will “crush all others,” before an eternal kingdom of G-d will “break… and consume all these [mortal] kingdoms</w:t>
      </w:r>
      <w:r>
        <w:rPr>
          <w:rFonts w:asciiTheme="minorBidi" w:hAnsiTheme="minorBidi" w:cstheme="minorBidi"/>
          <w:sz w:val="20"/>
          <w:szCs w:val="20"/>
        </w:rPr>
        <w:t>” (2:40-45).</w:t>
      </w:r>
      <w:r>
        <w:rPr>
          <w:rFonts w:ascii="Arial" w:hAnsi="Arial" w:cs="Arial"/>
          <w:sz w:val="20"/>
          <w:szCs w:val="20"/>
        </w:rPr>
        <w:t xml:space="preserve">  Similarly, in Daniel’s first, frightening vision (</w:t>
      </w:r>
      <w:proofErr w:type="spellStart"/>
      <w:r>
        <w:rPr>
          <w:rFonts w:ascii="Arial" w:hAnsi="Arial" w:cs="Arial"/>
          <w:sz w:val="20"/>
          <w:szCs w:val="20"/>
        </w:rPr>
        <w:t>ch.</w:t>
      </w:r>
      <w:proofErr w:type="spellEnd"/>
      <w:r>
        <w:rPr>
          <w:rFonts w:ascii="Arial" w:hAnsi="Arial" w:cs="Arial"/>
          <w:sz w:val="20"/>
          <w:szCs w:val="20"/>
        </w:rPr>
        <w:t xml:space="preserve"> 7), “four great beasts” were explained as symbolizing four successive empires.  The fourth, exceedingly fierce and warmongering beast was “different” and enigmatic</w:t>
      </w:r>
      <w:r w:rsidR="00502027">
        <w:rPr>
          <w:rFonts w:ascii="Arial" w:hAnsi="Arial" w:cs="Arial"/>
          <w:sz w:val="20"/>
          <w:szCs w:val="20"/>
        </w:rPr>
        <w:t>.</w:t>
      </w:r>
      <w:r>
        <w:rPr>
          <w:rFonts w:ascii="Arial" w:hAnsi="Arial" w:cs="Arial"/>
          <w:sz w:val="20"/>
          <w:szCs w:val="20"/>
        </w:rPr>
        <w:t xml:space="preserve">  With its ten horns and “blaspheming little horn,” it was foretold to “devour the whole earth” until its eventual destruction and replacement by the eternal messianic kingdom.  Daniel states, “I wished to know the truth about the fourth beast” (7: 19).  Although additional information was given about this kingdom (7:23-28), its identity remained elusive.  Finally, in Daniel’s second vision (</w:t>
      </w:r>
      <w:proofErr w:type="spellStart"/>
      <w:r>
        <w:rPr>
          <w:rFonts w:ascii="Arial" w:hAnsi="Arial" w:cs="Arial"/>
          <w:sz w:val="20"/>
          <w:szCs w:val="20"/>
        </w:rPr>
        <w:t>ch.</w:t>
      </w:r>
      <w:proofErr w:type="spellEnd"/>
      <w:r>
        <w:rPr>
          <w:rFonts w:ascii="Arial" w:hAnsi="Arial" w:cs="Arial"/>
          <w:sz w:val="20"/>
          <w:szCs w:val="20"/>
        </w:rPr>
        <w:t xml:space="preserve"> 8), animals once again symbolized the ruling empires which followed </w:t>
      </w:r>
      <w:proofErr w:type="spellStart"/>
      <w:r>
        <w:rPr>
          <w:rFonts w:ascii="Arial" w:hAnsi="Arial" w:cs="Arial"/>
          <w:sz w:val="20"/>
          <w:szCs w:val="20"/>
        </w:rPr>
        <w:t>Bavel</w:t>
      </w:r>
      <w:proofErr w:type="spellEnd"/>
      <w:r>
        <w:rPr>
          <w:rFonts w:ascii="Arial" w:hAnsi="Arial" w:cs="Arial"/>
          <w:sz w:val="20"/>
          <w:szCs w:val="20"/>
        </w:rPr>
        <w:t>.  In this vision</w:t>
      </w:r>
      <w:r w:rsidR="004A3776">
        <w:rPr>
          <w:rFonts w:ascii="Arial" w:hAnsi="Arial" w:cs="Arial"/>
          <w:sz w:val="20"/>
          <w:szCs w:val="20"/>
        </w:rPr>
        <w:t>,</w:t>
      </w:r>
      <w:r>
        <w:rPr>
          <w:rFonts w:ascii="Arial" w:hAnsi="Arial" w:cs="Arial"/>
          <w:sz w:val="20"/>
          <w:szCs w:val="20"/>
        </w:rPr>
        <w:t xml:space="preserve"> the second and third kingdoms are clearly identified by the angel Ga</w:t>
      </w:r>
      <w:r w:rsidR="002B00B2">
        <w:rPr>
          <w:rFonts w:ascii="Arial" w:hAnsi="Arial" w:cs="Arial"/>
          <w:sz w:val="20"/>
          <w:szCs w:val="20"/>
        </w:rPr>
        <w:t>b</w:t>
      </w:r>
      <w:r>
        <w:rPr>
          <w:rFonts w:ascii="Arial" w:hAnsi="Arial" w:cs="Arial"/>
          <w:sz w:val="20"/>
          <w:szCs w:val="20"/>
        </w:rPr>
        <w:t xml:space="preserve">riel.  He states: “The ram with two horns which you saw are the kings of Medea and Persia.  And the he-goat is the King of </w:t>
      </w:r>
      <w:proofErr w:type="spellStart"/>
      <w:r>
        <w:rPr>
          <w:rFonts w:ascii="Arial" w:hAnsi="Arial" w:cs="Arial"/>
          <w:sz w:val="20"/>
          <w:szCs w:val="20"/>
        </w:rPr>
        <w:t>Yavan</w:t>
      </w:r>
      <w:proofErr w:type="spellEnd"/>
      <w:r>
        <w:rPr>
          <w:rFonts w:ascii="Arial" w:hAnsi="Arial" w:cs="Arial"/>
          <w:sz w:val="20"/>
          <w:szCs w:val="20"/>
        </w:rPr>
        <w:t xml:space="preserve"> (Greece)…” (8:21-22).  While the identities of the first three kingdoms are revealed in </w:t>
      </w:r>
      <w:proofErr w:type="spellStart"/>
      <w:r>
        <w:rPr>
          <w:rFonts w:ascii="Arial" w:hAnsi="Arial" w:cs="Arial"/>
          <w:sz w:val="20"/>
          <w:szCs w:val="20"/>
        </w:rPr>
        <w:t>Sefer</w:t>
      </w:r>
      <w:proofErr w:type="spellEnd"/>
      <w:r>
        <w:rPr>
          <w:rFonts w:ascii="Arial" w:hAnsi="Arial" w:cs="Arial"/>
          <w:sz w:val="20"/>
          <w:szCs w:val="20"/>
        </w:rPr>
        <w:t xml:space="preserve"> Daniel</w:t>
      </w:r>
      <w:r w:rsidR="00502027">
        <w:rPr>
          <w:rFonts w:ascii="Arial" w:hAnsi="Arial" w:cs="Arial"/>
          <w:sz w:val="20"/>
          <w:szCs w:val="20"/>
        </w:rPr>
        <w:t>,</w:t>
      </w:r>
      <w:r>
        <w:rPr>
          <w:rFonts w:ascii="Arial" w:hAnsi="Arial" w:cs="Arial"/>
          <w:sz w:val="20"/>
          <w:szCs w:val="20"/>
        </w:rPr>
        <w:t xml:space="preserve"> the fourth kingdom is not</w:t>
      </w:r>
      <w:r w:rsidR="00502027">
        <w:rPr>
          <w:rFonts w:ascii="Arial" w:hAnsi="Arial" w:cs="Arial"/>
          <w:sz w:val="20"/>
          <w:szCs w:val="20"/>
        </w:rPr>
        <w:t>. It</w:t>
      </w:r>
      <w:r>
        <w:rPr>
          <w:rFonts w:ascii="Arial" w:hAnsi="Arial" w:cs="Arial"/>
          <w:sz w:val="20"/>
          <w:szCs w:val="20"/>
        </w:rPr>
        <w:t xml:space="preserve"> thus remains a source of debate between Ibn Ezra and the overwhelming majority of commentators.  </w:t>
      </w:r>
    </w:p>
    <w:p w14:paraId="58F2C832" w14:textId="4E97BB0B" w:rsidR="00505FAD" w:rsidRDefault="00505FAD" w:rsidP="00FD5416">
      <w:pPr>
        <w:spacing w:line="480" w:lineRule="auto"/>
        <w:ind w:firstLine="720"/>
        <w:rPr>
          <w:rFonts w:asciiTheme="minorBidi" w:hAnsiTheme="minorBidi" w:cstheme="minorBidi"/>
          <w:sz w:val="20"/>
          <w:szCs w:val="20"/>
        </w:rPr>
      </w:pPr>
      <w:r>
        <w:rPr>
          <w:rFonts w:ascii="Arial" w:hAnsi="Arial" w:cs="Arial"/>
          <w:sz w:val="20"/>
          <w:szCs w:val="20"/>
        </w:rPr>
        <w:t xml:space="preserve">R. </w:t>
      </w:r>
      <w:proofErr w:type="spellStart"/>
      <w:r>
        <w:rPr>
          <w:rFonts w:ascii="Arial" w:hAnsi="Arial" w:cs="Arial"/>
          <w:sz w:val="20"/>
          <w:szCs w:val="20"/>
        </w:rPr>
        <w:t>Saadiah</w:t>
      </w:r>
      <w:proofErr w:type="spellEnd"/>
      <w:r>
        <w:rPr>
          <w:rFonts w:ascii="Arial" w:hAnsi="Arial" w:cs="Arial"/>
          <w:sz w:val="20"/>
          <w:szCs w:val="20"/>
        </w:rPr>
        <w:t xml:space="preserve"> </w:t>
      </w:r>
      <w:proofErr w:type="spellStart"/>
      <w:r>
        <w:rPr>
          <w:rFonts w:ascii="Arial" w:hAnsi="Arial" w:cs="Arial"/>
          <w:sz w:val="20"/>
          <w:szCs w:val="20"/>
        </w:rPr>
        <w:t>Gaon’s</w:t>
      </w:r>
      <w:proofErr w:type="spellEnd"/>
      <w:r>
        <w:rPr>
          <w:rFonts w:ascii="Arial" w:hAnsi="Arial" w:cs="Arial"/>
          <w:sz w:val="20"/>
          <w:szCs w:val="20"/>
        </w:rPr>
        <w:t xml:space="preserve"> interpretation of the Four Kingdoms was based on the classic </w:t>
      </w:r>
      <w:proofErr w:type="spellStart"/>
      <w:r>
        <w:rPr>
          <w:rFonts w:ascii="Arial" w:hAnsi="Arial" w:cs="Arial"/>
          <w:sz w:val="20"/>
          <w:szCs w:val="20"/>
        </w:rPr>
        <w:t>midrashic</w:t>
      </w:r>
      <w:proofErr w:type="spellEnd"/>
      <w:r>
        <w:rPr>
          <w:rFonts w:ascii="Arial" w:hAnsi="Arial" w:cs="Arial"/>
          <w:sz w:val="20"/>
          <w:szCs w:val="20"/>
        </w:rPr>
        <w:t xml:space="preserve"> interpretation of </w:t>
      </w:r>
      <w:proofErr w:type="spellStart"/>
      <w:r w:rsidR="00007191">
        <w:rPr>
          <w:rFonts w:ascii="Arial" w:hAnsi="Arial" w:cs="Arial"/>
          <w:sz w:val="20"/>
          <w:szCs w:val="20"/>
        </w:rPr>
        <w:t>H</w:t>
      </w:r>
      <w:r>
        <w:rPr>
          <w:rFonts w:ascii="Arial" w:hAnsi="Arial" w:cs="Arial"/>
          <w:sz w:val="20"/>
          <w:szCs w:val="20"/>
        </w:rPr>
        <w:t>azal</w:t>
      </w:r>
      <w:proofErr w:type="spellEnd"/>
      <w:r>
        <w:rPr>
          <w:rFonts w:ascii="Arial" w:hAnsi="Arial" w:cs="Arial"/>
          <w:sz w:val="20"/>
          <w:szCs w:val="20"/>
        </w:rPr>
        <w:t xml:space="preserve">.  This view, to which </w:t>
      </w:r>
      <w:proofErr w:type="spellStart"/>
      <w:r>
        <w:rPr>
          <w:rFonts w:ascii="Arial" w:hAnsi="Arial" w:cs="Arial"/>
          <w:sz w:val="20"/>
          <w:szCs w:val="20"/>
        </w:rPr>
        <w:t>Rashi</w:t>
      </w:r>
      <w:proofErr w:type="spellEnd"/>
      <w:r>
        <w:rPr>
          <w:rFonts w:ascii="Arial" w:hAnsi="Arial" w:cs="Arial"/>
          <w:sz w:val="20"/>
          <w:szCs w:val="20"/>
        </w:rPr>
        <w:t xml:space="preserve"> ascribed, was nearly universally accepted by Sephardic </w:t>
      </w:r>
      <w:r>
        <w:rPr>
          <w:rFonts w:ascii="Arial" w:hAnsi="Arial" w:cs="Arial"/>
          <w:sz w:val="20"/>
          <w:szCs w:val="20"/>
        </w:rPr>
        <w:lastRenderedPageBreak/>
        <w:t>and Ashkenazic commentators alike.</w:t>
      </w:r>
      <w:r>
        <w:rPr>
          <w:rStyle w:val="a6"/>
          <w:rFonts w:ascii="Arial" w:hAnsi="Arial" w:cs="Arial"/>
        </w:rPr>
        <w:footnoteReference w:id="67"/>
      </w:r>
      <w:r>
        <w:rPr>
          <w:rFonts w:ascii="Arial" w:hAnsi="Arial" w:cs="Arial"/>
          <w:sz w:val="20"/>
          <w:szCs w:val="20"/>
        </w:rPr>
        <w:t xml:space="preserve">  </w:t>
      </w:r>
      <w:proofErr w:type="spellStart"/>
      <w:r w:rsidR="002B00B2" w:rsidRPr="00633219">
        <w:rPr>
          <w:rFonts w:ascii="Arial" w:hAnsi="Arial" w:cs="Arial"/>
          <w:i/>
          <w:iCs/>
          <w:sz w:val="20"/>
          <w:szCs w:val="20"/>
        </w:rPr>
        <w:t>H</w:t>
      </w:r>
      <w:r w:rsidRPr="00633219">
        <w:rPr>
          <w:rFonts w:ascii="Arial" w:hAnsi="Arial" w:cs="Arial"/>
          <w:i/>
          <w:iCs/>
          <w:sz w:val="20"/>
          <w:szCs w:val="20"/>
        </w:rPr>
        <w:t>azal</w:t>
      </w:r>
      <w:proofErr w:type="spellEnd"/>
      <w:r>
        <w:rPr>
          <w:rFonts w:ascii="Arial" w:hAnsi="Arial" w:cs="Arial"/>
          <w:sz w:val="20"/>
          <w:szCs w:val="20"/>
        </w:rPr>
        <w:t xml:space="preserve"> identified the four kingdoms as Baby</w:t>
      </w:r>
      <w:r w:rsidR="00502027">
        <w:rPr>
          <w:rFonts w:ascii="Arial" w:hAnsi="Arial" w:cs="Arial"/>
          <w:sz w:val="20"/>
          <w:szCs w:val="20"/>
        </w:rPr>
        <w:t>l</w:t>
      </w:r>
      <w:r>
        <w:rPr>
          <w:rFonts w:ascii="Arial" w:hAnsi="Arial" w:cs="Arial"/>
          <w:sz w:val="20"/>
          <w:szCs w:val="20"/>
        </w:rPr>
        <w:t>onia (</w:t>
      </w:r>
      <w:proofErr w:type="spellStart"/>
      <w:r>
        <w:rPr>
          <w:rFonts w:ascii="Arial" w:hAnsi="Arial" w:cs="Arial"/>
          <w:i/>
          <w:sz w:val="20"/>
          <w:szCs w:val="20"/>
        </w:rPr>
        <w:t>Bavel</w:t>
      </w:r>
      <w:proofErr w:type="spellEnd"/>
      <w:r>
        <w:rPr>
          <w:rFonts w:ascii="Arial" w:hAnsi="Arial" w:cs="Arial"/>
          <w:iCs/>
          <w:sz w:val="20"/>
          <w:szCs w:val="20"/>
        </w:rPr>
        <w:t>)</w:t>
      </w:r>
      <w:r>
        <w:rPr>
          <w:rFonts w:ascii="Arial" w:hAnsi="Arial" w:cs="Arial"/>
          <w:sz w:val="20"/>
          <w:szCs w:val="20"/>
        </w:rPr>
        <w:t>, Media-Persia, Greece (</w:t>
      </w:r>
      <w:proofErr w:type="spellStart"/>
      <w:r>
        <w:rPr>
          <w:rFonts w:ascii="Arial" w:hAnsi="Arial" w:cs="Arial"/>
          <w:i/>
          <w:sz w:val="20"/>
          <w:szCs w:val="20"/>
        </w:rPr>
        <w:t>Yavan</w:t>
      </w:r>
      <w:proofErr w:type="spellEnd"/>
      <w:r>
        <w:rPr>
          <w:rFonts w:ascii="Arial" w:hAnsi="Arial" w:cs="Arial"/>
          <w:sz w:val="20"/>
          <w:szCs w:val="20"/>
        </w:rPr>
        <w:t>), and Rome (</w:t>
      </w:r>
      <w:r>
        <w:rPr>
          <w:rFonts w:ascii="Arial" w:hAnsi="Arial" w:cs="Arial"/>
          <w:i/>
          <w:sz w:val="20"/>
          <w:szCs w:val="20"/>
        </w:rPr>
        <w:t>Edom</w:t>
      </w:r>
      <w:r>
        <w:rPr>
          <w:rFonts w:ascii="Arial" w:hAnsi="Arial" w:cs="Arial"/>
          <w:sz w:val="20"/>
          <w:szCs w:val="20"/>
        </w:rPr>
        <w:t>).</w:t>
      </w:r>
      <w:r>
        <w:rPr>
          <w:rStyle w:val="a6"/>
          <w:rFonts w:ascii="Arial" w:hAnsi="Arial" w:cs="Arial"/>
        </w:rPr>
        <w:footnoteReference w:id="68"/>
      </w:r>
      <w:r>
        <w:rPr>
          <w:rFonts w:ascii="Arial" w:hAnsi="Arial" w:cs="Arial"/>
          <w:sz w:val="20"/>
          <w:szCs w:val="20"/>
        </w:rPr>
        <w:t xml:space="preserve">  According to this paradigm, the final pre-messianic battle in </w:t>
      </w:r>
      <w:r>
        <w:rPr>
          <w:rFonts w:ascii="Arial" w:hAnsi="Arial" w:cs="Arial"/>
          <w:i/>
          <w:sz w:val="20"/>
          <w:szCs w:val="20"/>
        </w:rPr>
        <w:t>Eretz Yisrael</w:t>
      </w:r>
      <w:r>
        <w:rPr>
          <w:rFonts w:ascii="Arial" w:hAnsi="Arial" w:cs="Arial"/>
          <w:sz w:val="20"/>
          <w:szCs w:val="20"/>
        </w:rPr>
        <w:t xml:space="preserve"> would culminate in the total destruction of Edom (Rome) for its persecution of the Jews.</w:t>
      </w:r>
      <w:r>
        <w:rPr>
          <w:rStyle w:val="a6"/>
          <w:rFonts w:ascii="Arial" w:hAnsi="Arial" w:cs="Arial"/>
        </w:rPr>
        <w:footnoteReference w:id="69"/>
      </w:r>
      <w:r>
        <w:rPr>
          <w:rFonts w:ascii="Arial" w:hAnsi="Arial" w:cs="Arial"/>
          <w:sz w:val="20"/>
          <w:szCs w:val="20"/>
        </w:rPr>
        <w:t xml:space="preserve">  With the ascendancy of Islam, medieval Jewish exegetes living under its auspices began factoring </w:t>
      </w:r>
      <w:proofErr w:type="spellStart"/>
      <w:r>
        <w:rPr>
          <w:rFonts w:ascii="Arial" w:hAnsi="Arial" w:cs="Arial"/>
          <w:i/>
          <w:sz w:val="20"/>
          <w:szCs w:val="20"/>
        </w:rPr>
        <w:t>Yishmael</w:t>
      </w:r>
      <w:proofErr w:type="spellEnd"/>
      <w:r>
        <w:rPr>
          <w:rFonts w:ascii="Arial" w:hAnsi="Arial" w:cs="Arial"/>
          <w:sz w:val="20"/>
          <w:szCs w:val="20"/>
        </w:rPr>
        <w:t xml:space="preserve"> into the four kingdoms.</w:t>
      </w:r>
      <w:r>
        <w:rPr>
          <w:rStyle w:val="a6"/>
          <w:rFonts w:ascii="Arial" w:hAnsi="Arial" w:cs="Arial"/>
        </w:rPr>
        <w:footnoteReference w:id="70"/>
      </w:r>
      <w:r>
        <w:rPr>
          <w:rFonts w:ascii="Arial" w:hAnsi="Arial" w:cs="Arial"/>
          <w:sz w:val="20"/>
          <w:szCs w:val="20"/>
        </w:rPr>
        <w:t xml:space="preserve">  Thus, Ibn Ezra cites </w:t>
      </w:r>
      <w:proofErr w:type="spellStart"/>
      <w:r>
        <w:rPr>
          <w:rFonts w:ascii="Arial" w:hAnsi="Arial" w:cs="Arial"/>
          <w:sz w:val="20"/>
          <w:szCs w:val="20"/>
        </w:rPr>
        <w:t>Rasag’s</w:t>
      </w:r>
      <w:proofErr w:type="spellEnd"/>
      <w:r>
        <w:rPr>
          <w:rFonts w:ascii="Arial" w:hAnsi="Arial" w:cs="Arial"/>
          <w:sz w:val="20"/>
          <w:szCs w:val="20"/>
        </w:rPr>
        <w:t xml:space="preserve"> understanding of the fourth kingdom as being a combination of Rome and Islam, who together will conquer </w:t>
      </w:r>
      <w:r>
        <w:rPr>
          <w:rFonts w:ascii="Arial" w:hAnsi="Arial" w:cs="Arial"/>
          <w:i/>
          <w:sz w:val="20"/>
          <w:szCs w:val="20"/>
        </w:rPr>
        <w:t>Eretz Yisrael</w:t>
      </w:r>
      <w:r>
        <w:rPr>
          <w:rFonts w:ascii="Arial" w:hAnsi="Arial" w:cs="Arial"/>
          <w:sz w:val="20"/>
          <w:szCs w:val="20"/>
        </w:rPr>
        <w:t xml:space="preserve"> before the messianic redemption.</w:t>
      </w:r>
      <w:r>
        <w:rPr>
          <w:rStyle w:val="a6"/>
          <w:rFonts w:ascii="Arial" w:hAnsi="Arial" w:cs="Arial"/>
        </w:rPr>
        <w:footnoteReference w:id="71"/>
      </w:r>
      <w:r>
        <w:rPr>
          <w:rFonts w:ascii="Arial" w:hAnsi="Arial" w:cs="Arial"/>
          <w:sz w:val="20"/>
          <w:szCs w:val="20"/>
        </w:rPr>
        <w:t xml:space="preserve">  While Ibn Ezra also includes Islam in his own model of the four kingdoms, he does not categorize it as a subsidiary or hybrid of Rome.  Instead, he combines the individual third and fourth kingdoms of Greece and Rome into one large “third kingdom” – i.e.</w:t>
      </w:r>
      <w:r w:rsidR="00502027">
        <w:rPr>
          <w:rFonts w:ascii="Arial" w:hAnsi="Arial" w:cs="Arial"/>
          <w:sz w:val="20"/>
          <w:szCs w:val="20"/>
        </w:rPr>
        <w:t>,</w:t>
      </w:r>
      <w:r>
        <w:rPr>
          <w:rFonts w:ascii="Arial" w:hAnsi="Arial" w:cs="Arial"/>
          <w:sz w:val="20"/>
          <w:szCs w:val="20"/>
        </w:rPr>
        <w:t xml:space="preserve"> </w:t>
      </w:r>
      <w:proofErr w:type="spellStart"/>
      <w:r>
        <w:rPr>
          <w:rFonts w:ascii="Arial" w:hAnsi="Arial" w:cs="Arial"/>
          <w:i/>
          <w:sz w:val="20"/>
          <w:szCs w:val="20"/>
        </w:rPr>
        <w:t>Yavan</w:t>
      </w:r>
      <w:proofErr w:type="spellEnd"/>
      <w:r>
        <w:rPr>
          <w:rFonts w:ascii="Arial" w:hAnsi="Arial" w:cs="Arial"/>
          <w:i/>
          <w:sz w:val="20"/>
          <w:szCs w:val="20"/>
        </w:rPr>
        <w:t>-Romi</w:t>
      </w:r>
      <w:r>
        <w:rPr>
          <w:rFonts w:ascii="Arial" w:hAnsi="Arial" w:cs="Arial"/>
          <w:sz w:val="20"/>
          <w:szCs w:val="20"/>
        </w:rPr>
        <w:t>,</w:t>
      </w:r>
      <w:r>
        <w:rPr>
          <w:rStyle w:val="a6"/>
          <w:rFonts w:ascii="Arial" w:hAnsi="Arial" w:cs="Arial"/>
        </w:rPr>
        <w:footnoteReference w:id="72"/>
      </w:r>
      <w:r>
        <w:rPr>
          <w:rFonts w:ascii="Arial" w:hAnsi="Arial" w:cs="Arial"/>
          <w:sz w:val="20"/>
          <w:szCs w:val="20"/>
        </w:rPr>
        <w:t xml:space="preserve"> and he classifies </w:t>
      </w:r>
      <w:r w:rsidR="00182F58" w:rsidRPr="00182F58">
        <w:rPr>
          <w:rFonts w:ascii="Arial" w:hAnsi="Arial" w:cs="Arial"/>
          <w:sz w:val="20"/>
          <w:szCs w:val="20"/>
        </w:rPr>
        <w:t xml:space="preserve">Islam </w:t>
      </w:r>
      <w:r>
        <w:rPr>
          <w:rFonts w:ascii="Arial" w:hAnsi="Arial" w:cs="Arial"/>
          <w:sz w:val="20"/>
          <w:szCs w:val="20"/>
        </w:rPr>
        <w:t xml:space="preserve">as </w:t>
      </w:r>
      <w:r>
        <w:rPr>
          <w:rFonts w:asciiTheme="minorBidi" w:hAnsiTheme="minorBidi" w:cstheme="minorBidi"/>
          <w:sz w:val="20"/>
          <w:szCs w:val="20"/>
        </w:rPr>
        <w:t xml:space="preserve">the fourth empire.  Ibn Ezra concludes, “Thus, the brass kingdom is the kingdom of Greece, and the kingdom of </w:t>
      </w:r>
      <w:r>
        <w:rPr>
          <w:rFonts w:asciiTheme="minorBidi" w:hAnsiTheme="minorBidi" w:cstheme="minorBidi"/>
          <w:i/>
          <w:sz w:val="20"/>
          <w:szCs w:val="20"/>
        </w:rPr>
        <w:t>Aram</w:t>
      </w:r>
      <w:r>
        <w:rPr>
          <w:rFonts w:asciiTheme="minorBidi" w:hAnsiTheme="minorBidi" w:cstheme="minorBidi"/>
          <w:sz w:val="20"/>
          <w:szCs w:val="20"/>
        </w:rPr>
        <w:t xml:space="preserve"> (Rome) is [that] of Greece.  Therefore, the iron [fourth] empire is the realm of </w:t>
      </w:r>
      <w:r>
        <w:rPr>
          <w:rFonts w:asciiTheme="minorBidi" w:hAnsiTheme="minorBidi" w:cstheme="minorBidi"/>
          <w:sz w:val="20"/>
          <w:szCs w:val="20"/>
        </w:rPr>
        <w:lastRenderedPageBreak/>
        <w:t xml:space="preserve">Ishmael” (Dan. 2:40).  </w:t>
      </w:r>
      <w:r>
        <w:rPr>
          <w:rFonts w:ascii="Arial" w:hAnsi="Arial" w:cs="Arial"/>
          <w:sz w:val="20"/>
          <w:szCs w:val="20"/>
        </w:rPr>
        <w:t xml:space="preserve">Accordingly, Ibn Ezra’s four realms are: </w:t>
      </w:r>
      <w:proofErr w:type="spellStart"/>
      <w:r>
        <w:rPr>
          <w:rFonts w:ascii="Arial" w:hAnsi="Arial" w:cs="Arial"/>
          <w:i/>
          <w:sz w:val="20"/>
          <w:szCs w:val="20"/>
        </w:rPr>
        <w:t>Bavel</w:t>
      </w:r>
      <w:proofErr w:type="spellEnd"/>
      <w:r>
        <w:rPr>
          <w:rFonts w:ascii="Arial" w:hAnsi="Arial" w:cs="Arial"/>
          <w:sz w:val="20"/>
          <w:szCs w:val="20"/>
        </w:rPr>
        <w:t xml:space="preserve">, Persia-Media, Greece-Rome, and </w:t>
      </w:r>
      <w:r w:rsidR="00FD5416" w:rsidRPr="00FD5416">
        <w:rPr>
          <w:rFonts w:ascii="Arial" w:hAnsi="Arial" w:cs="Arial"/>
          <w:sz w:val="20"/>
          <w:szCs w:val="20"/>
        </w:rPr>
        <w:t>Islam</w:t>
      </w:r>
      <w:r>
        <w:rPr>
          <w:rFonts w:ascii="Arial" w:hAnsi="Arial" w:cs="Arial"/>
          <w:sz w:val="20"/>
          <w:szCs w:val="20"/>
        </w:rPr>
        <w:t xml:space="preserve">, with the final battle resulting in the total destruction of Ishmael, contrary to </w:t>
      </w:r>
      <w:proofErr w:type="spellStart"/>
      <w:r>
        <w:rPr>
          <w:rFonts w:ascii="Arial" w:hAnsi="Arial" w:cs="Arial"/>
          <w:sz w:val="20"/>
          <w:szCs w:val="20"/>
        </w:rPr>
        <w:t>Rashi’s</w:t>
      </w:r>
      <w:proofErr w:type="spellEnd"/>
      <w:r>
        <w:rPr>
          <w:rFonts w:ascii="Arial" w:hAnsi="Arial" w:cs="Arial"/>
          <w:sz w:val="20"/>
          <w:szCs w:val="20"/>
        </w:rPr>
        <w:t xml:space="preserve"> view.</w:t>
      </w:r>
      <w:r>
        <w:rPr>
          <w:rStyle w:val="a6"/>
          <w:rFonts w:ascii="Arial" w:hAnsi="Arial" w:cs="Arial"/>
        </w:rPr>
        <w:footnoteReference w:id="73"/>
      </w:r>
      <w:r w:rsidR="00FD5416">
        <w:rPr>
          <w:rFonts w:ascii="Arial" w:hAnsi="Arial" w:cs="Arial"/>
          <w:sz w:val="20"/>
          <w:szCs w:val="20"/>
        </w:rPr>
        <w:t xml:space="preserve"> </w:t>
      </w:r>
    </w:p>
    <w:p w14:paraId="74F6F8BB" w14:textId="48F4795A" w:rsidR="00505FAD" w:rsidRDefault="00505FAD" w:rsidP="00D70091">
      <w:pPr>
        <w:spacing w:line="480" w:lineRule="auto"/>
        <w:ind w:firstLine="720"/>
        <w:rPr>
          <w:rFonts w:ascii="Arial" w:hAnsi="Arial" w:cs="Arial"/>
          <w:color w:val="FF0000"/>
          <w:sz w:val="20"/>
          <w:szCs w:val="20"/>
        </w:rPr>
      </w:pPr>
      <w:r>
        <w:rPr>
          <w:rFonts w:ascii="Arial" w:hAnsi="Arial" w:cs="Arial"/>
          <w:sz w:val="20"/>
          <w:szCs w:val="20"/>
        </w:rPr>
        <w:t xml:space="preserve">While Ibn Ezra’s criticizes </w:t>
      </w:r>
      <w:proofErr w:type="spellStart"/>
      <w:r>
        <w:rPr>
          <w:rFonts w:ascii="Arial" w:hAnsi="Arial" w:cs="Arial"/>
          <w:sz w:val="20"/>
          <w:szCs w:val="20"/>
        </w:rPr>
        <w:t>Rasag’s</w:t>
      </w:r>
      <w:proofErr w:type="spellEnd"/>
      <w:r>
        <w:rPr>
          <w:rFonts w:ascii="Arial" w:hAnsi="Arial" w:cs="Arial"/>
          <w:sz w:val="20"/>
          <w:szCs w:val="20"/>
        </w:rPr>
        <w:t xml:space="preserve"> fourth realm – Rome-Islam</w:t>
      </w:r>
      <w:r w:rsidR="00D70091">
        <w:rPr>
          <w:rFonts w:ascii="Arial" w:hAnsi="Arial" w:cs="Arial"/>
          <w:sz w:val="20"/>
          <w:szCs w:val="20"/>
        </w:rPr>
        <w:t xml:space="preserve"> </w:t>
      </w:r>
      <w:r w:rsidR="00D70091" w:rsidRPr="00D70091">
        <w:rPr>
          <w:rFonts w:ascii="Arial" w:hAnsi="Arial" w:cs="Arial"/>
          <w:sz w:val="20"/>
          <w:szCs w:val="20"/>
        </w:rPr>
        <w:t>–</w:t>
      </w:r>
      <w:r>
        <w:rPr>
          <w:rFonts w:ascii="Arial" w:hAnsi="Arial" w:cs="Arial"/>
          <w:sz w:val="20"/>
          <w:szCs w:val="20"/>
        </w:rPr>
        <w:t xml:space="preserve"> for its lack of a common law/religion,</w:t>
      </w:r>
      <w:r>
        <w:rPr>
          <w:rStyle w:val="a6"/>
          <w:rFonts w:ascii="Arial" w:hAnsi="Arial" w:cs="Arial"/>
        </w:rPr>
        <w:footnoteReference w:id="74"/>
      </w:r>
      <w:r>
        <w:rPr>
          <w:rFonts w:ascii="Arial" w:hAnsi="Arial" w:cs="Arial"/>
          <w:sz w:val="20"/>
          <w:szCs w:val="20"/>
        </w:rPr>
        <w:t xml:space="preserve"> he maintains that his own hybrid, “third empire” (Rome-Greece) will be pitted against a singular Islam at the End of Days (Dan. 2:40).  Referring to Daniel’s “third” and “fourth” kingdoms as the existing realms of his day,</w:t>
      </w:r>
      <w:r>
        <w:rPr>
          <w:rStyle w:val="a6"/>
          <w:rFonts w:ascii="Arial" w:hAnsi="Arial" w:cs="Arial"/>
        </w:rPr>
        <w:footnoteReference w:id="75"/>
      </w:r>
      <w:r>
        <w:rPr>
          <w:rFonts w:ascii="Arial" w:hAnsi="Arial" w:cs="Arial"/>
          <w:sz w:val="20"/>
          <w:szCs w:val="20"/>
        </w:rPr>
        <w:t xml:space="preserve"> Ibn Ezra notes the wars being waged between them (Crusades), with neither side being fully victorious: “Indeed, until today, there are places in which Ishmael vanquishes the kingdom of Aram [Rome], and places in which it is defeated [by it].”</w:t>
      </w:r>
      <w:r>
        <w:rPr>
          <w:rStyle w:val="a6"/>
          <w:rFonts w:ascii="Arial" w:hAnsi="Arial" w:cs="Arial"/>
        </w:rPr>
        <w:footnoteReference w:id="76"/>
      </w:r>
      <w:r>
        <w:rPr>
          <w:rFonts w:ascii="Arial" w:hAnsi="Arial" w:cs="Arial"/>
          <w:sz w:val="20"/>
          <w:szCs w:val="20"/>
        </w:rPr>
        <w:t xml:space="preserve">  Accordingly</w:t>
      </w:r>
      <w:r>
        <w:rPr>
          <w:rFonts w:asciiTheme="minorBidi" w:hAnsiTheme="minorBidi" w:cstheme="minorBidi"/>
          <w:sz w:val="20"/>
          <w:szCs w:val="20"/>
        </w:rPr>
        <w:t>, it seems clear that Ibn Ezra’s view of the pre-Messianic battle between Rome-Greece and Islam (Dan. 7:14) is of a religious war between Christianity and Islam: Christianity being represented by “Greece” (i.e.</w:t>
      </w:r>
      <w:r w:rsidR="00D70091">
        <w:rPr>
          <w:rFonts w:asciiTheme="minorBidi" w:hAnsiTheme="minorBidi" w:cstheme="minorBidi"/>
          <w:sz w:val="20"/>
          <w:szCs w:val="20"/>
        </w:rPr>
        <w:t>,</w:t>
      </w:r>
      <w:r>
        <w:rPr>
          <w:rFonts w:asciiTheme="minorBidi" w:hAnsiTheme="minorBidi" w:cstheme="minorBidi"/>
          <w:sz w:val="20"/>
          <w:szCs w:val="20"/>
        </w:rPr>
        <w:t xml:space="preserve"> </w:t>
      </w:r>
      <w:r>
        <w:rPr>
          <w:rFonts w:asciiTheme="minorBidi" w:hAnsiTheme="minorBidi" w:cstheme="minorBidi"/>
          <w:sz w:val="20"/>
          <w:szCs w:val="20"/>
          <w:lang w:val="en"/>
        </w:rPr>
        <w:t>Byzantium, the “Eastern Roman Empire”) and its Western counterpart in Italy – “</w:t>
      </w:r>
      <w:r>
        <w:rPr>
          <w:rFonts w:asciiTheme="minorBidi" w:hAnsiTheme="minorBidi" w:cstheme="minorBidi"/>
          <w:sz w:val="20"/>
          <w:szCs w:val="20"/>
        </w:rPr>
        <w:t xml:space="preserve">Rome.” </w:t>
      </w:r>
      <w:r>
        <w:rPr>
          <w:rFonts w:asciiTheme="minorBidi" w:hAnsiTheme="minorBidi" w:cstheme="minorBidi"/>
          <w:color w:val="FF0000"/>
          <w:sz w:val="20"/>
          <w:szCs w:val="20"/>
        </w:rPr>
        <w:t xml:space="preserve"> </w:t>
      </w:r>
    </w:p>
    <w:p w14:paraId="41B12494" w14:textId="65E04490" w:rsidR="00505FAD" w:rsidRDefault="00505FAD" w:rsidP="00505FAD">
      <w:pPr>
        <w:spacing w:line="480" w:lineRule="auto"/>
        <w:ind w:firstLine="720"/>
        <w:rPr>
          <w:rFonts w:ascii="Arial" w:hAnsi="Arial" w:cs="Arial"/>
          <w:sz w:val="20"/>
          <w:szCs w:val="20"/>
        </w:rPr>
      </w:pPr>
      <w:r>
        <w:rPr>
          <w:rFonts w:ascii="Arial" w:hAnsi="Arial" w:cs="Arial"/>
          <w:sz w:val="20"/>
          <w:szCs w:val="20"/>
        </w:rPr>
        <w:t>The exegete’s consistent and primary focus, in both his Short and Long Commentaries on Daniel I</w:t>
      </w:r>
      <w:proofErr w:type="gramStart"/>
      <w:r>
        <w:rPr>
          <w:rFonts w:ascii="Arial" w:hAnsi="Arial" w:cs="Arial"/>
          <w:sz w:val="20"/>
          <w:szCs w:val="20"/>
        </w:rPr>
        <w:t>,II</w:t>
      </w:r>
      <w:proofErr w:type="gramEnd"/>
      <w:r>
        <w:rPr>
          <w:rFonts w:ascii="Arial" w:hAnsi="Arial" w:cs="Arial"/>
          <w:sz w:val="20"/>
          <w:szCs w:val="20"/>
        </w:rPr>
        <w:t>, is with the fourth kingdom – Islam, which will be totally eradicated at the End of Days.</w:t>
      </w:r>
      <w:r>
        <w:rPr>
          <w:rStyle w:val="a6"/>
          <w:rFonts w:ascii="Arial" w:hAnsi="Arial" w:cs="Arial"/>
        </w:rPr>
        <w:footnoteReference w:id="77"/>
      </w:r>
      <w:r>
        <w:rPr>
          <w:rFonts w:ascii="Arial" w:hAnsi="Arial" w:cs="Arial"/>
          <w:sz w:val="20"/>
          <w:szCs w:val="20"/>
        </w:rPr>
        <w:t xml:space="preserve">  Commenting on its destruction, he states: “The fourth beast will lose its entire body, and there will not be any remnant or refugee for Ishmael… And one like the son of man</w:t>
      </w:r>
      <w:r>
        <w:t xml:space="preserve"> (</w:t>
      </w:r>
      <w:r>
        <w:rPr>
          <w:rFonts w:ascii="David" w:eastAsiaTheme="minorHAnsi" w:hAnsi="David" w:cs="David"/>
          <w:color w:val="000000"/>
          <w:rtl/>
          <w:lang w:bidi="he-IL"/>
        </w:rPr>
        <w:t>כבר אנוש</w:t>
      </w:r>
      <w:r>
        <w:t xml:space="preserve">), </w:t>
      </w:r>
      <w:r>
        <w:rPr>
          <w:rFonts w:ascii="Arial" w:hAnsi="Arial" w:cs="Arial"/>
          <w:sz w:val="20"/>
          <w:szCs w:val="20"/>
        </w:rPr>
        <w:t xml:space="preserve">which is the Holy Nation, who are Yisrael, … [will] take vengeance on the fourth beast for all the evil it inflicted on Israel.”  Ibn Ezra’s preoccupation with the fate of Islam is noteworthy in light of his personal experiences of persecution in both realms:  Ibn Ezra fled his native Spain during the violent, Almohad invasions, and he escaped to Christian Europe during the Second Crusade (1144-1155).  Clearly, his continued stance on the Fourth </w:t>
      </w:r>
      <w:r>
        <w:rPr>
          <w:rFonts w:ascii="Arial" w:hAnsi="Arial" w:cs="Arial"/>
          <w:sz w:val="20"/>
          <w:szCs w:val="20"/>
        </w:rPr>
        <w:lastRenderedPageBreak/>
        <w:t>Kingdom as representing Islam, despite his long residence in Christendom, shows his lack of acculturation in this area.</w:t>
      </w:r>
      <w:r>
        <w:rPr>
          <w:rStyle w:val="a6"/>
          <w:rFonts w:ascii="Arial" w:hAnsi="Arial" w:cs="Arial"/>
        </w:rPr>
        <w:footnoteReference w:id="78"/>
      </w:r>
    </w:p>
    <w:p w14:paraId="43D52B57" w14:textId="77777777" w:rsidR="00505FAD" w:rsidRDefault="00505FAD" w:rsidP="00505FAD">
      <w:pPr>
        <w:spacing w:after="160" w:line="256" w:lineRule="auto"/>
        <w:rPr>
          <w:rFonts w:ascii="Arial" w:hAnsi="Arial" w:cs="Arial"/>
          <w:b/>
          <w:bCs/>
          <w:sz w:val="20"/>
          <w:szCs w:val="20"/>
        </w:rPr>
      </w:pPr>
    </w:p>
    <w:p w14:paraId="63EC7FD2" w14:textId="77777777" w:rsidR="00505FAD" w:rsidRDefault="00505FAD" w:rsidP="00505FAD">
      <w:pPr>
        <w:spacing w:after="160" w:line="256" w:lineRule="auto"/>
        <w:rPr>
          <w:rFonts w:ascii="Arial" w:hAnsi="Arial" w:cs="Arial"/>
          <w:b/>
          <w:bCs/>
          <w:sz w:val="20"/>
          <w:szCs w:val="20"/>
          <w:highlight w:val="yellow"/>
        </w:rPr>
      </w:pPr>
      <w:r>
        <w:rPr>
          <w:rFonts w:ascii="Arial" w:hAnsi="Arial" w:cs="Arial"/>
          <w:sz w:val="20"/>
          <w:szCs w:val="20"/>
        </w:rPr>
        <w:t>A COMPARISON OF IBN EZRA’S COMMENTARIES TO EACH OTHER (DANIEL I, II)</w:t>
      </w:r>
    </w:p>
    <w:p w14:paraId="02F0859E" w14:textId="67B34477" w:rsidR="00505FAD" w:rsidRDefault="00505FAD" w:rsidP="00505FAD">
      <w:pPr>
        <w:spacing w:line="480" w:lineRule="auto"/>
        <w:ind w:firstLine="720"/>
        <w:rPr>
          <w:rFonts w:ascii="Arial" w:hAnsi="Arial" w:cs="Arial"/>
          <w:sz w:val="20"/>
          <w:szCs w:val="20"/>
        </w:rPr>
      </w:pPr>
      <w:r>
        <w:rPr>
          <w:rFonts w:ascii="Arial" w:hAnsi="Arial" w:cs="Arial"/>
          <w:sz w:val="20"/>
          <w:szCs w:val="20"/>
        </w:rPr>
        <w:t>As previously noted, this essay’s second method of testing for Ibn Ezra’s exegetical adaptation is by comparing his earlier and later commentaries to each other. Ibn Ezra wrote his early, Short Commentary on Daniel I between 1140-1145,</w:t>
      </w:r>
      <w:r>
        <w:rPr>
          <w:rStyle w:val="a6"/>
          <w:rFonts w:ascii="Arial" w:hAnsi="Arial" w:cs="Arial"/>
        </w:rPr>
        <w:footnoteReference w:id="79"/>
      </w:r>
      <w:r>
        <w:rPr>
          <w:rFonts w:ascii="Arial" w:hAnsi="Arial" w:cs="Arial"/>
          <w:sz w:val="20"/>
          <w:szCs w:val="20"/>
        </w:rPr>
        <w:t xml:space="preserve"> shortly after his arrival in Italy; he composed his second, Long Commentary on Daniel II in Rouen, Northern France, in 1155.  </w:t>
      </w:r>
      <w:r w:rsidR="008175D2">
        <w:rPr>
          <w:rFonts w:ascii="Arial" w:hAnsi="Arial" w:cs="Arial"/>
          <w:sz w:val="20"/>
          <w:szCs w:val="20"/>
        </w:rPr>
        <w:t>D</w:t>
      </w:r>
      <w:r>
        <w:rPr>
          <w:rFonts w:ascii="Arial" w:hAnsi="Arial" w:cs="Arial"/>
          <w:sz w:val="20"/>
          <w:szCs w:val="20"/>
        </w:rPr>
        <w:t>espite stylistic differences between his Short and Long Commentaries on Daniel I, II</w:t>
      </w:r>
      <w:r w:rsidR="008175D2">
        <w:rPr>
          <w:rFonts w:ascii="Arial" w:hAnsi="Arial" w:cs="Arial"/>
          <w:sz w:val="20"/>
          <w:szCs w:val="20"/>
        </w:rPr>
        <w:t>,</w:t>
      </w:r>
      <w:r>
        <w:rPr>
          <w:rFonts w:ascii="Arial" w:hAnsi="Arial" w:cs="Arial"/>
          <w:sz w:val="20"/>
          <w:szCs w:val="20"/>
        </w:rPr>
        <w:t xml:space="preserve"> both are consistent in their exegetical orientation (viz. messianic speculations and the Four Kingdoms).  </w:t>
      </w:r>
      <w:r w:rsidRPr="00A76E3D">
        <w:rPr>
          <w:rFonts w:ascii="Arial" w:hAnsi="Arial" w:cs="Arial"/>
          <w:sz w:val="20"/>
          <w:szCs w:val="20"/>
        </w:rPr>
        <w:t>Th</w:t>
      </w:r>
      <w:r w:rsidR="008175D2" w:rsidRPr="00A76E3D">
        <w:rPr>
          <w:rFonts w:ascii="Arial" w:hAnsi="Arial" w:cs="Arial"/>
          <w:sz w:val="20"/>
          <w:szCs w:val="20"/>
        </w:rPr>
        <w:t>is again points to</w:t>
      </w:r>
      <w:r w:rsidRPr="00A76E3D">
        <w:rPr>
          <w:rFonts w:ascii="Arial" w:hAnsi="Arial" w:cs="Arial"/>
          <w:sz w:val="20"/>
          <w:szCs w:val="20"/>
        </w:rPr>
        <w:t xml:space="preserve"> Ibn </w:t>
      </w:r>
      <w:r w:rsidR="008175D2" w:rsidRPr="00A76E3D">
        <w:rPr>
          <w:rFonts w:ascii="Arial" w:hAnsi="Arial" w:cs="Arial"/>
          <w:sz w:val="20"/>
          <w:szCs w:val="20"/>
        </w:rPr>
        <w:t>Ezra’s steadfast</w:t>
      </w:r>
      <w:r w:rsidR="00A76E3D" w:rsidRPr="00A76E3D">
        <w:rPr>
          <w:rFonts w:ascii="Arial" w:hAnsi="Arial" w:cs="Arial"/>
          <w:sz w:val="20"/>
          <w:szCs w:val="20"/>
        </w:rPr>
        <w:t xml:space="preserve"> consistency</w:t>
      </w:r>
      <w:r w:rsidR="008175D2" w:rsidRPr="00A76E3D">
        <w:rPr>
          <w:rFonts w:ascii="Arial" w:hAnsi="Arial" w:cs="Arial"/>
          <w:sz w:val="20"/>
          <w:szCs w:val="20"/>
        </w:rPr>
        <w:t xml:space="preserve"> in his messianic</w:t>
      </w:r>
      <w:r w:rsidRPr="00A76E3D">
        <w:rPr>
          <w:rFonts w:ascii="Arial" w:hAnsi="Arial" w:cs="Arial"/>
          <w:sz w:val="20"/>
          <w:szCs w:val="20"/>
        </w:rPr>
        <w:t xml:space="preserve"> principles and methods</w:t>
      </w:r>
      <w:r w:rsidR="00A76E3D">
        <w:rPr>
          <w:rFonts w:ascii="Arial" w:hAnsi="Arial" w:cs="Arial"/>
          <w:sz w:val="20"/>
          <w:szCs w:val="20"/>
        </w:rPr>
        <w:t xml:space="preserve"> in </w:t>
      </w:r>
      <w:proofErr w:type="spellStart"/>
      <w:r w:rsidR="00A76E3D">
        <w:rPr>
          <w:rFonts w:ascii="Arial" w:hAnsi="Arial" w:cs="Arial"/>
          <w:sz w:val="20"/>
          <w:szCs w:val="20"/>
        </w:rPr>
        <w:t>Sefer</w:t>
      </w:r>
      <w:proofErr w:type="spellEnd"/>
      <w:r w:rsidR="00A76E3D">
        <w:rPr>
          <w:rFonts w:ascii="Arial" w:hAnsi="Arial" w:cs="Arial"/>
          <w:sz w:val="20"/>
          <w:szCs w:val="20"/>
        </w:rPr>
        <w:t xml:space="preserve"> Daniel,</w:t>
      </w:r>
      <w:r w:rsidRPr="00A76E3D">
        <w:rPr>
          <w:rFonts w:ascii="Arial" w:hAnsi="Arial" w:cs="Arial"/>
          <w:sz w:val="20"/>
          <w:szCs w:val="20"/>
        </w:rPr>
        <w:t xml:space="preserve"> throughout his time in Christendom.</w:t>
      </w:r>
      <w:r>
        <w:rPr>
          <w:rFonts w:ascii="Arial" w:hAnsi="Arial" w:cs="Arial"/>
          <w:sz w:val="20"/>
          <w:szCs w:val="20"/>
        </w:rPr>
        <w:t xml:space="preserve">  </w:t>
      </w:r>
    </w:p>
    <w:p w14:paraId="6042A835" w14:textId="140CCE60" w:rsidR="00505FAD" w:rsidRDefault="00E80E70" w:rsidP="00505FAD">
      <w:pPr>
        <w:spacing w:line="480" w:lineRule="auto"/>
        <w:ind w:firstLine="720"/>
        <w:rPr>
          <w:rFonts w:ascii="Arial" w:hAnsi="Arial" w:cs="Arial"/>
          <w:sz w:val="20"/>
          <w:szCs w:val="20"/>
        </w:rPr>
      </w:pPr>
      <w:r>
        <w:rPr>
          <w:rFonts w:ascii="Arial" w:hAnsi="Arial" w:cs="Arial"/>
          <w:sz w:val="20"/>
          <w:szCs w:val="20"/>
        </w:rPr>
        <w:t>Aside from their literary style, t</w:t>
      </w:r>
      <w:r w:rsidR="00505FAD">
        <w:rPr>
          <w:rFonts w:ascii="Arial" w:hAnsi="Arial" w:cs="Arial"/>
          <w:sz w:val="20"/>
          <w:szCs w:val="20"/>
        </w:rPr>
        <w:t>he only notable difference between the two Daniel commentaries I, II</w:t>
      </w:r>
      <w:r w:rsidR="00505FAD">
        <w:rPr>
          <w:rStyle w:val="a6"/>
          <w:rFonts w:ascii="Arial" w:hAnsi="Arial" w:cs="Arial"/>
        </w:rPr>
        <w:footnoteReference w:id="80"/>
      </w:r>
      <w:r w:rsidR="00505FAD">
        <w:rPr>
          <w:rFonts w:ascii="Arial" w:hAnsi="Arial" w:cs="Arial"/>
          <w:sz w:val="20"/>
          <w:szCs w:val="20"/>
        </w:rPr>
        <w:t xml:space="preserve"> is Ibn Ezra’s object of criticism.  While openly critical of Ashkenazic practitioners of </w:t>
      </w:r>
      <w:proofErr w:type="spellStart"/>
      <w:r w:rsidR="00505FAD">
        <w:rPr>
          <w:rFonts w:ascii="Arial" w:hAnsi="Arial" w:cs="Arial"/>
          <w:i/>
          <w:iCs/>
          <w:sz w:val="20"/>
          <w:szCs w:val="20"/>
        </w:rPr>
        <w:t>derash</w:t>
      </w:r>
      <w:proofErr w:type="spellEnd"/>
      <w:r w:rsidR="00505FAD">
        <w:rPr>
          <w:rFonts w:ascii="Arial" w:hAnsi="Arial" w:cs="Arial"/>
          <w:sz w:val="20"/>
          <w:szCs w:val="20"/>
        </w:rPr>
        <w:t xml:space="preserve"> in his early, Short Commentary on Daniel I, he is circumspect in his later, Long Commentary II.</w:t>
      </w:r>
      <w:r w:rsidR="00505FAD">
        <w:rPr>
          <w:rStyle w:val="a6"/>
          <w:rFonts w:ascii="Arial" w:hAnsi="Arial" w:cs="Arial"/>
        </w:rPr>
        <w:footnoteReference w:id="81"/>
      </w:r>
      <w:r w:rsidR="00505FAD">
        <w:rPr>
          <w:rFonts w:ascii="Arial" w:hAnsi="Arial" w:cs="Arial"/>
          <w:sz w:val="20"/>
          <w:szCs w:val="20"/>
        </w:rPr>
        <w:t xml:space="preserve">  For example, in his early, Short Introduction to Daniel I, Ibn Ezra laments the contamination of “the pure spring of truth,” whose water gets increasingly more contaminated as it moves further away from the source (</w:t>
      </w:r>
      <w:r w:rsidR="00505FAD">
        <w:rPr>
          <w:rFonts w:ascii="David" w:eastAsiaTheme="minorHAnsi" w:hAnsi="David" w:cs="David"/>
          <w:color w:val="000000"/>
          <w:rtl/>
          <w:lang w:bidi="he-IL"/>
        </w:rPr>
        <w:t xml:space="preserve">מימי הנחל </w:t>
      </w:r>
      <w:r w:rsidR="00505FAD">
        <w:rPr>
          <w:rFonts w:ascii="David" w:eastAsiaTheme="minorHAnsi" w:hAnsi="David" w:cs="David"/>
          <w:color w:val="000000"/>
          <w:rtl/>
          <w:lang w:bidi="he-IL"/>
        </w:rPr>
        <w:lastRenderedPageBreak/>
        <w:t>הנובע הקרובים ממנו תרמסם רגל, ויתערבו בם מים זרים</w:t>
      </w:r>
      <w:proofErr w:type="gramStart"/>
      <w:r w:rsidR="00505FAD">
        <w:rPr>
          <w:rFonts w:ascii="David" w:eastAsiaTheme="minorHAnsi" w:hAnsi="David" w:cs="David"/>
          <w:color w:val="000000"/>
          <w:rtl/>
          <w:lang w:bidi="he-IL"/>
        </w:rPr>
        <w:t>..</w:t>
      </w:r>
      <w:r w:rsidR="00505FAD">
        <w:rPr>
          <w:rFonts w:ascii="Arial" w:hAnsi="Arial" w:cs="Arial"/>
          <w:sz w:val="20"/>
          <w:szCs w:val="20"/>
        </w:rPr>
        <w:t>)</w:t>
      </w:r>
      <w:proofErr w:type="gramEnd"/>
      <w:r w:rsidR="00505FAD">
        <w:rPr>
          <w:rFonts w:ascii="Arial" w:hAnsi="Arial" w:cs="Arial"/>
          <w:sz w:val="20"/>
          <w:szCs w:val="20"/>
        </w:rPr>
        <w:t xml:space="preserve">.  His metaphor denounces the Ashkenazic practice of using </w:t>
      </w:r>
      <w:r w:rsidR="00505FAD" w:rsidRPr="0015527A">
        <w:rPr>
          <w:rFonts w:ascii="Arial" w:hAnsi="Arial" w:cs="Arial"/>
          <w:i/>
          <w:iCs/>
          <w:sz w:val="20"/>
          <w:szCs w:val="20"/>
        </w:rPr>
        <w:t>midrashim</w:t>
      </w:r>
      <w:r w:rsidR="00505FAD">
        <w:rPr>
          <w:rFonts w:ascii="Arial" w:hAnsi="Arial" w:cs="Arial"/>
          <w:sz w:val="20"/>
          <w:szCs w:val="20"/>
        </w:rPr>
        <w:t xml:space="preserve"> literally and taking the biblical words out of context, contrary to the intent of </w:t>
      </w:r>
      <w:proofErr w:type="spellStart"/>
      <w:r w:rsidR="00680EA4">
        <w:rPr>
          <w:rFonts w:ascii="Arial" w:hAnsi="Arial" w:cs="Arial"/>
          <w:sz w:val="20"/>
          <w:szCs w:val="20"/>
        </w:rPr>
        <w:t>Hazal</w:t>
      </w:r>
      <w:proofErr w:type="spellEnd"/>
      <w:r w:rsidR="00505FAD">
        <w:rPr>
          <w:rFonts w:ascii="Arial" w:hAnsi="Arial" w:cs="Arial"/>
          <w:sz w:val="20"/>
          <w:szCs w:val="20"/>
        </w:rPr>
        <w:t>.  He sees this process as one which gets increasingly more corrupted and entrenched with each passing generation.  In contrast</w:t>
      </w:r>
      <w:r w:rsidR="0015527A">
        <w:rPr>
          <w:rFonts w:ascii="Arial" w:hAnsi="Arial" w:cs="Arial"/>
          <w:sz w:val="20"/>
          <w:szCs w:val="20"/>
        </w:rPr>
        <w:t>,</w:t>
      </w:r>
      <w:r w:rsidR="00505FAD">
        <w:rPr>
          <w:rFonts w:ascii="Arial" w:hAnsi="Arial" w:cs="Arial"/>
          <w:sz w:val="20"/>
          <w:szCs w:val="20"/>
        </w:rPr>
        <w:t xml:space="preserve"> Ibn Ezra is more circumspect in his later, Long Commentary on Daniel II.  Despite his biting attacks against </w:t>
      </w:r>
      <w:proofErr w:type="spellStart"/>
      <w:r w:rsidR="00505FAD">
        <w:rPr>
          <w:rFonts w:ascii="Arial" w:hAnsi="Arial" w:cs="Arial"/>
          <w:i/>
          <w:sz w:val="20"/>
          <w:szCs w:val="20"/>
        </w:rPr>
        <w:t>gematriyot</w:t>
      </w:r>
      <w:proofErr w:type="spellEnd"/>
      <w:r w:rsidR="00505FAD">
        <w:rPr>
          <w:rFonts w:ascii="Arial" w:hAnsi="Arial" w:cs="Arial"/>
          <w:sz w:val="20"/>
          <w:szCs w:val="20"/>
        </w:rPr>
        <w:t xml:space="preserve"> and </w:t>
      </w:r>
      <w:proofErr w:type="spellStart"/>
      <w:r w:rsidR="00505FAD">
        <w:rPr>
          <w:rFonts w:ascii="Arial" w:hAnsi="Arial" w:cs="Arial"/>
          <w:sz w:val="20"/>
          <w:szCs w:val="20"/>
        </w:rPr>
        <w:t>midrashic</w:t>
      </w:r>
      <w:proofErr w:type="spellEnd"/>
      <w:r w:rsidR="00505FAD">
        <w:rPr>
          <w:rFonts w:ascii="Arial" w:hAnsi="Arial" w:cs="Arial"/>
          <w:sz w:val="20"/>
          <w:szCs w:val="20"/>
        </w:rPr>
        <w:t xml:space="preserve"> explanations in both his commentaries I, II, Ibn Ezra does not attack its Ashkenazic practitioners directly in his later commentary.  Instead, he directs his criticism against an anonymous “great commentator in Spain” (Dan. 1:1).  He then states: “These [interpretations] are all full of air, since how is it possible that a person would speak a word, but his intent was another word?  And one who says this is considered crazy</w:t>
      </w:r>
      <w:r w:rsidR="00505FAD">
        <w:t xml:space="preserve"> (</w:t>
      </w:r>
      <w:r w:rsidR="00505FAD">
        <w:rPr>
          <w:rFonts w:ascii="David" w:eastAsiaTheme="minorHAnsi" w:hAnsi="David" w:cs="David"/>
          <w:rtl/>
          <w:lang w:bidi="he-IL"/>
        </w:rPr>
        <w:t>מהמשוּגעים הוא נחשב</w:t>
      </w:r>
      <w:r w:rsidR="00505FAD">
        <w:t xml:space="preserve">) … </w:t>
      </w:r>
      <w:r w:rsidR="00505FAD">
        <w:rPr>
          <w:rFonts w:ascii="Arial" w:hAnsi="Arial" w:cs="Arial"/>
          <w:sz w:val="20"/>
          <w:szCs w:val="20"/>
        </w:rPr>
        <w:t>And it would be better for him to say, ‘I don’t know,’ rather than to distort the words of … G</w:t>
      </w:r>
      <w:r w:rsidR="00680EA4">
        <w:rPr>
          <w:rFonts w:ascii="Arial" w:hAnsi="Arial" w:cs="Arial"/>
          <w:sz w:val="20"/>
          <w:szCs w:val="20"/>
        </w:rPr>
        <w:t>o</w:t>
      </w:r>
      <w:r w:rsidR="00505FAD">
        <w:rPr>
          <w:rFonts w:ascii="Arial" w:hAnsi="Arial" w:cs="Arial"/>
          <w:sz w:val="20"/>
          <w:szCs w:val="20"/>
        </w:rPr>
        <w:t xml:space="preserve">d.”  Ibn Ezra’s redirected tirade in this case is significant.  Scholars like Mondschein would likely attribute this change to his professional caution in </w:t>
      </w:r>
      <w:proofErr w:type="spellStart"/>
      <w:r w:rsidR="00505FAD">
        <w:rPr>
          <w:rFonts w:ascii="Arial" w:hAnsi="Arial" w:cs="Arial"/>
          <w:sz w:val="20"/>
          <w:szCs w:val="20"/>
        </w:rPr>
        <w:t>Ashkenaz</w:t>
      </w:r>
      <w:proofErr w:type="spellEnd"/>
      <w:r w:rsidR="00505FAD">
        <w:rPr>
          <w:rFonts w:ascii="Arial" w:hAnsi="Arial" w:cs="Arial"/>
          <w:sz w:val="20"/>
          <w:szCs w:val="20"/>
        </w:rPr>
        <w:t xml:space="preserve">.  However, it is also possible that Ibn Ezra’s change stems from a newfound sense of respect for the Ashkenazic practitioners of </w:t>
      </w:r>
      <w:proofErr w:type="spellStart"/>
      <w:r w:rsidR="00505FAD" w:rsidRPr="00FB1CFF">
        <w:rPr>
          <w:rFonts w:ascii="Arial" w:hAnsi="Arial" w:cs="Arial"/>
          <w:i/>
          <w:iCs/>
          <w:sz w:val="20"/>
          <w:szCs w:val="20"/>
        </w:rPr>
        <w:t>derash</w:t>
      </w:r>
      <w:proofErr w:type="spellEnd"/>
      <w:r w:rsidR="00505FAD">
        <w:rPr>
          <w:rFonts w:ascii="Arial" w:hAnsi="Arial" w:cs="Arial"/>
          <w:sz w:val="20"/>
          <w:szCs w:val="20"/>
        </w:rPr>
        <w:t>, which he developed during his time in Northern France.</w:t>
      </w:r>
    </w:p>
    <w:p w14:paraId="783BE0BB" w14:textId="5D73D4CB" w:rsidR="00DE25E2" w:rsidRDefault="00505FAD" w:rsidP="00D15E6B">
      <w:pPr>
        <w:spacing w:line="480" w:lineRule="auto"/>
        <w:rPr>
          <w:rFonts w:ascii="Arial" w:hAnsi="Arial" w:cs="Arial"/>
          <w:sz w:val="20"/>
          <w:szCs w:val="20"/>
        </w:rPr>
      </w:pPr>
      <w:bookmarkStart w:id="1" w:name="_Hlk39832331"/>
      <w:r>
        <w:rPr>
          <w:rFonts w:ascii="Arial" w:hAnsi="Arial" w:cs="Arial"/>
          <w:sz w:val="20"/>
          <w:szCs w:val="20"/>
        </w:rPr>
        <w:tab/>
        <w:t xml:space="preserve">This essay addressed the novel subject of Ibn Ezra’s acculturation in </w:t>
      </w:r>
      <w:proofErr w:type="spellStart"/>
      <w:r>
        <w:rPr>
          <w:rFonts w:ascii="Arial" w:hAnsi="Arial" w:cs="Arial"/>
          <w:sz w:val="20"/>
          <w:szCs w:val="20"/>
        </w:rPr>
        <w:t>Ashkenaz</w:t>
      </w:r>
      <w:proofErr w:type="spellEnd"/>
      <w:r w:rsidR="003F38AF">
        <w:rPr>
          <w:rFonts w:ascii="Arial" w:hAnsi="Arial" w:cs="Arial"/>
          <w:sz w:val="20"/>
          <w:szCs w:val="20"/>
        </w:rPr>
        <w:t>,</w:t>
      </w:r>
      <w:r>
        <w:rPr>
          <w:rFonts w:ascii="Arial" w:hAnsi="Arial" w:cs="Arial"/>
          <w:sz w:val="20"/>
          <w:szCs w:val="20"/>
        </w:rPr>
        <w:t xml:space="preserve"> by assessing his earlier and later exegetical works relative to each other and to </w:t>
      </w:r>
      <w:proofErr w:type="spellStart"/>
      <w:r>
        <w:rPr>
          <w:rFonts w:ascii="Arial" w:hAnsi="Arial" w:cs="Arial"/>
          <w:sz w:val="20"/>
          <w:szCs w:val="20"/>
        </w:rPr>
        <w:t>Rashi</w:t>
      </w:r>
      <w:proofErr w:type="spellEnd"/>
      <w:r>
        <w:rPr>
          <w:rFonts w:ascii="Arial" w:hAnsi="Arial" w:cs="Arial"/>
          <w:sz w:val="20"/>
          <w:szCs w:val="20"/>
        </w:rPr>
        <w:t xml:space="preserve">, the </w:t>
      </w:r>
      <w:r>
        <w:rPr>
          <w:rFonts w:asciiTheme="minorBidi" w:hAnsiTheme="minorBidi" w:cstheme="minorBidi"/>
          <w:sz w:val="20"/>
          <w:szCs w:val="20"/>
        </w:rPr>
        <w:t xml:space="preserve">representative Ashkenazic </w:t>
      </w:r>
      <w:proofErr w:type="spellStart"/>
      <w:r>
        <w:rPr>
          <w:rFonts w:asciiTheme="minorBidi" w:hAnsiTheme="minorBidi" w:cstheme="minorBidi"/>
          <w:i/>
          <w:iCs/>
          <w:sz w:val="20"/>
          <w:szCs w:val="20"/>
        </w:rPr>
        <w:t>pashtan</w:t>
      </w:r>
      <w:proofErr w:type="spellEnd"/>
      <w:r>
        <w:rPr>
          <w:rFonts w:asciiTheme="minorBidi" w:hAnsiTheme="minorBidi" w:cstheme="minorBidi"/>
          <w:sz w:val="20"/>
          <w:szCs w:val="20"/>
        </w:rPr>
        <w:t xml:space="preserve">.  </w:t>
      </w:r>
      <w:r w:rsidR="003F38AF">
        <w:rPr>
          <w:rFonts w:asciiTheme="minorBidi" w:hAnsiTheme="minorBidi" w:cstheme="minorBidi"/>
          <w:sz w:val="20"/>
          <w:szCs w:val="20"/>
        </w:rPr>
        <w:t>T</w:t>
      </w:r>
      <w:r>
        <w:rPr>
          <w:rFonts w:asciiTheme="minorBidi" w:hAnsiTheme="minorBidi" w:cstheme="minorBidi"/>
          <w:sz w:val="20"/>
          <w:szCs w:val="20"/>
        </w:rPr>
        <w:t>he scope</w:t>
      </w:r>
      <w:r w:rsidR="003F38AF">
        <w:rPr>
          <w:rFonts w:asciiTheme="minorBidi" w:hAnsiTheme="minorBidi" w:cstheme="minorBidi"/>
          <w:sz w:val="20"/>
          <w:szCs w:val="20"/>
        </w:rPr>
        <w:t xml:space="preserve"> of this paper</w:t>
      </w:r>
      <w:r>
        <w:rPr>
          <w:rFonts w:asciiTheme="minorBidi" w:hAnsiTheme="minorBidi" w:cstheme="minorBidi"/>
          <w:sz w:val="20"/>
          <w:szCs w:val="20"/>
        </w:rPr>
        <w:t xml:space="preserve"> was narrowly focused on </w:t>
      </w:r>
      <w:r w:rsidR="003F38AF">
        <w:rPr>
          <w:rFonts w:asciiTheme="minorBidi" w:hAnsiTheme="minorBidi" w:cstheme="minorBidi"/>
          <w:sz w:val="20"/>
          <w:szCs w:val="20"/>
        </w:rPr>
        <w:t>Ibn Ezra’s</w:t>
      </w:r>
      <w:r>
        <w:rPr>
          <w:rFonts w:asciiTheme="minorBidi" w:hAnsiTheme="minorBidi" w:cstheme="minorBidi"/>
          <w:sz w:val="20"/>
          <w:szCs w:val="20"/>
        </w:rPr>
        <w:t xml:space="preserve"> Introductions to Pentateuch I, II</w:t>
      </w:r>
      <w:r>
        <w:rPr>
          <w:rFonts w:ascii="Arial" w:hAnsi="Arial" w:cs="Arial"/>
          <w:sz w:val="20"/>
          <w:szCs w:val="20"/>
        </w:rPr>
        <w:t>, his Torah Commentaries I, II, and his Commentaries to Daniel I, II</w:t>
      </w:r>
      <w:r w:rsidR="003F38AF">
        <w:rPr>
          <w:rFonts w:ascii="Arial" w:hAnsi="Arial" w:cs="Arial"/>
          <w:sz w:val="20"/>
          <w:szCs w:val="20"/>
        </w:rPr>
        <w:t>.  Thus,</w:t>
      </w:r>
      <w:r>
        <w:rPr>
          <w:rFonts w:ascii="Arial" w:hAnsi="Arial" w:cs="Arial"/>
          <w:sz w:val="20"/>
          <w:szCs w:val="20"/>
        </w:rPr>
        <w:t xml:space="preserve"> a wide-ranging comparative analysis of all </w:t>
      </w:r>
      <w:r w:rsidR="003F38AF">
        <w:rPr>
          <w:rFonts w:ascii="Arial" w:hAnsi="Arial" w:cs="Arial"/>
          <w:sz w:val="20"/>
          <w:szCs w:val="20"/>
        </w:rPr>
        <w:t>hi</w:t>
      </w:r>
      <w:r>
        <w:rPr>
          <w:rFonts w:ascii="Arial" w:hAnsi="Arial" w:cs="Arial"/>
          <w:sz w:val="20"/>
          <w:szCs w:val="20"/>
        </w:rPr>
        <w:t xml:space="preserve">s early and later extant works would be needed to fully assess this issue.  Notwithstanding these limitations, it seems clear that Ibn Ezra did not modify his ideological-exegetical views to conform with his fellow Ashkenazic exegetes.  His principles remained consistent from his early years in Italy to his later years in Northern France.  What did change over time, however, was his tone and manner of address to his Ashkenazic readers during his residence in Christendom, </w:t>
      </w:r>
      <w:r w:rsidR="00104FC0">
        <w:rPr>
          <w:rFonts w:ascii="Arial" w:hAnsi="Arial" w:cs="Arial"/>
          <w:sz w:val="20"/>
          <w:szCs w:val="20"/>
        </w:rPr>
        <w:t xml:space="preserve">moving </w:t>
      </w:r>
      <w:r>
        <w:rPr>
          <w:rFonts w:ascii="Arial" w:hAnsi="Arial" w:cs="Arial"/>
          <w:sz w:val="20"/>
          <w:szCs w:val="20"/>
        </w:rPr>
        <w:t>from sarcasm and condescension to intellectual respect</w:t>
      </w:r>
      <w:r w:rsidRPr="003F38AF">
        <w:rPr>
          <w:rFonts w:ascii="Arial" w:hAnsi="Arial" w:cs="Arial"/>
          <w:sz w:val="20"/>
          <w:szCs w:val="20"/>
        </w:rPr>
        <w:t>.</w:t>
      </w:r>
      <w:r w:rsidR="0011598A" w:rsidRPr="003F38AF">
        <w:rPr>
          <w:rFonts w:ascii="Arial" w:hAnsi="Arial" w:cs="Arial"/>
          <w:sz w:val="20"/>
          <w:szCs w:val="20"/>
        </w:rPr>
        <w:t xml:space="preserve">  </w:t>
      </w:r>
      <w:r w:rsidR="00DE25E2" w:rsidRPr="003F38AF">
        <w:rPr>
          <w:rFonts w:ascii="Arial" w:hAnsi="Arial" w:cs="Arial"/>
          <w:sz w:val="20"/>
          <w:szCs w:val="20"/>
        </w:rPr>
        <w:t xml:space="preserve">Indeed, </w:t>
      </w:r>
      <w:r w:rsidR="00E20864" w:rsidRPr="003F38AF">
        <w:rPr>
          <w:rFonts w:ascii="Arial" w:hAnsi="Arial" w:cs="Arial"/>
          <w:sz w:val="20"/>
          <w:szCs w:val="20"/>
        </w:rPr>
        <w:t>Ibn Ezra’s</w:t>
      </w:r>
      <w:r w:rsidR="0011598A" w:rsidRPr="003F38AF">
        <w:rPr>
          <w:rFonts w:ascii="Arial" w:hAnsi="Arial" w:cs="Arial"/>
          <w:sz w:val="20"/>
          <w:szCs w:val="20"/>
        </w:rPr>
        <w:t xml:space="preserve"> later respect for </w:t>
      </w:r>
      <w:proofErr w:type="spellStart"/>
      <w:r w:rsidR="0011598A" w:rsidRPr="003F38AF">
        <w:rPr>
          <w:rFonts w:ascii="Arial" w:hAnsi="Arial" w:cs="Arial"/>
          <w:i/>
          <w:iCs/>
          <w:sz w:val="20"/>
          <w:szCs w:val="20"/>
        </w:rPr>
        <w:t>derash</w:t>
      </w:r>
      <w:proofErr w:type="spellEnd"/>
      <w:r w:rsidR="0011598A" w:rsidRPr="003F38AF">
        <w:rPr>
          <w:rFonts w:ascii="Arial" w:hAnsi="Arial" w:cs="Arial"/>
          <w:sz w:val="20"/>
          <w:szCs w:val="20"/>
        </w:rPr>
        <w:t xml:space="preserve">-exegesis is neither a form of “cultural tolerance” nor expedience; rather it is a recognition of the value of </w:t>
      </w:r>
      <w:r w:rsidR="0011598A" w:rsidRPr="00FB1CFF">
        <w:rPr>
          <w:rFonts w:ascii="Arial" w:hAnsi="Arial" w:cs="Arial"/>
          <w:sz w:val="20"/>
          <w:szCs w:val="20"/>
        </w:rPr>
        <w:t>religious</w:t>
      </w:r>
      <w:r w:rsidR="00104FC0">
        <w:rPr>
          <w:rFonts w:ascii="Arial" w:hAnsi="Arial" w:cs="Arial"/>
          <w:sz w:val="20"/>
          <w:szCs w:val="20"/>
        </w:rPr>
        <w:t>,</w:t>
      </w:r>
      <w:r w:rsidR="0011598A" w:rsidRPr="003F38AF">
        <w:rPr>
          <w:rFonts w:ascii="Arial" w:hAnsi="Arial" w:cs="Arial"/>
          <w:sz w:val="20"/>
          <w:szCs w:val="20"/>
        </w:rPr>
        <w:t xml:space="preserve"> exegetical diversity in </w:t>
      </w:r>
      <w:proofErr w:type="spellStart"/>
      <w:r w:rsidR="0011598A" w:rsidRPr="003F38AF">
        <w:rPr>
          <w:rFonts w:ascii="Arial" w:hAnsi="Arial" w:cs="Arial"/>
          <w:sz w:val="20"/>
          <w:szCs w:val="20"/>
        </w:rPr>
        <w:t>Ashkenaz</w:t>
      </w:r>
      <w:proofErr w:type="spellEnd"/>
      <w:r w:rsidR="003F38AF" w:rsidRPr="003F38AF">
        <w:rPr>
          <w:rFonts w:ascii="Arial" w:hAnsi="Arial" w:cs="Arial"/>
          <w:sz w:val="20"/>
          <w:szCs w:val="20"/>
        </w:rPr>
        <w:t>,</w:t>
      </w:r>
      <w:r w:rsidR="0011598A" w:rsidRPr="003F38AF">
        <w:rPr>
          <w:rFonts w:ascii="Arial" w:hAnsi="Arial" w:cs="Arial"/>
          <w:sz w:val="20"/>
          <w:szCs w:val="20"/>
        </w:rPr>
        <w:t xml:space="preserve"> under the rubric of </w:t>
      </w:r>
      <w:proofErr w:type="spellStart"/>
      <w:r w:rsidR="0011598A" w:rsidRPr="003F38AF">
        <w:rPr>
          <w:rFonts w:ascii="Arial" w:hAnsi="Arial" w:cs="Arial"/>
          <w:i/>
          <w:iCs/>
          <w:sz w:val="20"/>
          <w:szCs w:val="20"/>
        </w:rPr>
        <w:t>Shiv’im</w:t>
      </w:r>
      <w:proofErr w:type="spellEnd"/>
      <w:r w:rsidR="0011598A" w:rsidRPr="003F38AF">
        <w:rPr>
          <w:rFonts w:ascii="Arial" w:hAnsi="Arial" w:cs="Arial"/>
          <w:i/>
          <w:iCs/>
          <w:sz w:val="20"/>
          <w:szCs w:val="20"/>
        </w:rPr>
        <w:t xml:space="preserve"> </w:t>
      </w:r>
      <w:proofErr w:type="spellStart"/>
      <w:r w:rsidR="0011598A" w:rsidRPr="003F38AF">
        <w:rPr>
          <w:rFonts w:ascii="Arial" w:hAnsi="Arial" w:cs="Arial"/>
          <w:i/>
          <w:iCs/>
          <w:sz w:val="20"/>
          <w:szCs w:val="20"/>
        </w:rPr>
        <w:t>Panim</w:t>
      </w:r>
      <w:proofErr w:type="spellEnd"/>
      <w:r w:rsidR="0011598A" w:rsidRPr="003F38AF">
        <w:rPr>
          <w:rFonts w:ascii="Arial" w:hAnsi="Arial" w:cs="Arial"/>
          <w:i/>
          <w:iCs/>
          <w:sz w:val="20"/>
          <w:szCs w:val="20"/>
        </w:rPr>
        <w:t xml:space="preserve"> </w:t>
      </w:r>
      <w:proofErr w:type="spellStart"/>
      <w:r w:rsidR="0011598A" w:rsidRPr="003F38AF">
        <w:rPr>
          <w:rFonts w:ascii="Arial" w:hAnsi="Arial" w:cs="Arial"/>
          <w:i/>
          <w:iCs/>
          <w:sz w:val="20"/>
          <w:szCs w:val="20"/>
        </w:rPr>
        <w:t>le’Torah</w:t>
      </w:r>
      <w:proofErr w:type="spellEnd"/>
      <w:r w:rsidR="0011598A" w:rsidRPr="003F38AF">
        <w:rPr>
          <w:rFonts w:ascii="Arial" w:hAnsi="Arial" w:cs="Arial"/>
          <w:sz w:val="20"/>
          <w:szCs w:val="20"/>
        </w:rPr>
        <w:t>.</w:t>
      </w:r>
      <w:r w:rsidR="0011598A">
        <w:rPr>
          <w:rFonts w:ascii="Arial" w:hAnsi="Arial" w:cs="Arial"/>
          <w:sz w:val="20"/>
          <w:szCs w:val="20"/>
        </w:rPr>
        <w:t xml:space="preserve">  </w:t>
      </w:r>
      <w:r w:rsidR="00DE25E2">
        <w:rPr>
          <w:rFonts w:ascii="Arial" w:hAnsi="Arial" w:cs="Arial"/>
          <w:sz w:val="20"/>
          <w:szCs w:val="20"/>
        </w:rPr>
        <w:br w:type="page"/>
      </w:r>
    </w:p>
    <w:p w14:paraId="2C2950DC" w14:textId="77777777" w:rsidR="00505FAD" w:rsidRDefault="00505FAD" w:rsidP="00505FAD">
      <w:pPr>
        <w:spacing w:line="480" w:lineRule="auto"/>
        <w:rPr>
          <w:rFonts w:ascii="Arial" w:hAnsi="Arial" w:cs="Arial"/>
          <w:sz w:val="20"/>
          <w:szCs w:val="20"/>
        </w:rPr>
      </w:pPr>
    </w:p>
    <w:bookmarkEnd w:id="1"/>
    <w:p w14:paraId="480FC331" w14:textId="77777777" w:rsidR="00505FAD" w:rsidRDefault="00505FAD" w:rsidP="00505FAD">
      <w:pPr>
        <w:spacing w:line="480" w:lineRule="auto"/>
        <w:jc w:val="center"/>
        <w:rPr>
          <w:rFonts w:asciiTheme="minorBidi" w:hAnsiTheme="minorBidi" w:cstheme="minorBidi"/>
          <w:b/>
          <w:bCs/>
          <w:sz w:val="20"/>
          <w:szCs w:val="20"/>
        </w:rPr>
      </w:pPr>
      <w:r>
        <w:rPr>
          <w:rFonts w:asciiTheme="minorBidi" w:hAnsiTheme="minorBidi" w:cstheme="minorBidi"/>
          <w:b/>
          <w:bCs/>
          <w:sz w:val="20"/>
          <w:szCs w:val="20"/>
        </w:rPr>
        <w:t>APPENDIX</w:t>
      </w:r>
    </w:p>
    <w:tbl>
      <w:tblPr>
        <w:tblW w:w="0" w:type="auto"/>
        <w:tblInd w:w="-10" w:type="dxa"/>
        <w:tblLayout w:type="fixed"/>
        <w:tblCellMar>
          <w:left w:w="70" w:type="dxa"/>
          <w:right w:w="70" w:type="dxa"/>
        </w:tblCellMar>
        <w:tblLook w:val="04A0" w:firstRow="1" w:lastRow="0" w:firstColumn="1" w:lastColumn="0" w:noHBand="0" w:noVBand="1"/>
      </w:tblPr>
      <w:tblGrid>
        <w:gridCol w:w="520"/>
        <w:gridCol w:w="1065"/>
        <w:gridCol w:w="1155"/>
        <w:gridCol w:w="1665"/>
        <w:gridCol w:w="2235"/>
        <w:gridCol w:w="2730"/>
      </w:tblGrid>
      <w:tr w:rsidR="00505FAD" w14:paraId="75652275" w14:textId="77777777" w:rsidTr="00505FAD">
        <w:trPr>
          <w:cantSplit/>
          <w:tblHeader/>
        </w:trPr>
        <w:tc>
          <w:tcPr>
            <w:tcW w:w="520" w:type="dxa"/>
            <w:tcBorders>
              <w:top w:val="single" w:sz="8" w:space="0" w:color="000000"/>
              <w:left w:val="single" w:sz="8" w:space="0" w:color="000000"/>
              <w:bottom w:val="single" w:sz="8" w:space="0" w:color="000000"/>
              <w:right w:val="single" w:sz="8" w:space="0" w:color="000000"/>
            </w:tcBorders>
          </w:tcPr>
          <w:p w14:paraId="1FBFFC47" w14:textId="77777777" w:rsidR="00505FAD" w:rsidRDefault="00505FAD">
            <w:pPr>
              <w:autoSpaceDE w:val="0"/>
              <w:autoSpaceDN w:val="0"/>
              <w:adjustRightInd w:val="0"/>
              <w:spacing w:line="256" w:lineRule="auto"/>
              <w:rPr>
                <w:rFonts w:eastAsiaTheme="minorHAnsi"/>
                <w:lang w:bidi="he-IL"/>
              </w:rPr>
            </w:pPr>
          </w:p>
        </w:tc>
        <w:tc>
          <w:tcPr>
            <w:tcW w:w="1065" w:type="dxa"/>
            <w:tcBorders>
              <w:top w:val="single" w:sz="8" w:space="0" w:color="000000"/>
              <w:left w:val="single" w:sz="8" w:space="0" w:color="000000"/>
              <w:bottom w:val="single" w:sz="8" w:space="0" w:color="000000"/>
              <w:right w:val="single" w:sz="8" w:space="0" w:color="000000"/>
            </w:tcBorders>
          </w:tcPr>
          <w:p w14:paraId="233E0297" w14:textId="77777777" w:rsidR="00505FAD" w:rsidRDefault="00505FAD">
            <w:pPr>
              <w:autoSpaceDE w:val="0"/>
              <w:autoSpaceDN w:val="0"/>
              <w:adjustRightInd w:val="0"/>
              <w:spacing w:line="256" w:lineRule="auto"/>
              <w:jc w:val="center"/>
              <w:rPr>
                <w:rFonts w:eastAsiaTheme="minorHAnsi"/>
                <w:lang w:bidi="he-IL"/>
              </w:rPr>
            </w:pPr>
            <w:r>
              <w:rPr>
                <w:rFonts w:eastAsiaTheme="minorHAnsi"/>
                <w:b/>
                <w:color w:val="000000"/>
                <w:lang w:bidi="he-IL"/>
              </w:rPr>
              <w:t>Source</w:t>
            </w:r>
          </w:p>
          <w:p w14:paraId="1CF629AF" w14:textId="77777777" w:rsidR="00505FAD" w:rsidRDefault="00505FAD">
            <w:pPr>
              <w:autoSpaceDE w:val="0"/>
              <w:autoSpaceDN w:val="0"/>
              <w:adjustRightInd w:val="0"/>
              <w:spacing w:line="256" w:lineRule="auto"/>
              <w:rPr>
                <w:rFonts w:eastAsiaTheme="minorHAnsi"/>
                <w:lang w:bidi="he-IL"/>
              </w:rPr>
            </w:pPr>
          </w:p>
        </w:tc>
        <w:tc>
          <w:tcPr>
            <w:tcW w:w="1155" w:type="dxa"/>
            <w:tcBorders>
              <w:top w:val="single" w:sz="8" w:space="0" w:color="000000"/>
              <w:left w:val="single" w:sz="8" w:space="0" w:color="000000"/>
              <w:bottom w:val="single" w:sz="8" w:space="0" w:color="000000"/>
              <w:right w:val="single" w:sz="8" w:space="0" w:color="000000"/>
            </w:tcBorders>
            <w:hideMark/>
          </w:tcPr>
          <w:p w14:paraId="2AA9D559" w14:textId="77777777" w:rsidR="00505FAD" w:rsidRDefault="00505FAD">
            <w:pPr>
              <w:autoSpaceDE w:val="0"/>
              <w:autoSpaceDN w:val="0"/>
              <w:adjustRightInd w:val="0"/>
              <w:spacing w:line="256" w:lineRule="auto"/>
              <w:rPr>
                <w:rFonts w:eastAsiaTheme="minorHAnsi"/>
                <w:lang w:bidi="he-IL"/>
              </w:rPr>
            </w:pPr>
            <w:r>
              <w:rPr>
                <w:rFonts w:eastAsiaTheme="minorHAnsi"/>
                <w:b/>
                <w:color w:val="000000"/>
                <w:lang w:bidi="he-IL"/>
              </w:rPr>
              <w:t xml:space="preserve">Long </w:t>
            </w:r>
          </w:p>
          <w:p w14:paraId="506A88B4" w14:textId="77777777" w:rsidR="00505FAD" w:rsidRDefault="00505FAD">
            <w:pPr>
              <w:autoSpaceDE w:val="0"/>
              <w:autoSpaceDN w:val="0"/>
              <w:adjustRightInd w:val="0"/>
              <w:spacing w:line="256" w:lineRule="auto"/>
              <w:rPr>
                <w:rFonts w:eastAsiaTheme="minorHAnsi"/>
                <w:lang w:bidi="he-IL"/>
              </w:rPr>
            </w:pPr>
            <w:r>
              <w:rPr>
                <w:rFonts w:eastAsiaTheme="minorHAnsi"/>
                <w:b/>
                <w:color w:val="000000"/>
                <w:lang w:bidi="he-IL"/>
              </w:rPr>
              <w:t xml:space="preserve">or </w:t>
            </w:r>
          </w:p>
          <w:p w14:paraId="220B4546" w14:textId="77777777" w:rsidR="00505FAD" w:rsidRDefault="00505FAD">
            <w:pPr>
              <w:autoSpaceDE w:val="0"/>
              <w:autoSpaceDN w:val="0"/>
              <w:adjustRightInd w:val="0"/>
              <w:spacing w:line="256" w:lineRule="auto"/>
              <w:rPr>
                <w:rFonts w:eastAsiaTheme="minorHAnsi"/>
                <w:lang w:bidi="he-IL"/>
              </w:rPr>
            </w:pPr>
            <w:r>
              <w:rPr>
                <w:rFonts w:eastAsiaTheme="minorHAnsi"/>
                <w:b/>
                <w:color w:val="000000"/>
                <w:lang w:bidi="he-IL"/>
              </w:rPr>
              <w:t>Short version</w:t>
            </w:r>
          </w:p>
        </w:tc>
        <w:tc>
          <w:tcPr>
            <w:tcW w:w="1665" w:type="dxa"/>
            <w:tcBorders>
              <w:top w:val="single" w:sz="8" w:space="0" w:color="000000"/>
              <w:left w:val="single" w:sz="8" w:space="0" w:color="000000"/>
              <w:bottom w:val="single" w:sz="8" w:space="0" w:color="000000"/>
              <w:right w:val="single" w:sz="8" w:space="0" w:color="000000"/>
            </w:tcBorders>
            <w:hideMark/>
          </w:tcPr>
          <w:p w14:paraId="256D46C7" w14:textId="77777777" w:rsidR="00505FAD" w:rsidRDefault="00505FAD">
            <w:pPr>
              <w:autoSpaceDE w:val="0"/>
              <w:autoSpaceDN w:val="0"/>
              <w:adjustRightInd w:val="0"/>
              <w:spacing w:line="256" w:lineRule="auto"/>
              <w:rPr>
                <w:rFonts w:eastAsiaTheme="minorHAnsi"/>
                <w:lang w:bidi="he-IL"/>
              </w:rPr>
            </w:pPr>
            <w:r>
              <w:rPr>
                <w:rFonts w:eastAsiaTheme="minorHAnsi" w:cs="David"/>
                <w:bCs/>
                <w:color w:val="000000"/>
                <w:szCs w:val="28"/>
                <w:rtl/>
                <w:lang w:bidi="he-IL"/>
              </w:rPr>
              <w:t>דבור המתחיל</w:t>
            </w:r>
          </w:p>
        </w:tc>
        <w:tc>
          <w:tcPr>
            <w:tcW w:w="2235" w:type="dxa"/>
            <w:tcBorders>
              <w:top w:val="single" w:sz="8" w:space="0" w:color="000000"/>
              <w:left w:val="single" w:sz="8" w:space="0" w:color="000000"/>
              <w:bottom w:val="single" w:sz="8" w:space="0" w:color="000000"/>
              <w:right w:val="single" w:sz="8" w:space="0" w:color="000000"/>
            </w:tcBorders>
            <w:hideMark/>
          </w:tcPr>
          <w:p w14:paraId="6C410A8B" w14:textId="77777777" w:rsidR="00505FAD" w:rsidRDefault="00505FAD">
            <w:pPr>
              <w:autoSpaceDE w:val="0"/>
              <w:autoSpaceDN w:val="0"/>
              <w:adjustRightInd w:val="0"/>
              <w:spacing w:line="256" w:lineRule="auto"/>
              <w:rPr>
                <w:rFonts w:eastAsiaTheme="minorHAnsi"/>
                <w:lang w:bidi="he-IL"/>
              </w:rPr>
            </w:pPr>
            <w:r>
              <w:rPr>
                <w:rFonts w:eastAsiaTheme="minorHAnsi"/>
                <w:b/>
                <w:color w:val="000000"/>
                <w:lang w:bidi="he-IL"/>
              </w:rPr>
              <w:t xml:space="preserve">Ibn Ezra’s Commentary and References to </w:t>
            </w:r>
            <w:proofErr w:type="spellStart"/>
            <w:r>
              <w:rPr>
                <w:rFonts w:eastAsiaTheme="minorHAnsi"/>
                <w:b/>
                <w:color w:val="000000"/>
                <w:lang w:bidi="he-IL"/>
              </w:rPr>
              <w:t>Rashi</w:t>
            </w:r>
            <w:proofErr w:type="spellEnd"/>
          </w:p>
        </w:tc>
        <w:tc>
          <w:tcPr>
            <w:tcW w:w="2730" w:type="dxa"/>
            <w:tcBorders>
              <w:top w:val="single" w:sz="8" w:space="0" w:color="000000"/>
              <w:left w:val="single" w:sz="8" w:space="0" w:color="000000"/>
              <w:bottom w:val="single" w:sz="8" w:space="0" w:color="000000"/>
              <w:right w:val="single" w:sz="8" w:space="0" w:color="000000"/>
            </w:tcBorders>
            <w:hideMark/>
          </w:tcPr>
          <w:p w14:paraId="163E76ED" w14:textId="77777777" w:rsidR="00505FAD" w:rsidRDefault="00505FAD">
            <w:pPr>
              <w:autoSpaceDE w:val="0"/>
              <w:autoSpaceDN w:val="0"/>
              <w:adjustRightInd w:val="0"/>
              <w:spacing w:line="256" w:lineRule="auto"/>
              <w:rPr>
                <w:rFonts w:eastAsiaTheme="minorHAnsi"/>
                <w:lang w:bidi="he-IL"/>
              </w:rPr>
            </w:pPr>
            <w:r>
              <w:rPr>
                <w:rFonts w:eastAsiaTheme="minorHAnsi"/>
                <w:b/>
                <w:color w:val="000000"/>
                <w:lang w:bidi="he-IL"/>
              </w:rPr>
              <w:t>Comments</w:t>
            </w:r>
          </w:p>
        </w:tc>
      </w:tr>
      <w:tr w:rsidR="00505FAD" w14:paraId="3CC47A0E" w14:textId="77777777" w:rsidTr="00505FAD">
        <w:trPr>
          <w:cantSplit/>
        </w:trPr>
        <w:tc>
          <w:tcPr>
            <w:tcW w:w="520" w:type="dxa"/>
            <w:tcBorders>
              <w:top w:val="single" w:sz="8" w:space="0" w:color="000000"/>
              <w:left w:val="single" w:sz="8" w:space="0" w:color="000000"/>
              <w:bottom w:val="nil"/>
              <w:right w:val="single" w:sz="8" w:space="0" w:color="000000"/>
            </w:tcBorders>
            <w:hideMark/>
          </w:tcPr>
          <w:p w14:paraId="43E7E3D5"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1.</w:t>
            </w:r>
          </w:p>
        </w:tc>
        <w:tc>
          <w:tcPr>
            <w:tcW w:w="1065" w:type="dxa"/>
            <w:tcBorders>
              <w:top w:val="single" w:sz="8" w:space="0" w:color="000000"/>
              <w:left w:val="single" w:sz="8" w:space="0" w:color="000000"/>
              <w:bottom w:val="nil"/>
              <w:right w:val="single" w:sz="8" w:space="0" w:color="000000"/>
            </w:tcBorders>
            <w:hideMark/>
          </w:tcPr>
          <w:p w14:paraId="321C29A3" w14:textId="77777777" w:rsidR="00505FAD" w:rsidRDefault="00505FAD">
            <w:pPr>
              <w:autoSpaceDE w:val="0"/>
              <w:autoSpaceDN w:val="0"/>
              <w:adjustRightInd w:val="0"/>
              <w:spacing w:line="256" w:lineRule="auto"/>
              <w:jc w:val="both"/>
              <w:rPr>
                <w:rFonts w:eastAsiaTheme="minorHAnsi"/>
                <w:lang w:bidi="he-IL"/>
              </w:rPr>
            </w:pPr>
            <w:proofErr w:type="spellStart"/>
            <w:r>
              <w:rPr>
                <w:rFonts w:eastAsiaTheme="minorHAnsi"/>
                <w:color w:val="000000"/>
                <w:lang w:bidi="he-IL"/>
              </w:rPr>
              <w:t>Bereishit</w:t>
            </w:r>
            <w:proofErr w:type="spellEnd"/>
            <w:r>
              <w:rPr>
                <w:rFonts w:eastAsiaTheme="minorHAnsi"/>
                <w:color w:val="000000"/>
                <w:lang w:bidi="he-IL"/>
              </w:rPr>
              <w:t xml:space="preserve"> </w:t>
            </w:r>
          </w:p>
          <w:p w14:paraId="7D762216"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32:9</w:t>
            </w:r>
          </w:p>
        </w:tc>
        <w:tc>
          <w:tcPr>
            <w:tcW w:w="1155" w:type="dxa"/>
            <w:tcBorders>
              <w:top w:val="single" w:sz="8" w:space="0" w:color="000000"/>
              <w:left w:val="single" w:sz="8" w:space="0" w:color="000000"/>
              <w:bottom w:val="nil"/>
              <w:right w:val="single" w:sz="8" w:space="0" w:color="000000"/>
            </w:tcBorders>
          </w:tcPr>
          <w:p w14:paraId="380697F5"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Short</w:t>
            </w:r>
          </w:p>
          <w:p w14:paraId="7000767B"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(Standard version M”G)</w:t>
            </w:r>
          </w:p>
          <w:p w14:paraId="5CCE3CC6" w14:textId="77777777" w:rsidR="00505FAD" w:rsidRDefault="00505FAD">
            <w:pPr>
              <w:autoSpaceDE w:val="0"/>
              <w:autoSpaceDN w:val="0"/>
              <w:adjustRightInd w:val="0"/>
              <w:spacing w:line="256" w:lineRule="auto"/>
              <w:jc w:val="both"/>
              <w:rPr>
                <w:rFonts w:eastAsiaTheme="minorHAnsi"/>
                <w:lang w:bidi="he-IL"/>
              </w:rPr>
            </w:pPr>
          </w:p>
          <w:p w14:paraId="6EFE6DF0" w14:textId="77777777" w:rsidR="00505FAD" w:rsidRDefault="00505FAD">
            <w:pPr>
              <w:autoSpaceDE w:val="0"/>
              <w:autoSpaceDN w:val="0"/>
              <w:adjustRightInd w:val="0"/>
              <w:spacing w:line="256" w:lineRule="auto"/>
              <w:rPr>
                <w:rFonts w:eastAsiaTheme="minorHAnsi"/>
                <w:lang w:bidi="he-IL"/>
              </w:rPr>
            </w:pPr>
          </w:p>
        </w:tc>
        <w:tc>
          <w:tcPr>
            <w:tcW w:w="1665" w:type="dxa"/>
            <w:tcBorders>
              <w:top w:val="single" w:sz="8" w:space="0" w:color="000000"/>
              <w:left w:val="single" w:sz="8" w:space="0" w:color="000000"/>
              <w:bottom w:val="nil"/>
              <w:right w:val="single" w:sz="8" w:space="0" w:color="000000"/>
            </w:tcBorders>
            <w:hideMark/>
          </w:tcPr>
          <w:p w14:paraId="31CC939D"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וְהָיָ֛ה הַמַּֽחֲנֶ֥ה הַנִּשְׁאָ֖ר לִפְלֵיטָֽה</w:t>
            </w:r>
          </w:p>
        </w:tc>
        <w:tc>
          <w:tcPr>
            <w:tcW w:w="2235" w:type="dxa"/>
            <w:tcBorders>
              <w:top w:val="single" w:sz="8" w:space="0" w:color="000000"/>
              <w:left w:val="single" w:sz="8" w:space="0" w:color="000000"/>
              <w:bottom w:val="nil"/>
              <w:right w:val="single" w:sz="8" w:space="0" w:color="000000"/>
            </w:tcBorders>
            <w:hideMark/>
          </w:tcPr>
          <w:p w14:paraId="1047B898"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ומה שאמר רבינו שלמה שיהיה לפליטה בעל כרחו הוא דרך דרש...</w:t>
            </w:r>
          </w:p>
        </w:tc>
        <w:tc>
          <w:tcPr>
            <w:tcW w:w="2730" w:type="dxa"/>
            <w:tcBorders>
              <w:top w:val="single" w:sz="8" w:space="0" w:color="000000"/>
              <w:left w:val="single" w:sz="8" w:space="0" w:color="000000"/>
              <w:bottom w:val="nil"/>
              <w:right w:val="single" w:sz="8" w:space="0" w:color="000000"/>
            </w:tcBorders>
            <w:hideMark/>
          </w:tcPr>
          <w:p w14:paraId="2A81486E"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 xml:space="preserve">IE dismisses </w:t>
            </w:r>
            <w:proofErr w:type="spellStart"/>
            <w:r>
              <w:rPr>
                <w:rFonts w:eastAsiaTheme="minorHAnsi"/>
                <w:color w:val="000000"/>
                <w:lang w:bidi="he-IL"/>
              </w:rPr>
              <w:t>Rashi’s</w:t>
            </w:r>
            <w:proofErr w:type="spellEnd"/>
            <w:r>
              <w:rPr>
                <w:rFonts w:eastAsiaTheme="minorHAnsi"/>
                <w:color w:val="000000"/>
                <w:lang w:bidi="he-IL"/>
              </w:rPr>
              <w:t xml:space="preserve"> view as </w:t>
            </w:r>
            <w:proofErr w:type="spellStart"/>
            <w:r>
              <w:rPr>
                <w:rFonts w:eastAsiaTheme="minorHAnsi"/>
                <w:i/>
                <w:iCs/>
                <w:color w:val="000000"/>
                <w:lang w:bidi="he-IL"/>
              </w:rPr>
              <w:t>derash</w:t>
            </w:r>
            <w:proofErr w:type="spellEnd"/>
          </w:p>
        </w:tc>
      </w:tr>
      <w:tr w:rsidR="00505FAD" w14:paraId="7B2F0FD0" w14:textId="77777777" w:rsidTr="00505FAD">
        <w:trPr>
          <w:cantSplit/>
        </w:trPr>
        <w:tc>
          <w:tcPr>
            <w:tcW w:w="520" w:type="dxa"/>
            <w:tcBorders>
              <w:top w:val="nil"/>
              <w:left w:val="single" w:sz="8" w:space="0" w:color="000000"/>
              <w:bottom w:val="nil"/>
              <w:right w:val="single" w:sz="8" w:space="0" w:color="000000"/>
            </w:tcBorders>
            <w:hideMark/>
          </w:tcPr>
          <w:p w14:paraId="588B399C"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2.</w:t>
            </w:r>
          </w:p>
        </w:tc>
        <w:tc>
          <w:tcPr>
            <w:tcW w:w="1065" w:type="dxa"/>
            <w:tcBorders>
              <w:top w:val="nil"/>
              <w:left w:val="single" w:sz="8" w:space="0" w:color="000000"/>
              <w:bottom w:val="nil"/>
              <w:right w:val="single" w:sz="8" w:space="0" w:color="000000"/>
            </w:tcBorders>
            <w:hideMark/>
          </w:tcPr>
          <w:p w14:paraId="702DFD4C" w14:textId="77777777" w:rsidR="00505FAD" w:rsidRDefault="00505FAD">
            <w:pPr>
              <w:autoSpaceDE w:val="0"/>
              <w:autoSpaceDN w:val="0"/>
              <w:adjustRightInd w:val="0"/>
              <w:spacing w:line="256" w:lineRule="auto"/>
              <w:rPr>
                <w:rFonts w:eastAsiaTheme="minorHAnsi"/>
                <w:lang w:bidi="he-IL"/>
              </w:rPr>
            </w:pPr>
            <w:proofErr w:type="spellStart"/>
            <w:r>
              <w:rPr>
                <w:rFonts w:eastAsiaTheme="minorHAnsi"/>
                <w:color w:val="000000"/>
                <w:lang w:bidi="he-IL"/>
              </w:rPr>
              <w:t>Shemot</w:t>
            </w:r>
            <w:proofErr w:type="spellEnd"/>
            <w:r>
              <w:rPr>
                <w:rFonts w:eastAsiaTheme="minorHAnsi"/>
                <w:color w:val="000000"/>
                <w:lang w:bidi="he-IL"/>
              </w:rPr>
              <w:t xml:space="preserve"> 28:30</w:t>
            </w:r>
          </w:p>
        </w:tc>
        <w:tc>
          <w:tcPr>
            <w:tcW w:w="1155" w:type="dxa"/>
            <w:tcBorders>
              <w:top w:val="nil"/>
              <w:left w:val="single" w:sz="8" w:space="0" w:color="000000"/>
              <w:bottom w:val="nil"/>
              <w:right w:val="single" w:sz="8" w:space="0" w:color="000000"/>
            </w:tcBorders>
            <w:hideMark/>
          </w:tcPr>
          <w:p w14:paraId="2F5B2E78" w14:textId="77777777" w:rsidR="00505FAD" w:rsidRDefault="00505FAD">
            <w:pPr>
              <w:autoSpaceDE w:val="0"/>
              <w:autoSpaceDN w:val="0"/>
              <w:adjustRightInd w:val="0"/>
              <w:spacing w:line="256" w:lineRule="auto"/>
              <w:jc w:val="both"/>
              <w:rPr>
                <w:rFonts w:eastAsiaTheme="minorHAnsi"/>
                <w:lang w:bidi="he-IL"/>
              </w:rPr>
            </w:pPr>
            <w:r>
              <w:rPr>
                <w:rFonts w:eastAsiaTheme="minorHAnsi"/>
                <w:color w:val="000000"/>
                <w:lang w:bidi="he-IL"/>
              </w:rPr>
              <w:t xml:space="preserve">Short </w:t>
            </w:r>
          </w:p>
          <w:p w14:paraId="58126DC3" w14:textId="77777777" w:rsidR="00505FAD" w:rsidRDefault="00505FAD">
            <w:pPr>
              <w:autoSpaceDE w:val="0"/>
              <w:autoSpaceDN w:val="0"/>
              <w:adjustRightInd w:val="0"/>
              <w:spacing w:line="256" w:lineRule="auto"/>
              <w:jc w:val="both"/>
              <w:rPr>
                <w:rFonts w:eastAsiaTheme="minorHAnsi"/>
                <w:lang w:bidi="he-IL"/>
              </w:rPr>
            </w:pPr>
            <w:r>
              <w:rPr>
                <w:rFonts w:eastAsiaTheme="minorHAnsi"/>
                <w:color w:val="000000"/>
                <w:lang w:bidi="he-IL"/>
              </w:rPr>
              <w:t>(Non-</w:t>
            </w:r>
          </w:p>
          <w:p w14:paraId="5609A635"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standard version)</w:t>
            </w:r>
          </w:p>
        </w:tc>
        <w:tc>
          <w:tcPr>
            <w:tcW w:w="1665" w:type="dxa"/>
            <w:tcBorders>
              <w:top w:val="nil"/>
              <w:left w:val="single" w:sz="8" w:space="0" w:color="000000"/>
              <w:bottom w:val="nil"/>
              <w:right w:val="single" w:sz="8" w:space="0" w:color="000000"/>
            </w:tcBorders>
            <w:hideMark/>
          </w:tcPr>
          <w:p w14:paraId="4B3A2D53"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וְנָֽתַתָּ֞ אֶל־חֹ֣שֶׁן הַמִּשְׁפָּ֗ט אֶת־הָֽאוּרִים֙ וְאֶת־הַתֻּמִּ֔ים</w:t>
            </w:r>
          </w:p>
        </w:tc>
        <w:tc>
          <w:tcPr>
            <w:tcW w:w="2235" w:type="dxa"/>
            <w:tcBorders>
              <w:top w:val="nil"/>
              <w:left w:val="single" w:sz="8" w:space="0" w:color="000000"/>
              <w:bottom w:val="nil"/>
              <w:right w:val="single" w:sz="8" w:space="0" w:color="000000"/>
            </w:tcBorders>
            <w:hideMark/>
          </w:tcPr>
          <w:p w14:paraId="11E99C7A"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ורב שלמה מפרש התורה מ"כ [מצאתי כתוב] כי האו"ת בשם המפורש... ועתה פקח עיניך...</w:t>
            </w:r>
          </w:p>
        </w:tc>
        <w:tc>
          <w:tcPr>
            <w:tcW w:w="2730" w:type="dxa"/>
            <w:tcBorders>
              <w:top w:val="nil"/>
              <w:left w:val="single" w:sz="8" w:space="0" w:color="000000"/>
              <w:bottom w:val="nil"/>
              <w:right w:val="single" w:sz="8" w:space="0" w:color="000000"/>
            </w:tcBorders>
            <w:hideMark/>
          </w:tcPr>
          <w:p w14:paraId="4A24A732"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“Open your eyes” appears sarcastic</w:t>
            </w:r>
          </w:p>
        </w:tc>
      </w:tr>
      <w:tr w:rsidR="00505FAD" w14:paraId="7C0852FB" w14:textId="77777777" w:rsidTr="00505FAD">
        <w:trPr>
          <w:cantSplit/>
        </w:trPr>
        <w:tc>
          <w:tcPr>
            <w:tcW w:w="520" w:type="dxa"/>
            <w:tcBorders>
              <w:top w:val="nil"/>
              <w:left w:val="single" w:sz="8" w:space="0" w:color="000000"/>
              <w:bottom w:val="nil"/>
              <w:right w:val="single" w:sz="8" w:space="0" w:color="000000"/>
            </w:tcBorders>
            <w:hideMark/>
          </w:tcPr>
          <w:p w14:paraId="577E98EB"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3.</w:t>
            </w:r>
          </w:p>
        </w:tc>
        <w:tc>
          <w:tcPr>
            <w:tcW w:w="1065" w:type="dxa"/>
            <w:tcBorders>
              <w:top w:val="nil"/>
              <w:left w:val="single" w:sz="8" w:space="0" w:color="000000"/>
              <w:bottom w:val="nil"/>
              <w:right w:val="single" w:sz="8" w:space="0" w:color="000000"/>
            </w:tcBorders>
            <w:hideMark/>
          </w:tcPr>
          <w:p w14:paraId="2EBD610A" w14:textId="77777777" w:rsidR="00505FAD" w:rsidRDefault="00505FAD">
            <w:pPr>
              <w:autoSpaceDE w:val="0"/>
              <w:autoSpaceDN w:val="0"/>
              <w:adjustRightInd w:val="0"/>
              <w:spacing w:line="256" w:lineRule="auto"/>
              <w:rPr>
                <w:rFonts w:eastAsiaTheme="minorHAnsi"/>
                <w:lang w:bidi="he-IL"/>
              </w:rPr>
            </w:pPr>
            <w:proofErr w:type="spellStart"/>
            <w:r>
              <w:rPr>
                <w:rFonts w:eastAsiaTheme="minorHAnsi"/>
                <w:color w:val="000000"/>
                <w:lang w:bidi="he-IL"/>
              </w:rPr>
              <w:t>Shemot</w:t>
            </w:r>
            <w:proofErr w:type="spellEnd"/>
            <w:r>
              <w:rPr>
                <w:rFonts w:eastAsiaTheme="minorHAnsi"/>
                <w:color w:val="000000"/>
                <w:lang w:bidi="he-IL"/>
              </w:rPr>
              <w:t xml:space="preserve">  9:30</w:t>
            </w:r>
          </w:p>
        </w:tc>
        <w:tc>
          <w:tcPr>
            <w:tcW w:w="1155" w:type="dxa"/>
            <w:tcBorders>
              <w:top w:val="nil"/>
              <w:left w:val="single" w:sz="8" w:space="0" w:color="000000"/>
              <w:bottom w:val="nil"/>
              <w:right w:val="single" w:sz="8" w:space="0" w:color="000000"/>
            </w:tcBorders>
          </w:tcPr>
          <w:p w14:paraId="3240852A" w14:textId="77777777" w:rsidR="00505FAD" w:rsidRDefault="00505FAD">
            <w:pPr>
              <w:autoSpaceDE w:val="0"/>
              <w:autoSpaceDN w:val="0"/>
              <w:adjustRightInd w:val="0"/>
              <w:spacing w:line="256" w:lineRule="auto"/>
              <w:jc w:val="both"/>
              <w:rPr>
                <w:rFonts w:eastAsiaTheme="minorHAnsi"/>
                <w:lang w:bidi="he-IL"/>
              </w:rPr>
            </w:pPr>
            <w:r>
              <w:rPr>
                <w:rFonts w:eastAsiaTheme="minorHAnsi"/>
                <w:color w:val="000000"/>
                <w:lang w:bidi="he-IL"/>
              </w:rPr>
              <w:t>Long</w:t>
            </w:r>
          </w:p>
          <w:p w14:paraId="70416F80" w14:textId="77777777" w:rsidR="00505FAD" w:rsidRDefault="00505FAD">
            <w:pPr>
              <w:autoSpaceDE w:val="0"/>
              <w:autoSpaceDN w:val="0"/>
              <w:adjustRightInd w:val="0"/>
              <w:spacing w:line="256" w:lineRule="auto"/>
              <w:jc w:val="both"/>
              <w:rPr>
                <w:rFonts w:eastAsiaTheme="minorHAnsi"/>
                <w:lang w:bidi="he-IL"/>
              </w:rPr>
            </w:pPr>
            <w:r>
              <w:rPr>
                <w:rFonts w:eastAsiaTheme="minorHAnsi"/>
                <w:color w:val="000000"/>
                <w:lang w:bidi="he-IL"/>
              </w:rPr>
              <w:t>(Standard</w:t>
            </w:r>
          </w:p>
          <w:p w14:paraId="195F7A23" w14:textId="77777777" w:rsidR="00505FAD" w:rsidRDefault="00505FAD">
            <w:pPr>
              <w:autoSpaceDE w:val="0"/>
              <w:autoSpaceDN w:val="0"/>
              <w:adjustRightInd w:val="0"/>
              <w:spacing w:line="256" w:lineRule="auto"/>
              <w:rPr>
                <w:rFonts w:eastAsiaTheme="minorHAnsi"/>
                <w:color w:val="000000"/>
                <w:lang w:bidi="he-IL"/>
              </w:rPr>
            </w:pPr>
            <w:r>
              <w:rPr>
                <w:rFonts w:eastAsiaTheme="minorHAnsi"/>
                <w:color w:val="000000"/>
                <w:lang w:bidi="he-IL"/>
              </w:rPr>
              <w:t>Version</w:t>
            </w:r>
          </w:p>
          <w:p w14:paraId="7EDD5545" w14:textId="77777777" w:rsidR="00505FAD" w:rsidRDefault="00505FAD">
            <w:pPr>
              <w:autoSpaceDE w:val="0"/>
              <w:autoSpaceDN w:val="0"/>
              <w:adjustRightInd w:val="0"/>
              <w:spacing w:line="256" w:lineRule="auto"/>
              <w:rPr>
                <w:rFonts w:eastAsiaTheme="minorHAnsi"/>
                <w:color w:val="000000"/>
                <w:lang w:bidi="he-IL"/>
              </w:rPr>
            </w:pPr>
            <w:r>
              <w:rPr>
                <w:rFonts w:eastAsiaTheme="minorHAnsi"/>
                <w:color w:val="000000"/>
                <w:lang w:bidi="he-IL"/>
              </w:rPr>
              <w:t>M”G)</w:t>
            </w:r>
          </w:p>
          <w:p w14:paraId="0C1D3FFD" w14:textId="77777777" w:rsidR="00505FAD" w:rsidRDefault="00505FAD">
            <w:pPr>
              <w:autoSpaceDE w:val="0"/>
              <w:autoSpaceDN w:val="0"/>
              <w:adjustRightInd w:val="0"/>
              <w:spacing w:line="256" w:lineRule="auto"/>
              <w:rPr>
                <w:rFonts w:eastAsiaTheme="minorHAnsi"/>
                <w:lang w:bidi="he-IL"/>
              </w:rPr>
            </w:pPr>
          </w:p>
        </w:tc>
        <w:tc>
          <w:tcPr>
            <w:tcW w:w="1665" w:type="dxa"/>
            <w:tcBorders>
              <w:top w:val="nil"/>
              <w:left w:val="single" w:sz="8" w:space="0" w:color="000000"/>
              <w:bottom w:val="nil"/>
              <w:right w:val="single" w:sz="8" w:space="0" w:color="000000"/>
            </w:tcBorders>
            <w:hideMark/>
          </w:tcPr>
          <w:p w14:paraId="592C9391"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וְאַתָּ֖ה</w:t>
            </w:r>
          </w:p>
        </w:tc>
        <w:tc>
          <w:tcPr>
            <w:tcW w:w="2235" w:type="dxa"/>
            <w:tcBorders>
              <w:top w:val="nil"/>
              <w:left w:val="single" w:sz="8" w:space="0" w:color="000000"/>
              <w:bottom w:val="nil"/>
              <w:right w:val="single" w:sz="8" w:space="0" w:color="000000"/>
            </w:tcBorders>
            <w:hideMark/>
          </w:tcPr>
          <w:p w14:paraId="1E260688"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אמר רבינו שלמה... וזו המלה איננה נמצאת כאשר חשב...</w:t>
            </w:r>
          </w:p>
        </w:tc>
        <w:tc>
          <w:tcPr>
            <w:tcW w:w="2730" w:type="dxa"/>
            <w:tcBorders>
              <w:top w:val="nil"/>
              <w:left w:val="single" w:sz="8" w:space="0" w:color="000000"/>
              <w:bottom w:val="nil"/>
              <w:right w:val="single" w:sz="8" w:space="0" w:color="000000"/>
            </w:tcBorders>
          </w:tcPr>
          <w:p w14:paraId="33D5559D" w14:textId="77777777" w:rsidR="00505FAD" w:rsidRDefault="00505FAD">
            <w:pPr>
              <w:autoSpaceDE w:val="0"/>
              <w:autoSpaceDN w:val="0"/>
              <w:adjustRightInd w:val="0"/>
              <w:spacing w:line="256" w:lineRule="auto"/>
              <w:rPr>
                <w:rFonts w:eastAsiaTheme="minorHAnsi"/>
                <w:color w:val="000000"/>
                <w:lang w:bidi="he-IL"/>
              </w:rPr>
            </w:pPr>
            <w:r>
              <w:rPr>
                <w:rFonts w:eastAsiaTheme="minorHAnsi"/>
                <w:color w:val="000000"/>
                <w:lang w:bidi="he-IL"/>
              </w:rPr>
              <w:t>Respectful manner of disagreement</w:t>
            </w:r>
          </w:p>
          <w:p w14:paraId="1A424972" w14:textId="77777777" w:rsidR="00505FAD" w:rsidRDefault="00505FAD">
            <w:pPr>
              <w:autoSpaceDE w:val="0"/>
              <w:autoSpaceDN w:val="0"/>
              <w:adjustRightInd w:val="0"/>
              <w:spacing w:line="256" w:lineRule="auto"/>
              <w:rPr>
                <w:rFonts w:eastAsiaTheme="minorHAnsi"/>
                <w:lang w:bidi="he-IL"/>
              </w:rPr>
            </w:pPr>
          </w:p>
        </w:tc>
      </w:tr>
      <w:tr w:rsidR="00505FAD" w14:paraId="54E0C989" w14:textId="77777777" w:rsidTr="00505FAD">
        <w:trPr>
          <w:cantSplit/>
        </w:trPr>
        <w:tc>
          <w:tcPr>
            <w:tcW w:w="520" w:type="dxa"/>
            <w:tcBorders>
              <w:top w:val="nil"/>
              <w:left w:val="single" w:sz="8" w:space="0" w:color="000000"/>
              <w:bottom w:val="nil"/>
              <w:right w:val="single" w:sz="8" w:space="0" w:color="000000"/>
            </w:tcBorders>
            <w:hideMark/>
          </w:tcPr>
          <w:p w14:paraId="66646CB4"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4.</w:t>
            </w:r>
          </w:p>
        </w:tc>
        <w:tc>
          <w:tcPr>
            <w:tcW w:w="1065" w:type="dxa"/>
            <w:tcBorders>
              <w:top w:val="nil"/>
              <w:left w:val="single" w:sz="8" w:space="0" w:color="000000"/>
              <w:bottom w:val="nil"/>
              <w:right w:val="single" w:sz="8" w:space="0" w:color="000000"/>
            </w:tcBorders>
            <w:hideMark/>
          </w:tcPr>
          <w:p w14:paraId="35AB299B" w14:textId="77777777" w:rsidR="00505FAD" w:rsidRDefault="00505FAD">
            <w:pPr>
              <w:autoSpaceDE w:val="0"/>
              <w:autoSpaceDN w:val="0"/>
              <w:adjustRightInd w:val="0"/>
              <w:spacing w:line="256" w:lineRule="auto"/>
              <w:rPr>
                <w:rFonts w:eastAsiaTheme="minorHAnsi"/>
                <w:lang w:bidi="he-IL"/>
              </w:rPr>
            </w:pPr>
            <w:proofErr w:type="spellStart"/>
            <w:r>
              <w:rPr>
                <w:rFonts w:eastAsiaTheme="minorHAnsi"/>
                <w:color w:val="000000"/>
                <w:lang w:bidi="he-IL"/>
              </w:rPr>
              <w:t>Shemot</w:t>
            </w:r>
            <w:proofErr w:type="spellEnd"/>
            <w:r>
              <w:rPr>
                <w:rFonts w:eastAsiaTheme="minorHAnsi"/>
                <w:color w:val="000000"/>
                <w:lang w:bidi="he-IL"/>
              </w:rPr>
              <w:t xml:space="preserve"> 12:6</w:t>
            </w:r>
          </w:p>
        </w:tc>
        <w:tc>
          <w:tcPr>
            <w:tcW w:w="1155" w:type="dxa"/>
            <w:tcBorders>
              <w:top w:val="nil"/>
              <w:left w:val="single" w:sz="8" w:space="0" w:color="000000"/>
              <w:bottom w:val="nil"/>
              <w:right w:val="single" w:sz="8" w:space="0" w:color="000000"/>
            </w:tcBorders>
          </w:tcPr>
          <w:p w14:paraId="0267EE96" w14:textId="77777777" w:rsidR="00505FAD" w:rsidRDefault="00505FAD">
            <w:pPr>
              <w:autoSpaceDE w:val="0"/>
              <w:autoSpaceDN w:val="0"/>
              <w:adjustRightInd w:val="0"/>
              <w:spacing w:line="256" w:lineRule="auto"/>
              <w:jc w:val="both"/>
              <w:rPr>
                <w:rFonts w:eastAsiaTheme="minorHAnsi"/>
                <w:lang w:bidi="he-IL"/>
              </w:rPr>
            </w:pPr>
            <w:r>
              <w:rPr>
                <w:rFonts w:eastAsiaTheme="minorHAnsi"/>
                <w:color w:val="000000"/>
                <w:lang w:bidi="he-IL"/>
              </w:rPr>
              <w:t>Long</w:t>
            </w:r>
          </w:p>
          <w:p w14:paraId="6838AAB6" w14:textId="77777777" w:rsidR="00505FAD" w:rsidRDefault="00505FAD">
            <w:pPr>
              <w:autoSpaceDE w:val="0"/>
              <w:autoSpaceDN w:val="0"/>
              <w:adjustRightInd w:val="0"/>
              <w:spacing w:line="256" w:lineRule="auto"/>
              <w:jc w:val="both"/>
              <w:rPr>
                <w:rFonts w:eastAsiaTheme="minorHAnsi"/>
                <w:lang w:bidi="he-IL"/>
              </w:rPr>
            </w:pPr>
          </w:p>
          <w:p w14:paraId="60F9E720" w14:textId="77777777" w:rsidR="00505FAD" w:rsidRDefault="00505FAD">
            <w:pPr>
              <w:autoSpaceDE w:val="0"/>
              <w:autoSpaceDN w:val="0"/>
              <w:adjustRightInd w:val="0"/>
              <w:spacing w:line="256" w:lineRule="auto"/>
              <w:rPr>
                <w:rFonts w:eastAsiaTheme="minorHAnsi"/>
                <w:lang w:bidi="he-IL"/>
              </w:rPr>
            </w:pPr>
          </w:p>
        </w:tc>
        <w:tc>
          <w:tcPr>
            <w:tcW w:w="1665" w:type="dxa"/>
            <w:tcBorders>
              <w:top w:val="nil"/>
              <w:left w:val="single" w:sz="8" w:space="0" w:color="000000"/>
              <w:bottom w:val="nil"/>
              <w:right w:val="single" w:sz="8" w:space="0" w:color="000000"/>
            </w:tcBorders>
            <w:hideMark/>
          </w:tcPr>
          <w:p w14:paraId="6E24B3C1"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בֵּ֥ין הָֽעַרְבָּֽיִם</w:t>
            </w:r>
          </w:p>
        </w:tc>
        <w:tc>
          <w:tcPr>
            <w:tcW w:w="2235" w:type="dxa"/>
            <w:tcBorders>
              <w:top w:val="nil"/>
              <w:left w:val="single" w:sz="8" w:space="0" w:color="000000"/>
              <w:bottom w:val="nil"/>
              <w:right w:val="single" w:sz="8" w:space="0" w:color="000000"/>
            </w:tcBorders>
            <w:hideMark/>
          </w:tcPr>
          <w:p w14:paraId="1110D9FE"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מלה קשה. ורבינו שלמה אמר... ולא נתן טעם למה ערבים שנים...</w:t>
            </w:r>
          </w:p>
        </w:tc>
        <w:tc>
          <w:tcPr>
            <w:tcW w:w="2730" w:type="dxa"/>
            <w:tcBorders>
              <w:top w:val="nil"/>
              <w:left w:val="single" w:sz="8" w:space="0" w:color="000000"/>
              <w:bottom w:val="nil"/>
              <w:right w:val="single" w:sz="8" w:space="0" w:color="000000"/>
            </w:tcBorders>
            <w:hideMark/>
          </w:tcPr>
          <w:p w14:paraId="4E87A7E2" w14:textId="77777777" w:rsidR="00505FAD" w:rsidRDefault="00505FAD">
            <w:pPr>
              <w:autoSpaceDE w:val="0"/>
              <w:autoSpaceDN w:val="0"/>
              <w:adjustRightInd w:val="0"/>
              <w:spacing w:line="256" w:lineRule="auto"/>
              <w:jc w:val="both"/>
              <w:rPr>
                <w:rFonts w:eastAsiaTheme="minorHAnsi"/>
                <w:lang w:bidi="he-IL"/>
              </w:rPr>
            </w:pPr>
            <w:r>
              <w:rPr>
                <w:rFonts w:eastAsiaTheme="minorHAnsi"/>
                <w:color w:val="000000"/>
                <w:lang w:bidi="he-IL"/>
              </w:rPr>
              <w:t>IE respectfully prefaces his comment by</w:t>
            </w:r>
          </w:p>
          <w:p w14:paraId="4540754C"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noting it is a difficult word</w:t>
            </w:r>
          </w:p>
        </w:tc>
      </w:tr>
      <w:tr w:rsidR="00505FAD" w14:paraId="34BB0247" w14:textId="77777777" w:rsidTr="00505FAD">
        <w:trPr>
          <w:cantSplit/>
        </w:trPr>
        <w:tc>
          <w:tcPr>
            <w:tcW w:w="520" w:type="dxa"/>
            <w:tcBorders>
              <w:top w:val="nil"/>
              <w:left w:val="single" w:sz="8" w:space="0" w:color="000000"/>
              <w:bottom w:val="nil"/>
              <w:right w:val="single" w:sz="8" w:space="0" w:color="000000"/>
            </w:tcBorders>
            <w:hideMark/>
          </w:tcPr>
          <w:p w14:paraId="4EA0804F"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5.</w:t>
            </w:r>
          </w:p>
        </w:tc>
        <w:tc>
          <w:tcPr>
            <w:tcW w:w="1065" w:type="dxa"/>
            <w:tcBorders>
              <w:top w:val="nil"/>
              <w:left w:val="single" w:sz="8" w:space="0" w:color="000000"/>
              <w:bottom w:val="nil"/>
              <w:right w:val="single" w:sz="8" w:space="0" w:color="000000"/>
            </w:tcBorders>
            <w:hideMark/>
          </w:tcPr>
          <w:p w14:paraId="7E6733FB" w14:textId="77777777" w:rsidR="00505FAD" w:rsidRDefault="00505FAD">
            <w:pPr>
              <w:autoSpaceDE w:val="0"/>
              <w:autoSpaceDN w:val="0"/>
              <w:adjustRightInd w:val="0"/>
              <w:spacing w:line="256" w:lineRule="auto"/>
              <w:rPr>
                <w:rFonts w:eastAsiaTheme="minorHAnsi"/>
                <w:lang w:bidi="he-IL"/>
              </w:rPr>
            </w:pPr>
            <w:proofErr w:type="spellStart"/>
            <w:r>
              <w:rPr>
                <w:rFonts w:eastAsiaTheme="minorHAnsi"/>
                <w:color w:val="000000"/>
                <w:lang w:bidi="he-IL"/>
              </w:rPr>
              <w:t>Shemot</w:t>
            </w:r>
            <w:proofErr w:type="spellEnd"/>
            <w:r>
              <w:rPr>
                <w:rFonts w:eastAsiaTheme="minorHAnsi"/>
                <w:color w:val="000000"/>
                <w:lang w:bidi="he-IL"/>
              </w:rPr>
              <w:t xml:space="preserve"> 15:2</w:t>
            </w:r>
          </w:p>
        </w:tc>
        <w:tc>
          <w:tcPr>
            <w:tcW w:w="1155" w:type="dxa"/>
            <w:tcBorders>
              <w:top w:val="nil"/>
              <w:left w:val="single" w:sz="8" w:space="0" w:color="000000"/>
              <w:bottom w:val="nil"/>
              <w:right w:val="single" w:sz="8" w:space="0" w:color="000000"/>
            </w:tcBorders>
            <w:hideMark/>
          </w:tcPr>
          <w:p w14:paraId="584229DB"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Long</w:t>
            </w:r>
          </w:p>
        </w:tc>
        <w:tc>
          <w:tcPr>
            <w:tcW w:w="1665" w:type="dxa"/>
            <w:tcBorders>
              <w:top w:val="nil"/>
              <w:left w:val="single" w:sz="8" w:space="0" w:color="000000"/>
              <w:bottom w:val="nil"/>
              <w:right w:val="single" w:sz="8" w:space="0" w:color="000000"/>
            </w:tcBorders>
            <w:hideMark/>
          </w:tcPr>
          <w:p w14:paraId="7D4C9231"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עָזִּ֤י</w:t>
            </w:r>
          </w:p>
        </w:tc>
        <w:tc>
          <w:tcPr>
            <w:tcW w:w="2235" w:type="dxa"/>
            <w:tcBorders>
              <w:top w:val="nil"/>
              <w:left w:val="single" w:sz="8" w:space="0" w:color="000000"/>
              <w:bottom w:val="nil"/>
              <w:right w:val="single" w:sz="8" w:space="0" w:color="000000"/>
            </w:tcBorders>
            <w:hideMark/>
          </w:tcPr>
          <w:p w14:paraId="7D91679F"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 xml:space="preserve">אמר רבינו שלמה ז"ל, כי יש הפרש בין עזי בקמץ חטף ובין עזי בקבוץ... ומי שיבין בלשון ישמעאל ידע ההפרש שיש ביניהם...   </w:t>
            </w:r>
          </w:p>
        </w:tc>
        <w:tc>
          <w:tcPr>
            <w:tcW w:w="2730" w:type="dxa"/>
            <w:tcBorders>
              <w:top w:val="nil"/>
              <w:left w:val="single" w:sz="8" w:space="0" w:color="000000"/>
              <w:bottom w:val="nil"/>
              <w:right w:val="single" w:sz="8" w:space="0" w:color="000000"/>
            </w:tcBorders>
            <w:hideMark/>
          </w:tcPr>
          <w:p w14:paraId="4E41287C"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 xml:space="preserve">Respectfully excuses </w:t>
            </w:r>
            <w:proofErr w:type="spellStart"/>
            <w:r>
              <w:rPr>
                <w:rFonts w:eastAsiaTheme="minorHAnsi"/>
                <w:color w:val="000000"/>
                <w:lang w:bidi="he-IL"/>
              </w:rPr>
              <w:t>Rashi’s</w:t>
            </w:r>
            <w:proofErr w:type="spellEnd"/>
            <w:r>
              <w:rPr>
                <w:rFonts w:eastAsiaTheme="minorHAnsi"/>
                <w:color w:val="000000"/>
                <w:lang w:bidi="he-IL"/>
              </w:rPr>
              <w:t xml:space="preserve"> ignorance of the Hebrew grammatical rule, due to the inaccessibility of   Arabic language to Ashkenazic Jews</w:t>
            </w:r>
          </w:p>
        </w:tc>
      </w:tr>
      <w:tr w:rsidR="00505FAD" w14:paraId="3D4AE715" w14:textId="77777777" w:rsidTr="00505FAD">
        <w:trPr>
          <w:cantSplit/>
        </w:trPr>
        <w:tc>
          <w:tcPr>
            <w:tcW w:w="520" w:type="dxa"/>
            <w:tcBorders>
              <w:top w:val="nil"/>
              <w:left w:val="single" w:sz="8" w:space="0" w:color="000000"/>
              <w:bottom w:val="nil"/>
              <w:right w:val="single" w:sz="8" w:space="0" w:color="000000"/>
            </w:tcBorders>
            <w:hideMark/>
          </w:tcPr>
          <w:p w14:paraId="0553207C"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lastRenderedPageBreak/>
              <w:t>6.</w:t>
            </w:r>
            <w:r>
              <w:rPr>
                <w:rFonts w:eastAsiaTheme="minorHAnsi"/>
                <w:lang w:bidi="he-IL"/>
              </w:rPr>
              <w:t>*</w:t>
            </w:r>
          </w:p>
        </w:tc>
        <w:tc>
          <w:tcPr>
            <w:tcW w:w="1065" w:type="dxa"/>
            <w:tcBorders>
              <w:top w:val="nil"/>
              <w:left w:val="single" w:sz="8" w:space="0" w:color="000000"/>
              <w:bottom w:val="nil"/>
              <w:right w:val="single" w:sz="8" w:space="0" w:color="000000"/>
            </w:tcBorders>
            <w:hideMark/>
          </w:tcPr>
          <w:p w14:paraId="6111DB7C" w14:textId="77777777" w:rsidR="00505FAD" w:rsidRDefault="00505FAD">
            <w:pPr>
              <w:autoSpaceDE w:val="0"/>
              <w:autoSpaceDN w:val="0"/>
              <w:adjustRightInd w:val="0"/>
              <w:spacing w:line="256" w:lineRule="auto"/>
              <w:rPr>
                <w:rFonts w:eastAsiaTheme="minorHAnsi"/>
                <w:lang w:bidi="he-IL"/>
              </w:rPr>
            </w:pPr>
            <w:proofErr w:type="spellStart"/>
            <w:r>
              <w:rPr>
                <w:rFonts w:eastAsiaTheme="minorHAnsi"/>
                <w:color w:val="000000"/>
                <w:lang w:bidi="he-IL"/>
              </w:rPr>
              <w:t>Shemot</w:t>
            </w:r>
            <w:proofErr w:type="spellEnd"/>
            <w:r>
              <w:rPr>
                <w:rFonts w:eastAsiaTheme="minorHAnsi"/>
                <w:color w:val="000000"/>
                <w:lang w:bidi="he-IL"/>
              </w:rPr>
              <w:t xml:space="preserve"> 16:15</w:t>
            </w:r>
          </w:p>
        </w:tc>
        <w:tc>
          <w:tcPr>
            <w:tcW w:w="1155" w:type="dxa"/>
            <w:tcBorders>
              <w:top w:val="nil"/>
              <w:left w:val="single" w:sz="8" w:space="0" w:color="000000"/>
              <w:bottom w:val="nil"/>
              <w:right w:val="single" w:sz="8" w:space="0" w:color="000000"/>
            </w:tcBorders>
            <w:hideMark/>
          </w:tcPr>
          <w:p w14:paraId="051E04DC"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Long</w:t>
            </w:r>
          </w:p>
        </w:tc>
        <w:tc>
          <w:tcPr>
            <w:tcW w:w="1665" w:type="dxa"/>
            <w:tcBorders>
              <w:top w:val="nil"/>
              <w:left w:val="single" w:sz="8" w:space="0" w:color="000000"/>
              <w:bottom w:val="nil"/>
              <w:right w:val="single" w:sz="8" w:space="0" w:color="000000"/>
            </w:tcBorders>
            <w:hideMark/>
          </w:tcPr>
          <w:p w14:paraId="6BAD131B"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וַיִּרְא֣וּ [וַיֹּ֨אמְר֜וּ אִ֤ישׁ אֶל־אָחִיו֙ מָ֣ן ה֔וּא]</w:t>
            </w:r>
          </w:p>
        </w:tc>
        <w:tc>
          <w:tcPr>
            <w:tcW w:w="2235" w:type="dxa"/>
            <w:tcBorders>
              <w:top w:val="nil"/>
              <w:left w:val="single" w:sz="8" w:space="0" w:color="000000"/>
              <w:bottom w:val="nil"/>
              <w:right w:val="single" w:sz="8" w:space="0" w:color="000000"/>
            </w:tcBorders>
            <w:hideMark/>
          </w:tcPr>
          <w:p w14:paraId="69C2F2EF"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אמר רבינו שלמה, כי בלשון ישמעאל תרגום מה הוא מן הוא. והמגיד לו ככה לא דבר נכון, כי איננו נופל מן בלשונם כי על אדם...</w:t>
            </w:r>
          </w:p>
        </w:tc>
        <w:tc>
          <w:tcPr>
            <w:tcW w:w="2730" w:type="dxa"/>
            <w:tcBorders>
              <w:top w:val="nil"/>
              <w:left w:val="single" w:sz="8" w:space="0" w:color="000000"/>
              <w:bottom w:val="nil"/>
              <w:right w:val="single" w:sz="8" w:space="0" w:color="000000"/>
            </w:tcBorders>
            <w:hideMark/>
          </w:tcPr>
          <w:p w14:paraId="7C9B54FB" w14:textId="77777777" w:rsidR="00505FAD" w:rsidRDefault="00505FAD">
            <w:pPr>
              <w:autoSpaceDE w:val="0"/>
              <w:autoSpaceDN w:val="0"/>
              <w:adjustRightInd w:val="0"/>
              <w:spacing w:line="256" w:lineRule="auto"/>
              <w:rPr>
                <w:rFonts w:eastAsiaTheme="minorHAnsi"/>
                <w:color w:val="000000"/>
                <w:lang w:bidi="he-IL"/>
              </w:rPr>
            </w:pPr>
            <w:r>
              <w:rPr>
                <w:rFonts w:eastAsiaTheme="minorHAnsi"/>
                <w:color w:val="000000"/>
                <w:lang w:bidi="he-IL"/>
              </w:rPr>
              <w:t xml:space="preserve">IE respectfully excuses </w:t>
            </w:r>
            <w:proofErr w:type="spellStart"/>
            <w:r>
              <w:rPr>
                <w:rFonts w:eastAsiaTheme="minorHAnsi"/>
                <w:color w:val="000000"/>
                <w:lang w:bidi="he-IL"/>
              </w:rPr>
              <w:t>Rashi</w:t>
            </w:r>
            <w:proofErr w:type="spellEnd"/>
            <w:r>
              <w:rPr>
                <w:rFonts w:eastAsiaTheme="minorHAnsi"/>
                <w:color w:val="000000"/>
                <w:lang w:bidi="he-IL"/>
              </w:rPr>
              <w:t xml:space="preserve"> for an alleged grammatical mistake due to his being misinformed about Arabic. However, IE appears to be mistaken: our version of </w:t>
            </w:r>
            <w:proofErr w:type="spellStart"/>
            <w:r>
              <w:rPr>
                <w:rFonts w:eastAsiaTheme="minorHAnsi"/>
                <w:color w:val="000000"/>
                <w:lang w:bidi="he-IL"/>
              </w:rPr>
              <w:t>Rashi’s</w:t>
            </w:r>
            <w:proofErr w:type="spellEnd"/>
            <w:r>
              <w:rPr>
                <w:rFonts w:eastAsiaTheme="minorHAnsi"/>
                <w:color w:val="000000"/>
                <w:lang w:bidi="he-IL"/>
              </w:rPr>
              <w:t xml:space="preserve"> </w:t>
            </w:r>
            <w:proofErr w:type="spellStart"/>
            <w:r>
              <w:rPr>
                <w:rFonts w:eastAsiaTheme="minorHAnsi"/>
                <w:i/>
                <w:iCs/>
                <w:color w:val="000000"/>
                <w:lang w:bidi="he-IL"/>
              </w:rPr>
              <w:t>perush</w:t>
            </w:r>
            <w:proofErr w:type="spellEnd"/>
            <w:r>
              <w:rPr>
                <w:rFonts w:eastAsiaTheme="minorHAnsi"/>
                <w:color w:val="000000"/>
                <w:lang w:bidi="he-IL"/>
              </w:rPr>
              <w:t xml:space="preserve"> is    exactly the opposite and it agrees with IE’s view </w:t>
            </w:r>
          </w:p>
          <w:p w14:paraId="76EEAC0A" w14:textId="126660C6" w:rsidR="001636F4" w:rsidRDefault="001636F4">
            <w:pPr>
              <w:autoSpaceDE w:val="0"/>
              <w:autoSpaceDN w:val="0"/>
              <w:adjustRightInd w:val="0"/>
              <w:spacing w:line="256" w:lineRule="auto"/>
              <w:rPr>
                <w:rFonts w:eastAsiaTheme="minorHAnsi"/>
                <w:lang w:bidi="he-IL"/>
              </w:rPr>
            </w:pPr>
          </w:p>
        </w:tc>
      </w:tr>
      <w:tr w:rsidR="00505FAD" w14:paraId="04B56B9C" w14:textId="77777777" w:rsidTr="00505FAD">
        <w:trPr>
          <w:cantSplit/>
        </w:trPr>
        <w:tc>
          <w:tcPr>
            <w:tcW w:w="520" w:type="dxa"/>
            <w:tcBorders>
              <w:top w:val="nil"/>
              <w:left w:val="single" w:sz="8" w:space="0" w:color="000000"/>
              <w:bottom w:val="nil"/>
              <w:right w:val="single" w:sz="8" w:space="0" w:color="000000"/>
            </w:tcBorders>
            <w:hideMark/>
          </w:tcPr>
          <w:p w14:paraId="7D8FD662"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7.</w:t>
            </w:r>
          </w:p>
        </w:tc>
        <w:tc>
          <w:tcPr>
            <w:tcW w:w="1065" w:type="dxa"/>
            <w:tcBorders>
              <w:top w:val="nil"/>
              <w:left w:val="single" w:sz="8" w:space="0" w:color="000000"/>
              <w:bottom w:val="nil"/>
              <w:right w:val="single" w:sz="8" w:space="0" w:color="000000"/>
            </w:tcBorders>
            <w:hideMark/>
          </w:tcPr>
          <w:p w14:paraId="122071EE" w14:textId="77777777" w:rsidR="00505FAD" w:rsidRDefault="00505FAD">
            <w:pPr>
              <w:autoSpaceDE w:val="0"/>
              <w:autoSpaceDN w:val="0"/>
              <w:adjustRightInd w:val="0"/>
              <w:spacing w:line="256" w:lineRule="auto"/>
              <w:rPr>
                <w:rFonts w:eastAsiaTheme="minorHAnsi"/>
                <w:lang w:bidi="he-IL"/>
              </w:rPr>
            </w:pPr>
            <w:proofErr w:type="spellStart"/>
            <w:r>
              <w:rPr>
                <w:rFonts w:eastAsiaTheme="minorHAnsi"/>
                <w:color w:val="000000"/>
                <w:lang w:bidi="he-IL"/>
              </w:rPr>
              <w:t>Shemot</w:t>
            </w:r>
            <w:proofErr w:type="spellEnd"/>
            <w:r>
              <w:rPr>
                <w:rFonts w:eastAsiaTheme="minorHAnsi"/>
                <w:color w:val="000000"/>
                <w:lang w:bidi="he-IL"/>
              </w:rPr>
              <w:t xml:space="preserve"> 18:14</w:t>
            </w:r>
          </w:p>
        </w:tc>
        <w:tc>
          <w:tcPr>
            <w:tcW w:w="1155" w:type="dxa"/>
            <w:tcBorders>
              <w:top w:val="nil"/>
              <w:left w:val="single" w:sz="8" w:space="0" w:color="000000"/>
              <w:bottom w:val="nil"/>
              <w:right w:val="single" w:sz="8" w:space="0" w:color="000000"/>
            </w:tcBorders>
            <w:hideMark/>
          </w:tcPr>
          <w:p w14:paraId="01BF628D"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Long</w:t>
            </w:r>
          </w:p>
        </w:tc>
        <w:tc>
          <w:tcPr>
            <w:tcW w:w="1665" w:type="dxa"/>
            <w:tcBorders>
              <w:top w:val="nil"/>
              <w:left w:val="single" w:sz="8" w:space="0" w:color="000000"/>
              <w:bottom w:val="nil"/>
              <w:right w:val="single" w:sz="8" w:space="0" w:color="000000"/>
            </w:tcBorders>
            <w:hideMark/>
          </w:tcPr>
          <w:p w14:paraId="26345959"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וַיַּרְא֙... אֵ֛ת כָּל־אֲשֶׁר־ה֥וּא עֹשֶׂ֖ה לָעָ֑ם</w:t>
            </w:r>
          </w:p>
        </w:tc>
        <w:tc>
          <w:tcPr>
            <w:tcW w:w="2235" w:type="dxa"/>
            <w:tcBorders>
              <w:top w:val="nil"/>
              <w:left w:val="single" w:sz="8" w:space="0" w:color="000000"/>
              <w:bottom w:val="nil"/>
              <w:right w:val="single" w:sz="8" w:space="0" w:color="000000"/>
            </w:tcBorders>
            <w:hideMark/>
          </w:tcPr>
          <w:p w14:paraId="2D88DFEF" w14:textId="6CCA4CC9" w:rsidR="001636F4" w:rsidRDefault="001636F4">
            <w:pPr>
              <w:autoSpaceDE w:val="0"/>
              <w:autoSpaceDN w:val="0"/>
              <w:adjustRightInd w:val="0"/>
              <w:spacing w:line="256" w:lineRule="auto"/>
              <w:rPr>
                <w:rFonts w:eastAsiaTheme="minorHAnsi" w:cs="FrankRuehl"/>
                <w:color w:val="000000"/>
                <w:szCs w:val="28"/>
                <w:lang w:bidi="he-IL"/>
              </w:rPr>
            </w:pPr>
            <w:r w:rsidRPr="001636F4">
              <w:rPr>
                <w:rFonts w:ascii="FrankRuehl" w:eastAsiaTheme="minorHAnsi" w:hAnsi="FrankRuehl" w:cs="FrankRuehl"/>
                <w:color w:val="000000"/>
                <w:szCs w:val="28"/>
                <w:rtl/>
                <w:lang w:bidi="he-IL"/>
              </w:rPr>
              <w:t>ורבינו שלמה אמר, בעבור שמשה יושב [כמלך] לבדו וישראל  נצבים...  ואין זה דרך מוסר.  ואין ספק  כי מעלת  משה גדולה... ומשה עשה הדרך הנכונה, כי השופט יושב ובעלי הריב עומדים...</w:t>
            </w:r>
          </w:p>
          <w:p w14:paraId="613BBAAC" w14:textId="77777777" w:rsidR="001636F4" w:rsidRDefault="001636F4">
            <w:pPr>
              <w:autoSpaceDE w:val="0"/>
              <w:autoSpaceDN w:val="0"/>
              <w:adjustRightInd w:val="0"/>
              <w:spacing w:line="256" w:lineRule="auto"/>
              <w:rPr>
                <w:rFonts w:eastAsiaTheme="minorHAnsi" w:cs="FrankRuehl"/>
                <w:color w:val="000000"/>
                <w:szCs w:val="28"/>
                <w:lang w:bidi="he-IL"/>
              </w:rPr>
            </w:pPr>
          </w:p>
          <w:p w14:paraId="41545F8F" w14:textId="7703A0C6" w:rsidR="001636F4" w:rsidRDefault="001636F4">
            <w:pPr>
              <w:autoSpaceDE w:val="0"/>
              <w:autoSpaceDN w:val="0"/>
              <w:adjustRightInd w:val="0"/>
              <w:spacing w:line="256" w:lineRule="auto"/>
              <w:rPr>
                <w:rFonts w:eastAsiaTheme="minorHAnsi"/>
                <w:lang w:bidi="he-IL"/>
              </w:rPr>
            </w:pPr>
          </w:p>
        </w:tc>
        <w:tc>
          <w:tcPr>
            <w:tcW w:w="2730" w:type="dxa"/>
            <w:tcBorders>
              <w:top w:val="nil"/>
              <w:left w:val="single" w:sz="8" w:space="0" w:color="000000"/>
              <w:bottom w:val="nil"/>
              <w:right w:val="single" w:sz="8" w:space="0" w:color="000000"/>
            </w:tcBorders>
            <w:hideMark/>
          </w:tcPr>
          <w:p w14:paraId="5A8C4E3E" w14:textId="63A84D1F" w:rsidR="008466CB" w:rsidRDefault="001636F4">
            <w:pPr>
              <w:autoSpaceDE w:val="0"/>
              <w:autoSpaceDN w:val="0"/>
              <w:adjustRightInd w:val="0"/>
              <w:spacing w:line="256" w:lineRule="auto"/>
              <w:rPr>
                <w:rFonts w:eastAsiaTheme="minorHAnsi"/>
                <w:color w:val="000000"/>
                <w:lang w:bidi="he-IL"/>
              </w:rPr>
            </w:pPr>
            <w:r>
              <w:rPr>
                <w:rFonts w:eastAsiaTheme="minorHAnsi"/>
                <w:color w:val="000000"/>
                <w:lang w:bidi="he-IL"/>
              </w:rPr>
              <w:t xml:space="preserve">After </w:t>
            </w:r>
            <w:r w:rsidR="008466CB">
              <w:rPr>
                <w:rFonts w:eastAsiaTheme="minorHAnsi"/>
                <w:color w:val="000000"/>
                <w:lang w:bidi="he-IL"/>
              </w:rPr>
              <w:t>presenting</w:t>
            </w:r>
            <w:r>
              <w:rPr>
                <w:rFonts w:eastAsiaTheme="minorHAnsi"/>
                <w:color w:val="000000"/>
                <w:lang w:bidi="he-IL"/>
              </w:rPr>
              <w:t xml:space="preserve"> </w:t>
            </w:r>
            <w:proofErr w:type="spellStart"/>
            <w:r>
              <w:rPr>
                <w:rFonts w:eastAsiaTheme="minorHAnsi"/>
                <w:color w:val="000000"/>
                <w:lang w:bidi="he-IL"/>
              </w:rPr>
              <w:t>Rashi’s</w:t>
            </w:r>
            <w:proofErr w:type="spellEnd"/>
            <w:r>
              <w:rPr>
                <w:rFonts w:eastAsiaTheme="minorHAnsi"/>
                <w:color w:val="000000"/>
                <w:lang w:bidi="he-IL"/>
              </w:rPr>
              <w:t xml:space="preserve"> viewpoint,</w:t>
            </w:r>
            <w:r w:rsidR="008466CB">
              <w:rPr>
                <w:rFonts w:eastAsiaTheme="minorHAnsi"/>
                <w:color w:val="000000"/>
                <w:lang w:bidi="he-IL"/>
              </w:rPr>
              <w:t xml:space="preserve"> IE </w:t>
            </w:r>
          </w:p>
          <w:p w14:paraId="5CE2D294" w14:textId="2F65CC01" w:rsidR="00505FAD" w:rsidRDefault="001636F4">
            <w:pPr>
              <w:autoSpaceDE w:val="0"/>
              <w:autoSpaceDN w:val="0"/>
              <w:adjustRightInd w:val="0"/>
              <w:spacing w:line="256" w:lineRule="auto"/>
              <w:rPr>
                <w:rFonts w:eastAsiaTheme="minorHAnsi"/>
                <w:lang w:bidi="he-IL"/>
              </w:rPr>
            </w:pPr>
            <w:r>
              <w:rPr>
                <w:rFonts w:eastAsiaTheme="minorHAnsi"/>
                <w:color w:val="000000"/>
                <w:lang w:bidi="he-IL"/>
              </w:rPr>
              <w:t xml:space="preserve">matter-of-factly </w:t>
            </w:r>
            <w:r w:rsidR="008466CB">
              <w:rPr>
                <w:rFonts w:eastAsiaTheme="minorHAnsi"/>
                <w:color w:val="000000"/>
                <w:lang w:bidi="he-IL"/>
              </w:rPr>
              <w:t>offers</w:t>
            </w:r>
            <w:r>
              <w:rPr>
                <w:rFonts w:eastAsiaTheme="minorHAnsi"/>
                <w:color w:val="000000"/>
                <w:lang w:bidi="he-IL"/>
              </w:rPr>
              <w:t xml:space="preserve"> his own</w:t>
            </w:r>
            <w:r w:rsidR="008466CB">
              <w:rPr>
                <w:rFonts w:eastAsiaTheme="minorHAnsi"/>
                <w:color w:val="000000"/>
                <w:lang w:bidi="he-IL"/>
              </w:rPr>
              <w:t>, differing</w:t>
            </w:r>
            <w:r>
              <w:rPr>
                <w:rFonts w:eastAsiaTheme="minorHAnsi"/>
                <w:color w:val="000000"/>
                <w:lang w:bidi="he-IL"/>
              </w:rPr>
              <w:t xml:space="preserve"> </w:t>
            </w:r>
            <w:r w:rsidR="008466CB">
              <w:rPr>
                <w:rFonts w:eastAsiaTheme="minorHAnsi"/>
                <w:color w:val="000000"/>
                <w:lang w:bidi="he-IL"/>
              </w:rPr>
              <w:t>opinion, thereby legitimizing both stances.</w:t>
            </w:r>
            <w:r w:rsidR="00AF676F">
              <w:rPr>
                <w:rFonts w:eastAsiaTheme="minorHAnsi"/>
                <w:lang w:bidi="he-IL"/>
              </w:rPr>
              <w:t xml:space="preserve">   </w:t>
            </w:r>
          </w:p>
        </w:tc>
      </w:tr>
      <w:tr w:rsidR="00505FAD" w14:paraId="7902C4A4" w14:textId="77777777" w:rsidTr="00505FAD">
        <w:trPr>
          <w:cantSplit/>
        </w:trPr>
        <w:tc>
          <w:tcPr>
            <w:tcW w:w="520" w:type="dxa"/>
            <w:tcBorders>
              <w:top w:val="nil"/>
              <w:left w:val="single" w:sz="8" w:space="0" w:color="000000"/>
              <w:bottom w:val="nil"/>
              <w:right w:val="single" w:sz="8" w:space="0" w:color="000000"/>
            </w:tcBorders>
            <w:hideMark/>
          </w:tcPr>
          <w:p w14:paraId="3EEDEC1B"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8.</w:t>
            </w:r>
          </w:p>
        </w:tc>
        <w:tc>
          <w:tcPr>
            <w:tcW w:w="1065" w:type="dxa"/>
            <w:tcBorders>
              <w:top w:val="nil"/>
              <w:left w:val="single" w:sz="8" w:space="0" w:color="000000"/>
              <w:bottom w:val="nil"/>
              <w:right w:val="single" w:sz="8" w:space="0" w:color="000000"/>
            </w:tcBorders>
            <w:hideMark/>
          </w:tcPr>
          <w:p w14:paraId="488796A2" w14:textId="77777777" w:rsidR="00505FAD" w:rsidRDefault="00505FAD">
            <w:pPr>
              <w:autoSpaceDE w:val="0"/>
              <w:autoSpaceDN w:val="0"/>
              <w:adjustRightInd w:val="0"/>
              <w:spacing w:line="256" w:lineRule="auto"/>
              <w:rPr>
                <w:rFonts w:eastAsiaTheme="minorHAnsi"/>
                <w:lang w:bidi="he-IL"/>
              </w:rPr>
            </w:pPr>
            <w:proofErr w:type="spellStart"/>
            <w:r>
              <w:rPr>
                <w:rFonts w:eastAsiaTheme="minorHAnsi"/>
                <w:color w:val="000000"/>
                <w:lang w:bidi="he-IL"/>
              </w:rPr>
              <w:t>Shemot</w:t>
            </w:r>
            <w:proofErr w:type="spellEnd"/>
            <w:r>
              <w:rPr>
                <w:rFonts w:eastAsiaTheme="minorHAnsi"/>
                <w:color w:val="000000"/>
                <w:lang w:bidi="he-IL"/>
              </w:rPr>
              <w:t xml:space="preserve"> 18:26</w:t>
            </w:r>
          </w:p>
        </w:tc>
        <w:tc>
          <w:tcPr>
            <w:tcW w:w="1155" w:type="dxa"/>
            <w:tcBorders>
              <w:top w:val="nil"/>
              <w:left w:val="single" w:sz="8" w:space="0" w:color="000000"/>
              <w:bottom w:val="nil"/>
              <w:right w:val="single" w:sz="8" w:space="0" w:color="000000"/>
            </w:tcBorders>
            <w:hideMark/>
          </w:tcPr>
          <w:p w14:paraId="14AAA1FE"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Long</w:t>
            </w:r>
          </w:p>
        </w:tc>
        <w:tc>
          <w:tcPr>
            <w:tcW w:w="1665" w:type="dxa"/>
            <w:tcBorders>
              <w:top w:val="nil"/>
              <w:left w:val="single" w:sz="8" w:space="0" w:color="000000"/>
              <w:bottom w:val="nil"/>
              <w:right w:val="single" w:sz="8" w:space="0" w:color="000000"/>
            </w:tcBorders>
            <w:hideMark/>
          </w:tcPr>
          <w:p w14:paraId="71153848"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יִשְׁפּוּט֥וּ הֵֽם</w:t>
            </w:r>
          </w:p>
        </w:tc>
        <w:tc>
          <w:tcPr>
            <w:tcW w:w="2235" w:type="dxa"/>
            <w:tcBorders>
              <w:top w:val="nil"/>
              <w:left w:val="single" w:sz="8" w:space="0" w:color="000000"/>
              <w:bottom w:val="nil"/>
              <w:right w:val="single" w:sz="8" w:space="0" w:color="000000"/>
            </w:tcBorders>
            <w:hideMark/>
          </w:tcPr>
          <w:p w14:paraId="561D0609"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כי ישפוטו בשורוק תחת חולם, ור' שלמה רצה להפריש ביניהם... ונוכל לומר דרך דקדוק...</w:t>
            </w:r>
          </w:p>
        </w:tc>
        <w:tc>
          <w:tcPr>
            <w:tcW w:w="2730" w:type="dxa"/>
            <w:tcBorders>
              <w:top w:val="nil"/>
              <w:left w:val="single" w:sz="8" w:space="0" w:color="000000"/>
              <w:bottom w:val="nil"/>
              <w:right w:val="single" w:sz="8" w:space="0" w:color="000000"/>
            </w:tcBorders>
          </w:tcPr>
          <w:p w14:paraId="327D660E" w14:textId="463AE1A1" w:rsidR="00505FAD" w:rsidRDefault="00505FAD">
            <w:pPr>
              <w:autoSpaceDE w:val="0"/>
              <w:autoSpaceDN w:val="0"/>
              <w:adjustRightInd w:val="0"/>
              <w:spacing w:line="256" w:lineRule="auto"/>
              <w:rPr>
                <w:rFonts w:eastAsiaTheme="minorHAnsi"/>
                <w:color w:val="000000"/>
                <w:lang w:bidi="he-IL"/>
              </w:rPr>
            </w:pPr>
            <w:r>
              <w:rPr>
                <w:rFonts w:eastAsiaTheme="minorHAnsi"/>
                <w:color w:val="000000"/>
                <w:lang w:bidi="he-IL"/>
              </w:rPr>
              <w:t xml:space="preserve">IE misquotes </w:t>
            </w:r>
            <w:proofErr w:type="spellStart"/>
            <w:r>
              <w:rPr>
                <w:rFonts w:eastAsiaTheme="minorHAnsi"/>
                <w:color w:val="000000"/>
                <w:lang w:bidi="he-IL"/>
              </w:rPr>
              <w:t>Rashi</w:t>
            </w:r>
            <w:proofErr w:type="spellEnd"/>
            <w:r>
              <w:rPr>
                <w:rFonts w:eastAsiaTheme="minorHAnsi"/>
                <w:color w:val="000000"/>
                <w:lang w:bidi="he-IL"/>
              </w:rPr>
              <w:t xml:space="preserve"> (or had another version), but he does so respectfully, by suggesting a grammatical approach (which </w:t>
            </w:r>
            <w:proofErr w:type="spellStart"/>
            <w:r>
              <w:rPr>
                <w:rFonts w:eastAsiaTheme="minorHAnsi"/>
                <w:color w:val="000000"/>
                <w:lang w:bidi="he-IL"/>
              </w:rPr>
              <w:t>Rashi</w:t>
            </w:r>
            <w:proofErr w:type="spellEnd"/>
            <w:r w:rsidR="00AF676F">
              <w:rPr>
                <w:rFonts w:eastAsiaTheme="minorHAnsi"/>
                <w:color w:val="000000"/>
                <w:lang w:bidi="he-IL"/>
              </w:rPr>
              <w:t>,</w:t>
            </w:r>
            <w:r>
              <w:rPr>
                <w:rFonts w:eastAsiaTheme="minorHAnsi"/>
                <w:color w:val="000000"/>
                <w:lang w:bidi="he-IL"/>
              </w:rPr>
              <w:t xml:space="preserve"> in fact</w:t>
            </w:r>
            <w:r w:rsidR="00AF676F">
              <w:rPr>
                <w:rFonts w:eastAsiaTheme="minorHAnsi"/>
                <w:color w:val="000000"/>
                <w:lang w:bidi="he-IL"/>
              </w:rPr>
              <w:t>,</w:t>
            </w:r>
            <w:r>
              <w:rPr>
                <w:rFonts w:eastAsiaTheme="minorHAnsi"/>
                <w:color w:val="000000"/>
                <w:lang w:bidi="he-IL"/>
              </w:rPr>
              <w:t xml:space="preserve"> agrees with)</w:t>
            </w:r>
          </w:p>
          <w:p w14:paraId="0FC0F850" w14:textId="77777777" w:rsidR="00505FAD" w:rsidRDefault="00505FAD">
            <w:pPr>
              <w:autoSpaceDE w:val="0"/>
              <w:autoSpaceDN w:val="0"/>
              <w:adjustRightInd w:val="0"/>
              <w:spacing w:line="256" w:lineRule="auto"/>
              <w:rPr>
                <w:rFonts w:eastAsiaTheme="minorHAnsi"/>
                <w:lang w:bidi="he-IL"/>
              </w:rPr>
            </w:pPr>
          </w:p>
        </w:tc>
      </w:tr>
      <w:tr w:rsidR="00505FAD" w14:paraId="36D847B0" w14:textId="77777777" w:rsidTr="00505FAD">
        <w:trPr>
          <w:cantSplit/>
        </w:trPr>
        <w:tc>
          <w:tcPr>
            <w:tcW w:w="520" w:type="dxa"/>
            <w:tcBorders>
              <w:top w:val="nil"/>
              <w:left w:val="single" w:sz="8" w:space="0" w:color="000000"/>
              <w:bottom w:val="nil"/>
              <w:right w:val="single" w:sz="8" w:space="0" w:color="000000"/>
            </w:tcBorders>
            <w:hideMark/>
          </w:tcPr>
          <w:p w14:paraId="7A3EAE87"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9.</w:t>
            </w:r>
          </w:p>
        </w:tc>
        <w:tc>
          <w:tcPr>
            <w:tcW w:w="1065" w:type="dxa"/>
            <w:tcBorders>
              <w:top w:val="nil"/>
              <w:left w:val="single" w:sz="8" w:space="0" w:color="000000"/>
              <w:bottom w:val="nil"/>
              <w:right w:val="single" w:sz="8" w:space="0" w:color="000000"/>
            </w:tcBorders>
            <w:hideMark/>
          </w:tcPr>
          <w:p w14:paraId="51BA610F" w14:textId="77777777" w:rsidR="00505FAD" w:rsidRDefault="00505FAD">
            <w:pPr>
              <w:autoSpaceDE w:val="0"/>
              <w:autoSpaceDN w:val="0"/>
              <w:adjustRightInd w:val="0"/>
              <w:spacing w:line="256" w:lineRule="auto"/>
              <w:rPr>
                <w:rFonts w:eastAsiaTheme="minorHAnsi"/>
                <w:lang w:bidi="he-IL"/>
              </w:rPr>
            </w:pPr>
            <w:proofErr w:type="spellStart"/>
            <w:r>
              <w:rPr>
                <w:rFonts w:eastAsiaTheme="minorHAnsi"/>
                <w:color w:val="000000"/>
                <w:lang w:bidi="he-IL"/>
              </w:rPr>
              <w:t>Shemot</w:t>
            </w:r>
            <w:proofErr w:type="spellEnd"/>
            <w:r>
              <w:rPr>
                <w:rFonts w:eastAsiaTheme="minorHAnsi"/>
                <w:color w:val="000000"/>
                <w:lang w:bidi="he-IL"/>
              </w:rPr>
              <w:t xml:space="preserve"> 19:2</w:t>
            </w:r>
          </w:p>
        </w:tc>
        <w:tc>
          <w:tcPr>
            <w:tcW w:w="1155" w:type="dxa"/>
            <w:tcBorders>
              <w:top w:val="nil"/>
              <w:left w:val="single" w:sz="8" w:space="0" w:color="000000"/>
              <w:bottom w:val="nil"/>
              <w:right w:val="single" w:sz="8" w:space="0" w:color="000000"/>
            </w:tcBorders>
            <w:hideMark/>
          </w:tcPr>
          <w:p w14:paraId="762A6B91"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Long</w:t>
            </w:r>
          </w:p>
        </w:tc>
        <w:tc>
          <w:tcPr>
            <w:tcW w:w="1665" w:type="dxa"/>
            <w:tcBorders>
              <w:top w:val="nil"/>
              <w:left w:val="single" w:sz="8" w:space="0" w:color="000000"/>
              <w:bottom w:val="nil"/>
              <w:right w:val="single" w:sz="8" w:space="0" w:color="000000"/>
            </w:tcBorders>
            <w:hideMark/>
          </w:tcPr>
          <w:p w14:paraId="546D81D3"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וַיִּֽחַן־שָׁ֥ם יִשְׂרָאֵ֖ל</w:t>
            </w:r>
          </w:p>
        </w:tc>
        <w:tc>
          <w:tcPr>
            <w:tcW w:w="2235" w:type="dxa"/>
            <w:tcBorders>
              <w:top w:val="nil"/>
              <w:left w:val="single" w:sz="8" w:space="0" w:color="000000"/>
              <w:bottom w:val="nil"/>
              <w:right w:val="single" w:sz="8" w:space="0" w:color="000000"/>
            </w:tcBorders>
            <w:hideMark/>
          </w:tcPr>
          <w:p w14:paraId="081A6814"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 על כן הזכיר ויחן, כי מועטים הם... ורבינו שלמה אמר כי כנגד ההר מזרח...</w:t>
            </w:r>
          </w:p>
        </w:tc>
        <w:tc>
          <w:tcPr>
            <w:tcW w:w="2730" w:type="dxa"/>
            <w:tcBorders>
              <w:top w:val="nil"/>
              <w:left w:val="single" w:sz="8" w:space="0" w:color="000000"/>
              <w:bottom w:val="nil"/>
              <w:right w:val="single" w:sz="8" w:space="0" w:color="000000"/>
            </w:tcBorders>
            <w:hideMark/>
          </w:tcPr>
          <w:p w14:paraId="7817745F" w14:textId="2C0B67A3"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 xml:space="preserve">After citing his own opinion, IE matter-of-factly cites </w:t>
            </w:r>
            <w:proofErr w:type="spellStart"/>
            <w:r>
              <w:rPr>
                <w:rFonts w:eastAsiaTheme="minorHAnsi"/>
                <w:color w:val="000000"/>
                <w:lang w:bidi="he-IL"/>
              </w:rPr>
              <w:t>Rashi’s</w:t>
            </w:r>
            <w:proofErr w:type="spellEnd"/>
            <w:r>
              <w:rPr>
                <w:rFonts w:eastAsiaTheme="minorHAnsi"/>
                <w:color w:val="000000"/>
                <w:lang w:bidi="he-IL"/>
              </w:rPr>
              <w:t xml:space="preserve"> view.</w:t>
            </w:r>
          </w:p>
        </w:tc>
      </w:tr>
      <w:tr w:rsidR="00505FAD" w14:paraId="1D5D9EC5" w14:textId="77777777" w:rsidTr="00505FAD">
        <w:trPr>
          <w:cantSplit/>
        </w:trPr>
        <w:tc>
          <w:tcPr>
            <w:tcW w:w="520" w:type="dxa"/>
            <w:tcBorders>
              <w:top w:val="nil"/>
              <w:left w:val="single" w:sz="8" w:space="0" w:color="000000"/>
              <w:bottom w:val="nil"/>
              <w:right w:val="single" w:sz="8" w:space="0" w:color="000000"/>
            </w:tcBorders>
            <w:hideMark/>
          </w:tcPr>
          <w:p w14:paraId="2243096D"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lastRenderedPageBreak/>
              <w:t>10.</w:t>
            </w:r>
          </w:p>
        </w:tc>
        <w:tc>
          <w:tcPr>
            <w:tcW w:w="1065" w:type="dxa"/>
            <w:tcBorders>
              <w:top w:val="nil"/>
              <w:left w:val="single" w:sz="8" w:space="0" w:color="000000"/>
              <w:bottom w:val="nil"/>
              <w:right w:val="single" w:sz="8" w:space="0" w:color="000000"/>
            </w:tcBorders>
            <w:hideMark/>
          </w:tcPr>
          <w:p w14:paraId="00CD4FF3" w14:textId="77777777" w:rsidR="00505FAD" w:rsidRDefault="00505FAD">
            <w:pPr>
              <w:autoSpaceDE w:val="0"/>
              <w:autoSpaceDN w:val="0"/>
              <w:adjustRightInd w:val="0"/>
              <w:spacing w:line="256" w:lineRule="auto"/>
              <w:rPr>
                <w:rFonts w:eastAsiaTheme="minorHAnsi"/>
                <w:lang w:bidi="he-IL"/>
              </w:rPr>
            </w:pPr>
            <w:proofErr w:type="spellStart"/>
            <w:r>
              <w:rPr>
                <w:rFonts w:eastAsiaTheme="minorHAnsi"/>
                <w:color w:val="000000"/>
                <w:lang w:bidi="he-IL"/>
              </w:rPr>
              <w:t>Shemot</w:t>
            </w:r>
            <w:proofErr w:type="spellEnd"/>
            <w:r>
              <w:rPr>
                <w:rFonts w:eastAsiaTheme="minorHAnsi"/>
                <w:color w:val="000000"/>
                <w:lang w:bidi="he-IL"/>
              </w:rPr>
              <w:t xml:space="preserve"> 23:19</w:t>
            </w:r>
          </w:p>
        </w:tc>
        <w:tc>
          <w:tcPr>
            <w:tcW w:w="1155" w:type="dxa"/>
            <w:tcBorders>
              <w:top w:val="nil"/>
              <w:left w:val="single" w:sz="8" w:space="0" w:color="000000"/>
              <w:bottom w:val="nil"/>
              <w:right w:val="single" w:sz="8" w:space="0" w:color="000000"/>
            </w:tcBorders>
            <w:hideMark/>
          </w:tcPr>
          <w:p w14:paraId="5F80DD57"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Long</w:t>
            </w:r>
          </w:p>
        </w:tc>
        <w:tc>
          <w:tcPr>
            <w:tcW w:w="1665" w:type="dxa"/>
            <w:tcBorders>
              <w:top w:val="nil"/>
              <w:left w:val="single" w:sz="8" w:space="0" w:color="000000"/>
              <w:bottom w:val="nil"/>
              <w:right w:val="single" w:sz="8" w:space="0" w:color="000000"/>
            </w:tcBorders>
            <w:hideMark/>
          </w:tcPr>
          <w:p w14:paraId="6DB8380F"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רֵאשִׁ֗ית</w:t>
            </w:r>
          </w:p>
        </w:tc>
        <w:tc>
          <w:tcPr>
            <w:tcW w:w="2235" w:type="dxa"/>
            <w:tcBorders>
              <w:top w:val="nil"/>
              <w:left w:val="single" w:sz="8" w:space="0" w:color="000000"/>
              <w:bottom w:val="nil"/>
              <w:right w:val="single" w:sz="8" w:space="0" w:color="000000"/>
            </w:tcBorders>
            <w:hideMark/>
          </w:tcPr>
          <w:p w14:paraId="4F4B7A81"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 xml:space="preserve">ורבי שלמה אמר כי גדי הוא הקטן הרך ... ואיננו כן... ובלשון ערבי... </w:t>
            </w:r>
          </w:p>
        </w:tc>
        <w:tc>
          <w:tcPr>
            <w:tcW w:w="2730" w:type="dxa"/>
            <w:tcBorders>
              <w:top w:val="nil"/>
              <w:left w:val="single" w:sz="8" w:space="0" w:color="000000"/>
              <w:bottom w:val="nil"/>
              <w:right w:val="single" w:sz="8" w:space="0" w:color="000000"/>
            </w:tcBorders>
          </w:tcPr>
          <w:p w14:paraId="1DA785CD" w14:textId="77777777" w:rsidR="00505FAD" w:rsidRDefault="00505FAD">
            <w:pPr>
              <w:autoSpaceDE w:val="0"/>
              <w:autoSpaceDN w:val="0"/>
              <w:adjustRightInd w:val="0"/>
              <w:spacing w:line="256" w:lineRule="auto"/>
              <w:rPr>
                <w:rFonts w:eastAsiaTheme="minorHAnsi"/>
                <w:color w:val="000000"/>
                <w:lang w:bidi="he-IL"/>
              </w:rPr>
            </w:pPr>
            <w:r>
              <w:rPr>
                <w:rFonts w:eastAsiaTheme="minorHAnsi"/>
                <w:color w:val="000000"/>
                <w:lang w:bidi="he-IL"/>
              </w:rPr>
              <w:t xml:space="preserve">IE respectfully engages </w:t>
            </w:r>
            <w:proofErr w:type="spellStart"/>
            <w:r>
              <w:rPr>
                <w:rFonts w:eastAsiaTheme="minorHAnsi"/>
                <w:color w:val="000000"/>
                <w:lang w:bidi="he-IL"/>
              </w:rPr>
              <w:t>Rashi</w:t>
            </w:r>
            <w:proofErr w:type="spellEnd"/>
            <w:r>
              <w:rPr>
                <w:rFonts w:eastAsiaTheme="minorHAnsi"/>
                <w:color w:val="000000"/>
                <w:lang w:bidi="he-IL"/>
              </w:rPr>
              <w:t xml:space="preserve"> via Arabic linguistics and other “medical” facts unknown to Ashkenazim</w:t>
            </w:r>
          </w:p>
          <w:p w14:paraId="3EC4C245" w14:textId="77777777" w:rsidR="00505FAD" w:rsidRDefault="00505FAD">
            <w:pPr>
              <w:autoSpaceDE w:val="0"/>
              <w:autoSpaceDN w:val="0"/>
              <w:adjustRightInd w:val="0"/>
              <w:spacing w:line="256" w:lineRule="auto"/>
              <w:rPr>
                <w:rFonts w:eastAsiaTheme="minorHAnsi"/>
                <w:lang w:bidi="he-IL"/>
              </w:rPr>
            </w:pPr>
          </w:p>
        </w:tc>
      </w:tr>
      <w:tr w:rsidR="00505FAD" w14:paraId="5EB7E9E3" w14:textId="77777777" w:rsidTr="00505FAD">
        <w:trPr>
          <w:cantSplit/>
        </w:trPr>
        <w:tc>
          <w:tcPr>
            <w:tcW w:w="520" w:type="dxa"/>
            <w:tcBorders>
              <w:top w:val="nil"/>
              <w:left w:val="single" w:sz="8" w:space="0" w:color="000000"/>
              <w:bottom w:val="nil"/>
              <w:right w:val="single" w:sz="8" w:space="0" w:color="000000"/>
            </w:tcBorders>
          </w:tcPr>
          <w:p w14:paraId="2BA0ACE8" w14:textId="77777777" w:rsidR="00505FAD" w:rsidRDefault="00505FAD">
            <w:pPr>
              <w:autoSpaceDE w:val="0"/>
              <w:autoSpaceDN w:val="0"/>
              <w:adjustRightInd w:val="0"/>
              <w:spacing w:line="256" w:lineRule="auto"/>
              <w:jc w:val="both"/>
              <w:rPr>
                <w:rFonts w:eastAsiaTheme="minorHAnsi"/>
                <w:lang w:bidi="he-IL"/>
              </w:rPr>
            </w:pPr>
            <w:r>
              <w:rPr>
                <w:rFonts w:eastAsiaTheme="minorHAnsi"/>
                <w:color w:val="000000"/>
                <w:lang w:bidi="he-IL"/>
              </w:rPr>
              <w:t>11.</w:t>
            </w:r>
          </w:p>
          <w:p w14:paraId="4E1602BE" w14:textId="77777777" w:rsidR="00505FAD" w:rsidRDefault="00505FAD">
            <w:pPr>
              <w:autoSpaceDE w:val="0"/>
              <w:autoSpaceDN w:val="0"/>
              <w:adjustRightInd w:val="0"/>
              <w:spacing w:line="256" w:lineRule="auto"/>
              <w:jc w:val="both"/>
              <w:rPr>
                <w:rFonts w:eastAsiaTheme="minorHAnsi"/>
                <w:lang w:bidi="he-IL"/>
              </w:rPr>
            </w:pPr>
          </w:p>
          <w:p w14:paraId="3D741149"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w:t>
            </w:r>
          </w:p>
        </w:tc>
        <w:tc>
          <w:tcPr>
            <w:tcW w:w="1065" w:type="dxa"/>
            <w:tcBorders>
              <w:top w:val="nil"/>
              <w:left w:val="single" w:sz="8" w:space="0" w:color="000000"/>
              <w:bottom w:val="nil"/>
              <w:right w:val="single" w:sz="8" w:space="0" w:color="000000"/>
            </w:tcBorders>
            <w:hideMark/>
          </w:tcPr>
          <w:p w14:paraId="28C7E454" w14:textId="77777777" w:rsidR="00505FAD" w:rsidRDefault="00505FAD">
            <w:pPr>
              <w:autoSpaceDE w:val="0"/>
              <w:autoSpaceDN w:val="0"/>
              <w:adjustRightInd w:val="0"/>
              <w:spacing w:line="256" w:lineRule="auto"/>
              <w:jc w:val="both"/>
              <w:rPr>
                <w:rFonts w:eastAsiaTheme="minorHAnsi"/>
                <w:lang w:bidi="he-IL"/>
              </w:rPr>
            </w:pPr>
            <w:proofErr w:type="spellStart"/>
            <w:r>
              <w:rPr>
                <w:rFonts w:eastAsiaTheme="minorHAnsi"/>
                <w:color w:val="000000"/>
                <w:lang w:bidi="he-IL"/>
              </w:rPr>
              <w:t>Shemot</w:t>
            </w:r>
            <w:proofErr w:type="spellEnd"/>
            <w:r>
              <w:rPr>
                <w:rFonts w:eastAsiaTheme="minorHAnsi"/>
                <w:color w:val="000000"/>
                <w:lang w:bidi="he-IL"/>
              </w:rPr>
              <w:t xml:space="preserve"> 26:18</w:t>
            </w:r>
          </w:p>
          <w:p w14:paraId="178F36F2"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(twice)</w:t>
            </w:r>
          </w:p>
        </w:tc>
        <w:tc>
          <w:tcPr>
            <w:tcW w:w="1155" w:type="dxa"/>
            <w:tcBorders>
              <w:top w:val="nil"/>
              <w:left w:val="single" w:sz="8" w:space="0" w:color="000000"/>
              <w:bottom w:val="nil"/>
              <w:right w:val="single" w:sz="8" w:space="0" w:color="000000"/>
            </w:tcBorders>
            <w:hideMark/>
          </w:tcPr>
          <w:p w14:paraId="6C3B9FE1"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Long</w:t>
            </w:r>
          </w:p>
        </w:tc>
        <w:tc>
          <w:tcPr>
            <w:tcW w:w="1665" w:type="dxa"/>
            <w:tcBorders>
              <w:top w:val="nil"/>
              <w:left w:val="single" w:sz="8" w:space="0" w:color="000000"/>
              <w:bottom w:val="nil"/>
              <w:right w:val="single" w:sz="8" w:space="0" w:color="000000"/>
            </w:tcBorders>
            <w:hideMark/>
          </w:tcPr>
          <w:p w14:paraId="46715CE5"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וְעָשִׂ֥יתָ [אֶת־הַקְּרָשִׁ֖ים]</w:t>
            </w:r>
          </w:p>
        </w:tc>
        <w:tc>
          <w:tcPr>
            <w:tcW w:w="2235" w:type="dxa"/>
            <w:tcBorders>
              <w:top w:val="nil"/>
              <w:left w:val="single" w:sz="8" w:space="0" w:color="000000"/>
              <w:bottom w:val="nil"/>
              <w:right w:val="single" w:sz="8" w:space="0" w:color="000000"/>
            </w:tcBorders>
            <w:hideMark/>
          </w:tcPr>
          <w:p w14:paraId="0605953C"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 ועל דעת רבינו שלמה כי במעשה נס היה עומד... ואם קבלה היא שהעובי היה כך, נשמע ונקבל...</w:t>
            </w:r>
          </w:p>
        </w:tc>
        <w:tc>
          <w:tcPr>
            <w:tcW w:w="2730" w:type="dxa"/>
            <w:tcBorders>
              <w:top w:val="nil"/>
              <w:left w:val="single" w:sz="8" w:space="0" w:color="000000"/>
              <w:bottom w:val="nil"/>
              <w:right w:val="single" w:sz="8" w:space="0" w:color="000000"/>
            </w:tcBorders>
          </w:tcPr>
          <w:p w14:paraId="1F3AE2AF" w14:textId="4C93AEC2" w:rsidR="00505FAD" w:rsidRDefault="00505FAD">
            <w:pPr>
              <w:autoSpaceDE w:val="0"/>
              <w:autoSpaceDN w:val="0"/>
              <w:adjustRightInd w:val="0"/>
              <w:spacing w:line="256" w:lineRule="auto"/>
              <w:rPr>
                <w:rFonts w:eastAsiaTheme="minorHAnsi"/>
                <w:color w:val="000000"/>
                <w:lang w:bidi="he-IL"/>
              </w:rPr>
            </w:pPr>
            <w:r>
              <w:rPr>
                <w:rFonts w:eastAsiaTheme="minorHAnsi"/>
                <w:color w:val="000000"/>
                <w:lang w:bidi="he-IL"/>
              </w:rPr>
              <w:t xml:space="preserve">Ibn Ezra’s comments pertain to </w:t>
            </w:r>
            <w:proofErr w:type="spellStart"/>
            <w:r>
              <w:rPr>
                <w:rFonts w:eastAsiaTheme="minorHAnsi"/>
                <w:color w:val="000000"/>
                <w:lang w:bidi="he-IL"/>
              </w:rPr>
              <w:t>Rashi’s</w:t>
            </w:r>
            <w:proofErr w:type="spellEnd"/>
            <w:r>
              <w:rPr>
                <w:rFonts w:eastAsiaTheme="minorHAnsi"/>
                <w:color w:val="000000"/>
                <w:lang w:bidi="he-IL"/>
              </w:rPr>
              <w:t xml:space="preserve"> interpretation, based on   BT </w:t>
            </w:r>
            <w:proofErr w:type="spellStart"/>
            <w:r>
              <w:rPr>
                <w:rFonts w:eastAsiaTheme="minorHAnsi"/>
                <w:color w:val="000000"/>
                <w:lang w:bidi="he-IL"/>
              </w:rPr>
              <w:t>Shab</w:t>
            </w:r>
            <w:proofErr w:type="spellEnd"/>
            <w:r>
              <w:rPr>
                <w:rFonts w:eastAsiaTheme="minorHAnsi"/>
                <w:color w:val="000000"/>
                <w:lang w:bidi="he-IL"/>
              </w:rPr>
              <w:t xml:space="preserve">. 98b. He is prepared to defer to </w:t>
            </w:r>
            <w:proofErr w:type="spellStart"/>
            <w:r>
              <w:rPr>
                <w:rFonts w:eastAsiaTheme="minorHAnsi"/>
                <w:color w:val="000000"/>
                <w:lang w:bidi="he-IL"/>
              </w:rPr>
              <w:t>Rashi’s</w:t>
            </w:r>
            <w:proofErr w:type="spellEnd"/>
            <w:r>
              <w:rPr>
                <w:rFonts w:eastAsiaTheme="minorHAnsi"/>
                <w:color w:val="000000"/>
                <w:lang w:bidi="he-IL"/>
              </w:rPr>
              <w:t xml:space="preserve"> interpretation, if it is the proper tradition</w:t>
            </w:r>
          </w:p>
          <w:p w14:paraId="31171CC8" w14:textId="77777777" w:rsidR="00505FAD" w:rsidRDefault="00505FAD">
            <w:pPr>
              <w:autoSpaceDE w:val="0"/>
              <w:autoSpaceDN w:val="0"/>
              <w:adjustRightInd w:val="0"/>
              <w:spacing w:line="256" w:lineRule="auto"/>
              <w:rPr>
                <w:rFonts w:eastAsiaTheme="minorHAnsi"/>
                <w:lang w:bidi="he-IL"/>
              </w:rPr>
            </w:pPr>
          </w:p>
        </w:tc>
      </w:tr>
      <w:tr w:rsidR="00505FAD" w14:paraId="7479F742" w14:textId="77777777" w:rsidTr="00505FAD">
        <w:trPr>
          <w:cantSplit/>
        </w:trPr>
        <w:tc>
          <w:tcPr>
            <w:tcW w:w="520" w:type="dxa"/>
            <w:tcBorders>
              <w:top w:val="nil"/>
              <w:left w:val="single" w:sz="8" w:space="0" w:color="000000"/>
              <w:bottom w:val="nil"/>
              <w:right w:val="single" w:sz="8" w:space="0" w:color="000000"/>
            </w:tcBorders>
            <w:hideMark/>
          </w:tcPr>
          <w:p w14:paraId="5094A35F"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12.</w:t>
            </w:r>
          </w:p>
        </w:tc>
        <w:tc>
          <w:tcPr>
            <w:tcW w:w="1065" w:type="dxa"/>
            <w:tcBorders>
              <w:top w:val="nil"/>
              <w:left w:val="single" w:sz="8" w:space="0" w:color="000000"/>
              <w:bottom w:val="nil"/>
              <w:right w:val="single" w:sz="8" w:space="0" w:color="000000"/>
            </w:tcBorders>
            <w:hideMark/>
          </w:tcPr>
          <w:p w14:paraId="714C61A7" w14:textId="77777777" w:rsidR="00505FAD" w:rsidRDefault="00505FAD">
            <w:pPr>
              <w:autoSpaceDE w:val="0"/>
              <w:autoSpaceDN w:val="0"/>
              <w:adjustRightInd w:val="0"/>
              <w:spacing w:line="256" w:lineRule="auto"/>
              <w:rPr>
                <w:rFonts w:eastAsiaTheme="minorHAnsi"/>
                <w:lang w:bidi="he-IL"/>
              </w:rPr>
            </w:pPr>
            <w:proofErr w:type="spellStart"/>
            <w:r>
              <w:rPr>
                <w:rFonts w:eastAsiaTheme="minorHAnsi"/>
                <w:color w:val="000000"/>
                <w:lang w:bidi="he-IL"/>
              </w:rPr>
              <w:t>Shemot</w:t>
            </w:r>
            <w:proofErr w:type="spellEnd"/>
            <w:r>
              <w:rPr>
                <w:rFonts w:eastAsiaTheme="minorHAnsi"/>
                <w:color w:val="000000"/>
                <w:lang w:bidi="he-IL"/>
              </w:rPr>
              <w:t xml:space="preserve"> 26:31</w:t>
            </w:r>
          </w:p>
        </w:tc>
        <w:tc>
          <w:tcPr>
            <w:tcW w:w="1155" w:type="dxa"/>
            <w:tcBorders>
              <w:top w:val="nil"/>
              <w:left w:val="single" w:sz="8" w:space="0" w:color="000000"/>
              <w:bottom w:val="nil"/>
              <w:right w:val="single" w:sz="8" w:space="0" w:color="000000"/>
            </w:tcBorders>
            <w:hideMark/>
          </w:tcPr>
          <w:p w14:paraId="1A4B4453"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Long</w:t>
            </w:r>
          </w:p>
        </w:tc>
        <w:tc>
          <w:tcPr>
            <w:tcW w:w="1665" w:type="dxa"/>
            <w:tcBorders>
              <w:top w:val="nil"/>
              <w:left w:val="single" w:sz="8" w:space="0" w:color="000000"/>
              <w:bottom w:val="nil"/>
              <w:right w:val="single" w:sz="8" w:space="0" w:color="000000"/>
            </w:tcBorders>
            <w:hideMark/>
          </w:tcPr>
          <w:p w14:paraId="5488D2FB"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וְעָשִׂ֣יתָ פָרֹ֗כֶת</w:t>
            </w:r>
          </w:p>
        </w:tc>
        <w:tc>
          <w:tcPr>
            <w:tcW w:w="2235" w:type="dxa"/>
            <w:tcBorders>
              <w:top w:val="nil"/>
              <w:left w:val="single" w:sz="8" w:space="0" w:color="000000"/>
              <w:bottom w:val="nil"/>
              <w:right w:val="single" w:sz="8" w:space="0" w:color="000000"/>
            </w:tcBorders>
            <w:hideMark/>
          </w:tcPr>
          <w:p w14:paraId="2012D52E"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ככה מצאנו שיעשה שלמה לפתח הדביר... ופירש רש"י ז"ל...</w:t>
            </w:r>
          </w:p>
        </w:tc>
        <w:tc>
          <w:tcPr>
            <w:tcW w:w="2730" w:type="dxa"/>
            <w:tcBorders>
              <w:top w:val="nil"/>
              <w:left w:val="single" w:sz="8" w:space="0" w:color="000000"/>
              <w:bottom w:val="nil"/>
              <w:right w:val="single" w:sz="8" w:space="0" w:color="000000"/>
            </w:tcBorders>
          </w:tcPr>
          <w:p w14:paraId="0D891211" w14:textId="77777777" w:rsidR="00505FAD" w:rsidRDefault="00505FAD">
            <w:pPr>
              <w:autoSpaceDE w:val="0"/>
              <w:autoSpaceDN w:val="0"/>
              <w:adjustRightInd w:val="0"/>
              <w:spacing w:line="256" w:lineRule="auto"/>
              <w:rPr>
                <w:rFonts w:eastAsiaTheme="minorHAnsi"/>
                <w:color w:val="000000"/>
                <w:lang w:bidi="he-IL"/>
              </w:rPr>
            </w:pPr>
            <w:r>
              <w:rPr>
                <w:rFonts w:eastAsiaTheme="minorHAnsi"/>
                <w:color w:val="000000"/>
                <w:lang w:bidi="he-IL"/>
              </w:rPr>
              <w:t xml:space="preserve">IE challenges </w:t>
            </w:r>
            <w:proofErr w:type="spellStart"/>
            <w:r>
              <w:rPr>
                <w:rFonts w:eastAsiaTheme="minorHAnsi"/>
                <w:color w:val="000000"/>
                <w:lang w:bidi="he-IL"/>
              </w:rPr>
              <w:t>Rashi</w:t>
            </w:r>
            <w:proofErr w:type="spellEnd"/>
            <w:r>
              <w:rPr>
                <w:rFonts w:eastAsiaTheme="minorHAnsi"/>
                <w:color w:val="000000"/>
                <w:lang w:bidi="he-IL"/>
              </w:rPr>
              <w:t xml:space="preserve"> indirectly with other biblical references </w:t>
            </w:r>
          </w:p>
          <w:p w14:paraId="5E86CD2C" w14:textId="77777777" w:rsidR="00505FAD" w:rsidRDefault="00505FAD">
            <w:pPr>
              <w:autoSpaceDE w:val="0"/>
              <w:autoSpaceDN w:val="0"/>
              <w:adjustRightInd w:val="0"/>
              <w:spacing w:line="256" w:lineRule="auto"/>
              <w:rPr>
                <w:rFonts w:eastAsiaTheme="minorHAnsi"/>
                <w:lang w:bidi="he-IL"/>
              </w:rPr>
            </w:pPr>
          </w:p>
        </w:tc>
      </w:tr>
      <w:tr w:rsidR="00505FAD" w14:paraId="0CBDCDC5" w14:textId="77777777" w:rsidTr="00505FAD">
        <w:trPr>
          <w:cantSplit/>
        </w:trPr>
        <w:tc>
          <w:tcPr>
            <w:tcW w:w="520" w:type="dxa"/>
            <w:tcBorders>
              <w:top w:val="nil"/>
              <w:left w:val="single" w:sz="8" w:space="0" w:color="000000"/>
              <w:bottom w:val="nil"/>
              <w:right w:val="single" w:sz="8" w:space="0" w:color="000000"/>
            </w:tcBorders>
            <w:hideMark/>
          </w:tcPr>
          <w:p w14:paraId="060F9CDC"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13.</w:t>
            </w:r>
          </w:p>
        </w:tc>
        <w:tc>
          <w:tcPr>
            <w:tcW w:w="1065" w:type="dxa"/>
            <w:tcBorders>
              <w:top w:val="nil"/>
              <w:left w:val="single" w:sz="8" w:space="0" w:color="000000"/>
              <w:bottom w:val="nil"/>
              <w:right w:val="single" w:sz="8" w:space="0" w:color="000000"/>
            </w:tcBorders>
            <w:hideMark/>
          </w:tcPr>
          <w:p w14:paraId="20015D65" w14:textId="77777777" w:rsidR="00505FAD" w:rsidRDefault="00505FAD">
            <w:pPr>
              <w:autoSpaceDE w:val="0"/>
              <w:autoSpaceDN w:val="0"/>
              <w:adjustRightInd w:val="0"/>
              <w:spacing w:line="256" w:lineRule="auto"/>
              <w:rPr>
                <w:rFonts w:eastAsiaTheme="minorHAnsi"/>
                <w:lang w:bidi="he-IL"/>
              </w:rPr>
            </w:pPr>
            <w:proofErr w:type="spellStart"/>
            <w:r>
              <w:rPr>
                <w:rFonts w:eastAsiaTheme="minorHAnsi"/>
                <w:color w:val="000000"/>
                <w:lang w:bidi="he-IL"/>
              </w:rPr>
              <w:t>Shemot</w:t>
            </w:r>
            <w:proofErr w:type="spellEnd"/>
            <w:r>
              <w:rPr>
                <w:rFonts w:eastAsiaTheme="minorHAnsi"/>
                <w:color w:val="000000"/>
                <w:lang w:bidi="he-IL"/>
              </w:rPr>
              <w:t xml:space="preserve"> 28:6</w:t>
            </w:r>
          </w:p>
        </w:tc>
        <w:tc>
          <w:tcPr>
            <w:tcW w:w="1155" w:type="dxa"/>
            <w:tcBorders>
              <w:top w:val="nil"/>
              <w:left w:val="single" w:sz="8" w:space="0" w:color="000000"/>
              <w:bottom w:val="nil"/>
              <w:right w:val="single" w:sz="8" w:space="0" w:color="000000"/>
            </w:tcBorders>
            <w:hideMark/>
          </w:tcPr>
          <w:p w14:paraId="6F68AB61"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Long</w:t>
            </w:r>
          </w:p>
        </w:tc>
        <w:tc>
          <w:tcPr>
            <w:tcW w:w="1665" w:type="dxa"/>
            <w:tcBorders>
              <w:top w:val="nil"/>
              <w:left w:val="single" w:sz="8" w:space="0" w:color="000000"/>
              <w:bottom w:val="nil"/>
              <w:right w:val="single" w:sz="8" w:space="0" w:color="000000"/>
            </w:tcBorders>
            <w:hideMark/>
          </w:tcPr>
          <w:p w14:paraId="1D839137"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הָֽאֵפֹ֑ד</w:t>
            </w:r>
          </w:p>
        </w:tc>
        <w:tc>
          <w:tcPr>
            <w:tcW w:w="2235" w:type="dxa"/>
            <w:tcBorders>
              <w:top w:val="nil"/>
              <w:left w:val="single" w:sz="8" w:space="0" w:color="000000"/>
              <w:bottom w:val="nil"/>
              <w:right w:val="single" w:sz="8" w:space="0" w:color="000000"/>
            </w:tcBorders>
            <w:hideMark/>
          </w:tcPr>
          <w:p w14:paraId="5B66B0E3"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ורבינו שלמה אמר כי האו"ת היו כתבי שם המפורש. ואילו ראה תשובת רבינו האי לא אמר ככה</w:t>
            </w:r>
          </w:p>
        </w:tc>
        <w:tc>
          <w:tcPr>
            <w:tcW w:w="2730" w:type="dxa"/>
            <w:tcBorders>
              <w:top w:val="nil"/>
              <w:left w:val="single" w:sz="8" w:space="0" w:color="000000"/>
              <w:bottom w:val="nil"/>
              <w:right w:val="single" w:sz="8" w:space="0" w:color="000000"/>
            </w:tcBorders>
          </w:tcPr>
          <w:p w14:paraId="0D9CE05D" w14:textId="77777777" w:rsidR="00505FAD" w:rsidRDefault="00505FAD">
            <w:pPr>
              <w:autoSpaceDE w:val="0"/>
              <w:autoSpaceDN w:val="0"/>
              <w:adjustRightInd w:val="0"/>
              <w:spacing w:line="256" w:lineRule="auto"/>
              <w:rPr>
                <w:rFonts w:eastAsiaTheme="minorHAnsi"/>
                <w:color w:val="000000"/>
                <w:lang w:bidi="he-IL"/>
              </w:rPr>
            </w:pPr>
            <w:r>
              <w:rPr>
                <w:rFonts w:eastAsiaTheme="minorHAnsi"/>
                <w:color w:val="000000"/>
                <w:lang w:bidi="he-IL"/>
              </w:rPr>
              <w:t xml:space="preserve">IE respectfully disagrees with </w:t>
            </w:r>
            <w:proofErr w:type="spellStart"/>
            <w:r>
              <w:rPr>
                <w:rFonts w:eastAsiaTheme="minorHAnsi"/>
                <w:color w:val="000000"/>
                <w:lang w:bidi="he-IL"/>
              </w:rPr>
              <w:t>Rashi</w:t>
            </w:r>
            <w:proofErr w:type="spellEnd"/>
            <w:r>
              <w:rPr>
                <w:rFonts w:eastAsiaTheme="minorHAnsi"/>
                <w:color w:val="000000"/>
                <w:lang w:bidi="he-IL"/>
              </w:rPr>
              <w:t xml:space="preserve">, while “excusing” </w:t>
            </w:r>
            <w:proofErr w:type="spellStart"/>
            <w:r>
              <w:rPr>
                <w:rFonts w:eastAsiaTheme="minorHAnsi"/>
                <w:color w:val="000000"/>
                <w:lang w:bidi="he-IL"/>
              </w:rPr>
              <w:t>Rashi’s</w:t>
            </w:r>
            <w:proofErr w:type="spellEnd"/>
            <w:r>
              <w:rPr>
                <w:rFonts w:eastAsiaTheme="minorHAnsi"/>
                <w:color w:val="000000"/>
                <w:lang w:bidi="he-IL"/>
              </w:rPr>
              <w:t xml:space="preserve"> ignorance of Rav Hai Gaon’s responsa.</w:t>
            </w:r>
          </w:p>
          <w:p w14:paraId="565818D7" w14:textId="77777777" w:rsidR="00505FAD" w:rsidRDefault="00505FAD">
            <w:pPr>
              <w:autoSpaceDE w:val="0"/>
              <w:autoSpaceDN w:val="0"/>
              <w:adjustRightInd w:val="0"/>
              <w:spacing w:line="256" w:lineRule="auto"/>
              <w:rPr>
                <w:rFonts w:eastAsiaTheme="minorHAnsi"/>
                <w:lang w:bidi="he-IL"/>
              </w:rPr>
            </w:pPr>
          </w:p>
        </w:tc>
      </w:tr>
      <w:tr w:rsidR="00505FAD" w14:paraId="25F2DF56" w14:textId="77777777" w:rsidTr="00505FAD">
        <w:trPr>
          <w:cantSplit/>
        </w:trPr>
        <w:tc>
          <w:tcPr>
            <w:tcW w:w="520" w:type="dxa"/>
            <w:tcBorders>
              <w:top w:val="nil"/>
              <w:left w:val="single" w:sz="8" w:space="0" w:color="000000"/>
              <w:bottom w:val="nil"/>
              <w:right w:val="single" w:sz="8" w:space="0" w:color="000000"/>
            </w:tcBorders>
            <w:hideMark/>
          </w:tcPr>
          <w:p w14:paraId="688BB3FD"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14.</w:t>
            </w:r>
          </w:p>
        </w:tc>
        <w:tc>
          <w:tcPr>
            <w:tcW w:w="1065" w:type="dxa"/>
            <w:tcBorders>
              <w:top w:val="nil"/>
              <w:left w:val="single" w:sz="8" w:space="0" w:color="000000"/>
              <w:bottom w:val="nil"/>
              <w:right w:val="single" w:sz="8" w:space="0" w:color="000000"/>
            </w:tcBorders>
            <w:hideMark/>
          </w:tcPr>
          <w:p w14:paraId="5284DE4E" w14:textId="77777777" w:rsidR="00505FAD" w:rsidRDefault="00505FAD">
            <w:pPr>
              <w:autoSpaceDE w:val="0"/>
              <w:autoSpaceDN w:val="0"/>
              <w:adjustRightInd w:val="0"/>
              <w:spacing w:line="256" w:lineRule="auto"/>
              <w:rPr>
                <w:rFonts w:eastAsiaTheme="minorHAnsi"/>
                <w:lang w:bidi="he-IL"/>
              </w:rPr>
            </w:pPr>
            <w:proofErr w:type="spellStart"/>
            <w:r>
              <w:rPr>
                <w:rFonts w:eastAsiaTheme="minorHAnsi"/>
                <w:color w:val="000000"/>
                <w:lang w:bidi="he-IL"/>
              </w:rPr>
              <w:t>Shemot</w:t>
            </w:r>
            <w:proofErr w:type="spellEnd"/>
            <w:r>
              <w:rPr>
                <w:rFonts w:eastAsiaTheme="minorHAnsi"/>
                <w:color w:val="000000"/>
                <w:lang w:bidi="he-IL"/>
              </w:rPr>
              <w:t xml:space="preserve"> 28:36</w:t>
            </w:r>
          </w:p>
        </w:tc>
        <w:tc>
          <w:tcPr>
            <w:tcW w:w="1155" w:type="dxa"/>
            <w:tcBorders>
              <w:top w:val="nil"/>
              <w:left w:val="single" w:sz="8" w:space="0" w:color="000000"/>
              <w:bottom w:val="nil"/>
              <w:right w:val="single" w:sz="8" w:space="0" w:color="000000"/>
            </w:tcBorders>
            <w:hideMark/>
          </w:tcPr>
          <w:p w14:paraId="4E5137AB"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Long</w:t>
            </w:r>
          </w:p>
        </w:tc>
        <w:tc>
          <w:tcPr>
            <w:tcW w:w="1665" w:type="dxa"/>
            <w:tcBorders>
              <w:top w:val="nil"/>
              <w:left w:val="single" w:sz="8" w:space="0" w:color="000000"/>
              <w:bottom w:val="nil"/>
              <w:right w:val="single" w:sz="8" w:space="0" w:color="000000"/>
            </w:tcBorders>
            <w:hideMark/>
          </w:tcPr>
          <w:p w14:paraId="1CD17317"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וְעָשִׂ֥יתָ צִּ֖יץ</w:t>
            </w:r>
          </w:p>
        </w:tc>
        <w:tc>
          <w:tcPr>
            <w:tcW w:w="2235" w:type="dxa"/>
            <w:tcBorders>
              <w:top w:val="nil"/>
              <w:left w:val="single" w:sz="8" w:space="0" w:color="000000"/>
              <w:bottom w:val="nil"/>
              <w:right w:val="single" w:sz="8" w:space="0" w:color="000000"/>
            </w:tcBorders>
            <w:hideMark/>
          </w:tcPr>
          <w:p w14:paraId="2A38F646" w14:textId="77777777" w:rsidR="00505FAD" w:rsidRDefault="00505FAD">
            <w:pPr>
              <w:autoSpaceDE w:val="0"/>
              <w:autoSpaceDN w:val="0"/>
              <w:adjustRightInd w:val="0"/>
              <w:spacing w:line="256" w:lineRule="auto"/>
              <w:rPr>
                <w:rFonts w:eastAsiaTheme="minorHAnsi"/>
                <w:lang w:bidi="he-IL"/>
              </w:rPr>
            </w:pPr>
            <w:r>
              <w:rPr>
                <w:rFonts w:eastAsiaTheme="minorHAnsi" w:cs="FrankRuehl"/>
                <w:color w:val="000000"/>
                <w:szCs w:val="28"/>
                <w:rtl/>
                <w:lang w:bidi="he-IL"/>
              </w:rPr>
              <w:t xml:space="preserve">... כי בארץ ישמעאל ובספרד ... והשרים עושים ציץ זהב... על מקום המצח... כי מנהג א"י ...אינו כמנהג אלה המקומות. והוצרך רבינו שלמה לתקן המקראות. </w:t>
            </w:r>
          </w:p>
        </w:tc>
        <w:tc>
          <w:tcPr>
            <w:tcW w:w="2730" w:type="dxa"/>
            <w:tcBorders>
              <w:top w:val="nil"/>
              <w:left w:val="single" w:sz="8" w:space="0" w:color="000000"/>
              <w:bottom w:val="nil"/>
              <w:right w:val="single" w:sz="8" w:space="0" w:color="000000"/>
            </w:tcBorders>
            <w:hideMark/>
          </w:tcPr>
          <w:p w14:paraId="664CA8C1" w14:textId="26B576B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 xml:space="preserve">IE goes to great lengths to explain cultural </w:t>
            </w:r>
            <w:r w:rsidR="00AF676F">
              <w:rPr>
                <w:rFonts w:eastAsiaTheme="minorHAnsi"/>
                <w:color w:val="000000"/>
                <w:lang w:bidi="he-IL"/>
              </w:rPr>
              <w:t xml:space="preserve">Islamic and </w:t>
            </w:r>
            <w:r>
              <w:rPr>
                <w:rFonts w:eastAsiaTheme="minorHAnsi"/>
                <w:color w:val="000000"/>
                <w:lang w:bidi="he-IL"/>
              </w:rPr>
              <w:t xml:space="preserve">Sephardic practices </w:t>
            </w:r>
            <w:r w:rsidR="00AF676F">
              <w:rPr>
                <w:rFonts w:eastAsiaTheme="minorHAnsi"/>
                <w:color w:val="000000"/>
                <w:lang w:bidi="he-IL"/>
              </w:rPr>
              <w:t>un</w:t>
            </w:r>
            <w:r>
              <w:rPr>
                <w:rFonts w:eastAsiaTheme="minorHAnsi"/>
                <w:color w:val="000000"/>
                <w:lang w:bidi="he-IL"/>
              </w:rPr>
              <w:t>known to Ashkenazic Jews, which affected the understanding of the verse.</w:t>
            </w:r>
          </w:p>
        </w:tc>
      </w:tr>
      <w:tr w:rsidR="00505FAD" w14:paraId="00CD0B2D" w14:textId="77777777" w:rsidTr="00505FAD">
        <w:trPr>
          <w:cantSplit/>
        </w:trPr>
        <w:tc>
          <w:tcPr>
            <w:tcW w:w="520" w:type="dxa"/>
            <w:tcBorders>
              <w:top w:val="nil"/>
              <w:left w:val="single" w:sz="8" w:space="0" w:color="000000"/>
              <w:bottom w:val="single" w:sz="8" w:space="0" w:color="000000"/>
              <w:right w:val="single" w:sz="8" w:space="0" w:color="000000"/>
            </w:tcBorders>
            <w:hideMark/>
          </w:tcPr>
          <w:p w14:paraId="716EBD4E"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15.</w:t>
            </w:r>
          </w:p>
        </w:tc>
        <w:tc>
          <w:tcPr>
            <w:tcW w:w="1065" w:type="dxa"/>
            <w:tcBorders>
              <w:top w:val="nil"/>
              <w:left w:val="single" w:sz="8" w:space="0" w:color="000000"/>
              <w:bottom w:val="single" w:sz="8" w:space="0" w:color="000000"/>
              <w:right w:val="single" w:sz="8" w:space="0" w:color="000000"/>
            </w:tcBorders>
            <w:hideMark/>
          </w:tcPr>
          <w:p w14:paraId="40615C16" w14:textId="77777777" w:rsidR="00505FAD" w:rsidRDefault="00505FAD">
            <w:pPr>
              <w:autoSpaceDE w:val="0"/>
              <w:autoSpaceDN w:val="0"/>
              <w:adjustRightInd w:val="0"/>
              <w:spacing w:line="256" w:lineRule="auto"/>
              <w:jc w:val="both"/>
              <w:rPr>
                <w:rFonts w:eastAsiaTheme="minorHAnsi"/>
                <w:lang w:bidi="he-IL"/>
              </w:rPr>
            </w:pPr>
            <w:r>
              <w:rPr>
                <w:rFonts w:eastAsiaTheme="minorHAnsi"/>
                <w:color w:val="000000"/>
                <w:lang w:bidi="he-IL"/>
              </w:rPr>
              <w:t xml:space="preserve">[Ber. </w:t>
            </w:r>
          </w:p>
          <w:p w14:paraId="7216907B" w14:textId="77777777" w:rsidR="00505FAD" w:rsidRDefault="00505FAD">
            <w:pPr>
              <w:autoSpaceDE w:val="0"/>
              <w:autoSpaceDN w:val="0"/>
              <w:adjustRightInd w:val="0"/>
              <w:spacing w:line="256" w:lineRule="auto"/>
              <w:jc w:val="both"/>
              <w:rPr>
                <w:rFonts w:eastAsiaTheme="minorHAnsi"/>
                <w:lang w:bidi="he-IL"/>
              </w:rPr>
            </w:pPr>
            <w:r>
              <w:rPr>
                <w:rFonts w:eastAsiaTheme="minorHAnsi"/>
                <w:color w:val="000000"/>
                <w:lang w:bidi="he-IL"/>
              </w:rPr>
              <w:t>1:20]</w:t>
            </w:r>
          </w:p>
        </w:tc>
        <w:tc>
          <w:tcPr>
            <w:tcW w:w="1155" w:type="dxa"/>
            <w:tcBorders>
              <w:top w:val="nil"/>
              <w:left w:val="single" w:sz="8" w:space="0" w:color="000000"/>
              <w:bottom w:val="single" w:sz="8" w:space="0" w:color="000000"/>
              <w:right w:val="single" w:sz="8" w:space="0" w:color="000000"/>
            </w:tcBorders>
            <w:hideMark/>
          </w:tcPr>
          <w:p w14:paraId="66B1AC60" w14:textId="77777777" w:rsidR="00505FAD" w:rsidRDefault="00505FAD">
            <w:pPr>
              <w:autoSpaceDE w:val="0"/>
              <w:autoSpaceDN w:val="0"/>
              <w:adjustRightInd w:val="0"/>
              <w:spacing w:line="256" w:lineRule="auto"/>
              <w:jc w:val="both"/>
              <w:rPr>
                <w:rFonts w:eastAsiaTheme="minorHAnsi"/>
                <w:lang w:bidi="he-IL"/>
              </w:rPr>
            </w:pPr>
            <w:r>
              <w:rPr>
                <w:rFonts w:eastAsiaTheme="minorHAnsi"/>
                <w:color w:val="000000"/>
                <w:lang w:bidi="he-IL"/>
              </w:rPr>
              <w:t>Long/ Fragment-</w:t>
            </w:r>
            <w:proofErr w:type="spellStart"/>
            <w:r>
              <w:rPr>
                <w:rFonts w:eastAsiaTheme="minorHAnsi"/>
                <w:color w:val="000000"/>
                <w:lang w:bidi="he-IL"/>
              </w:rPr>
              <w:t>ary</w:t>
            </w:r>
            <w:proofErr w:type="spellEnd"/>
          </w:p>
          <w:p w14:paraId="492EDC14" w14:textId="77777777" w:rsidR="00505FAD" w:rsidRDefault="00505FAD">
            <w:pPr>
              <w:autoSpaceDE w:val="0"/>
              <w:autoSpaceDN w:val="0"/>
              <w:adjustRightInd w:val="0"/>
              <w:spacing w:line="256" w:lineRule="auto"/>
              <w:jc w:val="both"/>
              <w:rPr>
                <w:rFonts w:eastAsiaTheme="minorHAnsi"/>
                <w:lang w:bidi="he-IL"/>
              </w:rPr>
            </w:pPr>
            <w:r>
              <w:rPr>
                <w:rFonts w:eastAsiaTheme="minorHAnsi" w:cs="David"/>
                <w:color w:val="000000"/>
                <w:rtl/>
                <w:lang w:bidi="he-IL"/>
              </w:rPr>
              <w:t>שיטה האחרת</w:t>
            </w:r>
          </w:p>
        </w:tc>
        <w:tc>
          <w:tcPr>
            <w:tcW w:w="1665" w:type="dxa"/>
            <w:tcBorders>
              <w:top w:val="nil"/>
              <w:left w:val="single" w:sz="8" w:space="0" w:color="000000"/>
              <w:bottom w:val="single" w:sz="8" w:space="0" w:color="000000"/>
              <w:right w:val="single" w:sz="8" w:space="0" w:color="000000"/>
            </w:tcBorders>
          </w:tcPr>
          <w:p w14:paraId="25BDD91D" w14:textId="77777777" w:rsidR="00505FAD" w:rsidRDefault="00505FAD">
            <w:pPr>
              <w:autoSpaceDE w:val="0"/>
              <w:autoSpaceDN w:val="0"/>
              <w:bidi/>
              <w:adjustRightInd w:val="0"/>
              <w:spacing w:line="256" w:lineRule="auto"/>
              <w:jc w:val="both"/>
              <w:rPr>
                <w:rFonts w:eastAsiaTheme="minorHAnsi"/>
                <w:lang w:bidi="he-IL"/>
              </w:rPr>
            </w:pPr>
            <w:r>
              <w:rPr>
                <w:rFonts w:eastAsiaTheme="minorHAnsi" w:cs="FrankRuehl"/>
                <w:color w:val="000000"/>
                <w:szCs w:val="28"/>
                <w:rtl/>
                <w:lang w:bidi="he-IL"/>
              </w:rPr>
              <w:t>ישרצו המים</w:t>
            </w:r>
          </w:p>
          <w:p w14:paraId="7F3EEBF2" w14:textId="77777777" w:rsidR="00505FAD" w:rsidRDefault="00505FAD">
            <w:pPr>
              <w:autoSpaceDE w:val="0"/>
              <w:autoSpaceDN w:val="0"/>
              <w:adjustRightInd w:val="0"/>
              <w:spacing w:line="256" w:lineRule="auto"/>
              <w:rPr>
                <w:rFonts w:eastAsiaTheme="minorHAnsi"/>
                <w:lang w:bidi="he-IL"/>
              </w:rPr>
            </w:pPr>
          </w:p>
        </w:tc>
        <w:tc>
          <w:tcPr>
            <w:tcW w:w="2235" w:type="dxa"/>
            <w:tcBorders>
              <w:top w:val="nil"/>
              <w:left w:val="single" w:sz="8" w:space="0" w:color="000000"/>
              <w:bottom w:val="single" w:sz="8" w:space="0" w:color="000000"/>
              <w:right w:val="single" w:sz="8" w:space="0" w:color="000000"/>
            </w:tcBorders>
          </w:tcPr>
          <w:p w14:paraId="2BEEAEE2" w14:textId="77777777" w:rsidR="00505FAD" w:rsidRDefault="00505FAD">
            <w:pPr>
              <w:autoSpaceDE w:val="0"/>
              <w:autoSpaceDN w:val="0"/>
              <w:adjustRightInd w:val="0"/>
              <w:spacing w:line="256" w:lineRule="auto"/>
              <w:jc w:val="right"/>
              <w:rPr>
                <w:rFonts w:eastAsiaTheme="minorHAnsi"/>
                <w:lang w:bidi="he-IL"/>
              </w:rPr>
            </w:pPr>
            <w:r>
              <w:rPr>
                <w:rFonts w:eastAsiaTheme="minorHAnsi" w:cs="FrankRuehl"/>
                <w:color w:val="000000"/>
                <w:szCs w:val="28"/>
                <w:rtl/>
                <w:lang w:bidi="he-IL"/>
              </w:rPr>
              <w:t>ורב יצחק בן שלמה אמר...  [צ"ל ר' שלמה בן יצחק]...</w:t>
            </w:r>
          </w:p>
          <w:p w14:paraId="7EB7D343" w14:textId="77777777" w:rsidR="00505FAD" w:rsidRDefault="00505FAD">
            <w:pPr>
              <w:autoSpaceDE w:val="0"/>
              <w:autoSpaceDN w:val="0"/>
              <w:adjustRightInd w:val="0"/>
              <w:spacing w:line="256" w:lineRule="auto"/>
              <w:rPr>
                <w:rFonts w:eastAsiaTheme="minorHAnsi"/>
                <w:lang w:bidi="he-IL"/>
              </w:rPr>
            </w:pPr>
          </w:p>
        </w:tc>
        <w:tc>
          <w:tcPr>
            <w:tcW w:w="2730" w:type="dxa"/>
            <w:tcBorders>
              <w:top w:val="nil"/>
              <w:left w:val="single" w:sz="8" w:space="0" w:color="000000"/>
              <w:bottom w:val="single" w:sz="8" w:space="0" w:color="000000"/>
              <w:right w:val="single" w:sz="8" w:space="0" w:color="000000"/>
            </w:tcBorders>
            <w:hideMark/>
          </w:tcPr>
          <w:p w14:paraId="6D30B643" w14:textId="77777777" w:rsidR="00505FAD" w:rsidRDefault="00505FAD">
            <w:pPr>
              <w:autoSpaceDE w:val="0"/>
              <w:autoSpaceDN w:val="0"/>
              <w:adjustRightInd w:val="0"/>
              <w:spacing w:line="256" w:lineRule="auto"/>
              <w:rPr>
                <w:rFonts w:eastAsiaTheme="minorHAnsi"/>
                <w:lang w:bidi="he-IL"/>
              </w:rPr>
            </w:pPr>
            <w:r>
              <w:rPr>
                <w:rFonts w:eastAsiaTheme="minorHAnsi"/>
                <w:color w:val="000000"/>
                <w:lang w:bidi="he-IL"/>
              </w:rPr>
              <w:t xml:space="preserve">[Mondschein adds this citation within the list of </w:t>
            </w:r>
            <w:proofErr w:type="spellStart"/>
            <w:r>
              <w:rPr>
                <w:rFonts w:eastAsiaTheme="minorHAnsi"/>
                <w:color w:val="000000"/>
                <w:lang w:bidi="he-IL"/>
              </w:rPr>
              <w:t>Rashi</w:t>
            </w:r>
            <w:proofErr w:type="spellEnd"/>
            <w:r>
              <w:rPr>
                <w:rFonts w:eastAsiaTheme="minorHAnsi"/>
                <w:color w:val="000000"/>
                <w:lang w:bidi="he-IL"/>
              </w:rPr>
              <w:t xml:space="preserve"> references.]</w:t>
            </w:r>
          </w:p>
        </w:tc>
      </w:tr>
    </w:tbl>
    <w:p w14:paraId="553260F0" w14:textId="77777777" w:rsidR="00505FAD" w:rsidRDefault="00505FAD" w:rsidP="00505FAD">
      <w:pPr>
        <w:autoSpaceDE w:val="0"/>
        <w:autoSpaceDN w:val="0"/>
        <w:adjustRightInd w:val="0"/>
        <w:rPr>
          <w:rFonts w:eastAsiaTheme="minorHAnsi"/>
          <w:lang w:bidi="he-IL"/>
        </w:rPr>
      </w:pPr>
    </w:p>
    <w:p w14:paraId="08BDBBBF" w14:textId="77777777" w:rsidR="00505FAD" w:rsidRDefault="00505FAD" w:rsidP="00505FAD">
      <w:pPr>
        <w:spacing w:line="480" w:lineRule="auto"/>
        <w:rPr>
          <w:rFonts w:asciiTheme="minorBidi" w:hAnsiTheme="minorBidi" w:cstheme="minorBidi"/>
          <w:b/>
          <w:bCs/>
          <w:sz w:val="20"/>
          <w:szCs w:val="20"/>
        </w:rPr>
      </w:pPr>
    </w:p>
    <w:p w14:paraId="71D8442F" w14:textId="2F138F07" w:rsidR="00432466" w:rsidRDefault="00505FAD" w:rsidP="00505FAD">
      <w:pPr>
        <w:autoSpaceDE w:val="0"/>
        <w:autoSpaceDN w:val="0"/>
        <w:adjustRightInd w:val="0"/>
        <w:jc w:val="both"/>
        <w:rPr>
          <w:rFonts w:eastAsiaTheme="minorHAnsi" w:cs="FrankRuehl"/>
          <w:color w:val="000000"/>
          <w:szCs w:val="28"/>
          <w:lang w:bidi="he-IL"/>
        </w:rPr>
      </w:pPr>
      <w:r>
        <w:rPr>
          <w:rFonts w:eastAsiaTheme="minorHAnsi"/>
          <w:lang w:bidi="he-IL"/>
        </w:rPr>
        <w:lastRenderedPageBreak/>
        <w:t xml:space="preserve">* </w:t>
      </w:r>
      <w:r>
        <w:rPr>
          <w:rFonts w:asciiTheme="minorBidi" w:eastAsiaTheme="minorHAnsi" w:hAnsiTheme="minorBidi" w:cstheme="minorBidi"/>
          <w:sz w:val="20"/>
          <w:szCs w:val="20"/>
          <w:lang w:bidi="he-IL"/>
        </w:rPr>
        <w:t xml:space="preserve">6.  </w:t>
      </w:r>
      <w:r>
        <w:rPr>
          <w:rFonts w:asciiTheme="minorBidi" w:eastAsiaTheme="minorHAnsi" w:hAnsiTheme="minorBidi" w:cstheme="minorBidi"/>
          <w:color w:val="000000"/>
          <w:sz w:val="20"/>
          <w:szCs w:val="20"/>
          <w:lang w:bidi="he-IL"/>
        </w:rPr>
        <w:t xml:space="preserve">In his early Short Commentary I, Ibn Ezra explains this similarly, though indirectly – without referring to </w:t>
      </w:r>
      <w:proofErr w:type="spellStart"/>
      <w:r>
        <w:rPr>
          <w:rFonts w:asciiTheme="minorBidi" w:eastAsiaTheme="minorHAnsi" w:hAnsiTheme="minorBidi" w:cstheme="minorBidi"/>
          <w:color w:val="000000"/>
          <w:sz w:val="20"/>
          <w:szCs w:val="20"/>
          <w:lang w:bidi="he-IL"/>
        </w:rPr>
        <w:t>Rashi’s</w:t>
      </w:r>
      <w:proofErr w:type="spellEnd"/>
      <w:r>
        <w:rPr>
          <w:rFonts w:asciiTheme="minorBidi" w:eastAsiaTheme="minorHAnsi" w:hAnsiTheme="minorBidi" w:cstheme="minorBidi"/>
          <w:color w:val="000000"/>
          <w:sz w:val="20"/>
          <w:szCs w:val="20"/>
          <w:lang w:bidi="he-IL"/>
        </w:rPr>
        <w:t xml:space="preserve"> name</w:t>
      </w:r>
      <w:r>
        <w:rPr>
          <w:rFonts w:eastAsiaTheme="minorHAnsi"/>
          <w:color w:val="000000"/>
          <w:lang w:bidi="he-IL"/>
        </w:rPr>
        <w:t>. (</w:t>
      </w:r>
      <w:r>
        <w:rPr>
          <w:rFonts w:ascii="FrankRuehl" w:eastAsiaTheme="minorHAnsi" w:hAnsi="FrankRuehl" w:cs="FrankRuehl"/>
          <w:color w:val="000000"/>
          <w:sz w:val="28"/>
          <w:szCs w:val="28"/>
          <w:rtl/>
          <w:lang w:bidi="he-IL"/>
        </w:rPr>
        <w:t xml:space="preserve">והמפרשים שהוא </w:t>
      </w:r>
      <w:r>
        <w:rPr>
          <w:rFonts w:eastAsiaTheme="minorHAnsi" w:cs="FrankRuehl"/>
          <w:color w:val="000000"/>
          <w:szCs w:val="28"/>
          <w:rtl/>
          <w:lang w:bidi="he-IL"/>
        </w:rPr>
        <w:t xml:space="preserve">בלשון ישמעאל </w:t>
      </w:r>
      <w:r w:rsidR="00D00A14">
        <w:rPr>
          <w:rFonts w:eastAsiaTheme="minorHAnsi" w:cs="FrankRuehl" w:hint="cs"/>
          <w:color w:val="000000"/>
          <w:szCs w:val="28"/>
          <w:rtl/>
          <w:lang w:bidi="he-IL"/>
        </w:rPr>
        <w:t>תעו</w:t>
      </w:r>
      <w:proofErr w:type="gramStart"/>
      <w:r w:rsidR="00D00A14">
        <w:rPr>
          <w:rFonts w:eastAsiaTheme="minorHAnsi" w:cs="FrankRuehl" w:hint="cs"/>
          <w:color w:val="000000"/>
          <w:szCs w:val="28"/>
          <w:rtl/>
          <w:lang w:bidi="he-IL"/>
        </w:rPr>
        <w:t>..</w:t>
      </w:r>
      <w:r w:rsidR="00D00A14">
        <w:rPr>
          <w:rFonts w:eastAsiaTheme="minorHAnsi" w:cs="FrankRuehl"/>
          <w:color w:val="000000"/>
          <w:szCs w:val="28"/>
          <w:rtl/>
          <w:lang w:bidi="he-IL"/>
        </w:rPr>
        <w:t>.</w:t>
      </w:r>
      <w:r>
        <w:rPr>
          <w:rFonts w:eastAsiaTheme="minorHAnsi" w:cs="FrankRuehl"/>
          <w:color w:val="000000"/>
          <w:szCs w:val="28"/>
          <w:rtl/>
          <w:lang w:bidi="he-IL"/>
        </w:rPr>
        <w:t xml:space="preserve"> </w:t>
      </w:r>
      <w:r>
        <w:rPr>
          <w:rFonts w:eastAsiaTheme="minorHAnsi" w:cs="FrankRuehl"/>
          <w:color w:val="000000"/>
          <w:szCs w:val="28"/>
          <w:lang w:bidi="he-IL"/>
        </w:rPr>
        <w:t>)</w:t>
      </w:r>
      <w:proofErr w:type="gramEnd"/>
      <w:r>
        <w:rPr>
          <w:rFonts w:eastAsiaTheme="minorHAnsi" w:cs="FrankRuehl"/>
          <w:color w:val="000000"/>
          <w:szCs w:val="28"/>
          <w:lang w:bidi="he-IL"/>
        </w:rPr>
        <w:t>.</w:t>
      </w:r>
    </w:p>
    <w:p w14:paraId="2A9F006D" w14:textId="30E019DC" w:rsidR="001636F4" w:rsidRDefault="001636F4" w:rsidP="00505FAD">
      <w:pPr>
        <w:autoSpaceDE w:val="0"/>
        <w:autoSpaceDN w:val="0"/>
        <w:adjustRightInd w:val="0"/>
        <w:jc w:val="both"/>
        <w:rPr>
          <w:rFonts w:eastAsiaTheme="minorHAnsi" w:cs="FrankRuehl"/>
          <w:color w:val="000000"/>
          <w:szCs w:val="28"/>
          <w:lang w:bidi="he-IL"/>
        </w:rPr>
      </w:pPr>
    </w:p>
    <w:p w14:paraId="204CD29C" w14:textId="0C55C4BD" w:rsidR="001636F4" w:rsidRDefault="001636F4" w:rsidP="00505FAD">
      <w:pPr>
        <w:autoSpaceDE w:val="0"/>
        <w:autoSpaceDN w:val="0"/>
        <w:adjustRightInd w:val="0"/>
        <w:jc w:val="both"/>
        <w:rPr>
          <w:rFonts w:eastAsiaTheme="minorHAnsi" w:cs="FrankRuehl"/>
          <w:color w:val="000000"/>
          <w:szCs w:val="28"/>
          <w:lang w:bidi="he-IL"/>
        </w:rPr>
      </w:pPr>
    </w:p>
    <w:p w14:paraId="51694872" w14:textId="1C62D0FE" w:rsidR="001636F4" w:rsidRDefault="001636F4" w:rsidP="00505FAD">
      <w:pPr>
        <w:autoSpaceDE w:val="0"/>
        <w:autoSpaceDN w:val="0"/>
        <w:adjustRightInd w:val="0"/>
        <w:jc w:val="both"/>
        <w:rPr>
          <w:rFonts w:eastAsiaTheme="minorHAnsi" w:cs="FrankRuehl"/>
          <w:color w:val="000000"/>
          <w:szCs w:val="28"/>
          <w:lang w:bidi="he-IL"/>
        </w:rPr>
      </w:pPr>
    </w:p>
    <w:sectPr w:rsidR="001636F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5E156" w14:textId="77777777" w:rsidR="006170F1" w:rsidRDefault="006170F1" w:rsidP="00505FAD">
      <w:r>
        <w:separator/>
      </w:r>
    </w:p>
  </w:endnote>
  <w:endnote w:type="continuationSeparator" w:id="0">
    <w:p w14:paraId="2BF7E7F0" w14:textId="77777777" w:rsidR="006170F1" w:rsidRDefault="006170F1" w:rsidP="0050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DavidD">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513667"/>
      <w:docPartObj>
        <w:docPartGallery w:val="Page Numbers (Bottom of Page)"/>
        <w:docPartUnique/>
      </w:docPartObj>
    </w:sdtPr>
    <w:sdtEndPr>
      <w:rPr>
        <w:noProof/>
      </w:rPr>
    </w:sdtEndPr>
    <w:sdtContent>
      <w:p w14:paraId="77A67E12" w14:textId="4C01F936" w:rsidR="00B057F3" w:rsidRDefault="00B057F3">
        <w:pPr>
          <w:pStyle w:val="a9"/>
          <w:jc w:val="center"/>
        </w:pPr>
        <w:r>
          <w:fldChar w:fldCharType="begin"/>
        </w:r>
        <w:r>
          <w:instrText xml:space="preserve"> PAGE   \* MERGEFORMAT </w:instrText>
        </w:r>
        <w:r>
          <w:fldChar w:fldCharType="separate"/>
        </w:r>
        <w:r w:rsidR="00677D03">
          <w:rPr>
            <w:noProof/>
          </w:rPr>
          <w:t>1</w:t>
        </w:r>
        <w:r>
          <w:rPr>
            <w:noProof/>
          </w:rPr>
          <w:fldChar w:fldCharType="end"/>
        </w:r>
      </w:p>
    </w:sdtContent>
  </w:sdt>
  <w:p w14:paraId="493F687B" w14:textId="77777777" w:rsidR="00B057F3" w:rsidRDefault="00B057F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C02F3" w14:textId="77777777" w:rsidR="006170F1" w:rsidRDefault="006170F1" w:rsidP="00505FAD">
      <w:r>
        <w:separator/>
      </w:r>
    </w:p>
  </w:footnote>
  <w:footnote w:type="continuationSeparator" w:id="0">
    <w:p w14:paraId="44A4EB85" w14:textId="77777777" w:rsidR="006170F1" w:rsidRDefault="006170F1" w:rsidP="00505FAD">
      <w:r>
        <w:continuationSeparator/>
      </w:r>
    </w:p>
  </w:footnote>
  <w:footnote w:id="1">
    <w:p w14:paraId="5835DF17" w14:textId="68D47E3E" w:rsidR="00B057F3" w:rsidRDefault="00B057F3">
      <w:pPr>
        <w:pStyle w:val="a3"/>
      </w:pPr>
      <w:r>
        <w:rPr>
          <w:rStyle w:val="a6"/>
        </w:rPr>
        <w:footnoteRef/>
      </w:r>
      <w:r>
        <w:t xml:space="preserve"> J. Gerber, </w:t>
      </w:r>
      <w:r w:rsidRPr="00FB1CFF">
        <w:rPr>
          <w:i/>
          <w:iCs/>
        </w:rPr>
        <w:t>The Jews of Spain: A History of the Sephardic Experience.</w:t>
      </w:r>
      <w:r>
        <w:t xml:space="preserve"> (New York: The Free Press, 1994), </w:t>
      </w:r>
      <w:r w:rsidR="00F62506">
        <w:t xml:space="preserve">pp. </w:t>
      </w:r>
      <w:r>
        <w:t xml:space="preserve">80-89.  Gerber’s theory of Almohad invaders displacing Ibn Ezra from Spain in 1140, however, is debatable, as most historians posit that the Almohad persecutions did not begin until 1147-48.  </w:t>
      </w:r>
    </w:p>
  </w:footnote>
  <w:footnote w:id="2">
    <w:p w14:paraId="25BC6527" w14:textId="77777777" w:rsidR="00B057F3" w:rsidRDefault="00B057F3">
      <w:pPr>
        <w:pStyle w:val="a3"/>
      </w:pPr>
      <w:r>
        <w:rPr>
          <w:rStyle w:val="a6"/>
        </w:rPr>
        <w:footnoteRef/>
      </w:r>
      <w:r>
        <w:t xml:space="preserve"> Numerous scholarly studies have been devoted to Ibn Ezra’s life and achievements. For a comprehensive listing of Ibn Ezra’s works, and when and where they were written, see </w:t>
      </w:r>
      <w:r w:rsidRPr="00D00EF3">
        <w:t xml:space="preserve">Gad </w:t>
      </w:r>
      <w:proofErr w:type="spellStart"/>
      <w:r w:rsidRPr="00D00EF3">
        <w:t>Freudenthal</w:t>
      </w:r>
      <w:proofErr w:type="spellEnd"/>
      <w:r w:rsidRPr="00D00EF3">
        <w:t xml:space="preserve"> and Shlomo </w:t>
      </w:r>
      <w:proofErr w:type="spellStart"/>
      <w:r w:rsidRPr="00D00EF3">
        <w:t>Sela’s</w:t>
      </w:r>
      <w:proofErr w:type="spellEnd"/>
      <w:r>
        <w:t xml:space="preserve"> </w:t>
      </w:r>
      <w:r>
        <w:rPr>
          <w:rFonts w:asciiTheme="majorBidi" w:hAnsiTheme="majorBidi" w:cstheme="majorBidi"/>
        </w:rPr>
        <w:t xml:space="preserve">“Abraham Ibn Ezra’s Scholarly Writings: A Chronological Listing,” </w:t>
      </w:r>
      <w:r>
        <w:rPr>
          <w:rFonts w:asciiTheme="majorBidi" w:hAnsiTheme="majorBidi" w:cstheme="majorBidi"/>
          <w:i/>
        </w:rPr>
        <w:t>Aleph</w:t>
      </w:r>
      <w:r>
        <w:rPr>
          <w:rFonts w:asciiTheme="majorBidi" w:hAnsiTheme="majorBidi" w:cstheme="majorBidi"/>
        </w:rPr>
        <w:t xml:space="preserve"> 6 (2006), pp. 13-47. </w:t>
      </w:r>
    </w:p>
  </w:footnote>
  <w:footnote w:id="3">
    <w:p w14:paraId="47813CF1"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A. Mondschein, “‘Only One in a Thousand of his Comments may be Called </w:t>
      </w:r>
      <w:proofErr w:type="spellStart"/>
      <w:r w:rsidRPr="00F62506">
        <w:rPr>
          <w:rFonts w:asciiTheme="majorBidi" w:hAnsiTheme="majorBidi" w:cstheme="majorBidi"/>
          <w:i/>
          <w:iCs/>
        </w:rPr>
        <w:t>Peshat</w:t>
      </w:r>
      <w:proofErr w:type="spellEnd"/>
      <w:r w:rsidRPr="00F62506">
        <w:rPr>
          <w:rFonts w:asciiTheme="majorBidi" w:hAnsiTheme="majorBidi" w:cstheme="majorBidi"/>
          <w:i/>
          <w:iCs/>
        </w:rPr>
        <w:t>’</w:t>
      </w:r>
      <w:r>
        <w:rPr>
          <w:rFonts w:asciiTheme="majorBidi" w:hAnsiTheme="majorBidi" w:cstheme="majorBidi"/>
        </w:rPr>
        <w:t xml:space="preserve">: Toward Ibn Ezra’s View of </w:t>
      </w:r>
      <w:proofErr w:type="spellStart"/>
      <w:r>
        <w:rPr>
          <w:rFonts w:asciiTheme="majorBidi" w:hAnsiTheme="majorBidi" w:cstheme="majorBidi"/>
        </w:rPr>
        <w:t>Rashi’s</w:t>
      </w:r>
      <w:proofErr w:type="spellEnd"/>
      <w:r>
        <w:rPr>
          <w:rFonts w:asciiTheme="majorBidi" w:hAnsiTheme="majorBidi" w:cstheme="majorBidi"/>
        </w:rPr>
        <w:t xml:space="preserve"> Commentary to the Torah” [Hebrew]. In </w:t>
      </w:r>
      <w:proofErr w:type="spellStart"/>
      <w:r>
        <w:rPr>
          <w:rFonts w:asciiTheme="majorBidi" w:hAnsiTheme="majorBidi" w:cstheme="majorBidi"/>
          <w:i/>
        </w:rPr>
        <w:t>Iyunei</w:t>
      </w:r>
      <w:proofErr w:type="spellEnd"/>
      <w:r>
        <w:rPr>
          <w:rFonts w:asciiTheme="majorBidi" w:hAnsiTheme="majorBidi" w:cstheme="majorBidi"/>
          <w:i/>
        </w:rPr>
        <w:t xml:space="preserve"> </w:t>
      </w:r>
      <w:proofErr w:type="spellStart"/>
      <w:r>
        <w:rPr>
          <w:rFonts w:asciiTheme="majorBidi" w:hAnsiTheme="majorBidi" w:cstheme="majorBidi"/>
          <w:i/>
        </w:rPr>
        <w:t>Mikra</w:t>
      </w:r>
      <w:proofErr w:type="spellEnd"/>
      <w:r>
        <w:rPr>
          <w:rFonts w:asciiTheme="majorBidi" w:hAnsiTheme="majorBidi" w:cstheme="majorBidi"/>
          <w:i/>
        </w:rPr>
        <w:t xml:space="preserve"> U-</w:t>
      </w:r>
      <w:proofErr w:type="spellStart"/>
      <w:r>
        <w:rPr>
          <w:rFonts w:asciiTheme="majorBidi" w:hAnsiTheme="majorBidi" w:cstheme="majorBidi"/>
          <w:i/>
        </w:rPr>
        <w:t>Parshanut</w:t>
      </w:r>
      <w:proofErr w:type="spellEnd"/>
      <w:r>
        <w:rPr>
          <w:rFonts w:asciiTheme="majorBidi" w:hAnsiTheme="majorBidi" w:cstheme="majorBidi"/>
        </w:rPr>
        <w:t xml:space="preserve">, ed. M. </w:t>
      </w:r>
      <w:proofErr w:type="spellStart"/>
      <w:r>
        <w:rPr>
          <w:rFonts w:asciiTheme="majorBidi" w:hAnsiTheme="majorBidi" w:cstheme="majorBidi"/>
        </w:rPr>
        <w:t>Garsiel</w:t>
      </w:r>
      <w:proofErr w:type="spellEnd"/>
      <w:r>
        <w:rPr>
          <w:rFonts w:asciiTheme="majorBidi" w:hAnsiTheme="majorBidi" w:cstheme="majorBidi"/>
        </w:rPr>
        <w:t xml:space="preserve"> et al. Ramat Gan, 2000, pp. 223-224 [Translation mine].</w:t>
      </w:r>
    </w:p>
  </w:footnote>
  <w:footnote w:id="4">
    <w:p w14:paraId="440BD719"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Uriel Simon, “Transplanting the Wisdom of Spain to Christian Lands: The Failed Efforts of R. Abraham Ibn Ezra,” </w:t>
      </w:r>
      <w:proofErr w:type="spellStart"/>
      <w:r>
        <w:rPr>
          <w:rFonts w:asciiTheme="majorBidi" w:hAnsiTheme="majorBidi" w:cstheme="majorBidi"/>
          <w:i/>
        </w:rPr>
        <w:t>Jahrbuch</w:t>
      </w:r>
      <w:proofErr w:type="spellEnd"/>
      <w:r>
        <w:rPr>
          <w:rFonts w:asciiTheme="majorBidi" w:hAnsiTheme="majorBidi" w:cstheme="majorBidi"/>
          <w:i/>
        </w:rPr>
        <w:t xml:space="preserve"> des Simon-</w:t>
      </w:r>
      <w:proofErr w:type="spellStart"/>
      <w:r>
        <w:rPr>
          <w:rFonts w:asciiTheme="majorBidi" w:hAnsiTheme="majorBidi" w:cstheme="majorBidi"/>
          <w:i/>
        </w:rPr>
        <w:t>Dubnow</w:t>
      </w:r>
      <w:proofErr w:type="spellEnd"/>
      <w:r>
        <w:rPr>
          <w:rFonts w:asciiTheme="majorBidi" w:hAnsiTheme="majorBidi" w:cstheme="majorBidi"/>
          <w:i/>
        </w:rPr>
        <w:t>-</w:t>
      </w:r>
      <w:proofErr w:type="spellStart"/>
      <w:r>
        <w:rPr>
          <w:rFonts w:asciiTheme="majorBidi" w:hAnsiTheme="majorBidi" w:cstheme="majorBidi"/>
          <w:i/>
        </w:rPr>
        <w:t>Instituts</w:t>
      </w:r>
      <w:proofErr w:type="spellEnd"/>
      <w:r>
        <w:rPr>
          <w:rFonts w:asciiTheme="majorBidi" w:hAnsiTheme="majorBidi" w:cstheme="majorBidi"/>
        </w:rPr>
        <w:t xml:space="preserve"> 8 (2009), 155.  See also A. Mondschein, “Only One in a Thousand,” pp. 225-226.</w:t>
      </w:r>
    </w:p>
  </w:footnote>
  <w:footnote w:id="5">
    <w:p w14:paraId="1547A2FD" w14:textId="77777777" w:rsidR="00B057F3" w:rsidRPr="00F913E2" w:rsidRDefault="00B057F3" w:rsidP="00505FAD">
      <w:pPr>
        <w:pStyle w:val="a3"/>
        <w:rPr>
          <w:rFonts w:asciiTheme="majorBidi" w:hAnsiTheme="majorBidi" w:cstheme="majorBidi"/>
        </w:rPr>
      </w:pPr>
      <w:r w:rsidRPr="00F913E2">
        <w:rPr>
          <w:rStyle w:val="a6"/>
          <w:rFonts w:asciiTheme="majorBidi" w:hAnsiTheme="majorBidi" w:cstheme="majorBidi"/>
        </w:rPr>
        <w:footnoteRef/>
      </w:r>
      <w:r w:rsidRPr="00F913E2">
        <w:rPr>
          <w:rFonts w:asciiTheme="majorBidi" w:hAnsiTheme="majorBidi" w:cstheme="majorBidi"/>
        </w:rPr>
        <w:t xml:space="preserve"> A. Grossman, “The school of literal Jewish exegesis in Northern France,” </w:t>
      </w:r>
      <w:r w:rsidRPr="00F913E2">
        <w:rPr>
          <w:rFonts w:asciiTheme="majorBidi" w:hAnsiTheme="majorBidi" w:cstheme="majorBidi"/>
          <w:i/>
          <w:iCs/>
        </w:rPr>
        <w:t xml:space="preserve">Hebrew Bible/ Old Testament </w:t>
      </w:r>
      <w:r w:rsidRPr="00F913E2">
        <w:rPr>
          <w:rFonts w:asciiTheme="majorBidi" w:hAnsiTheme="majorBidi" w:cstheme="majorBidi"/>
        </w:rPr>
        <w:t xml:space="preserve">[HBOT]. Volume 1, (Gottingen: </w:t>
      </w:r>
      <w:proofErr w:type="spellStart"/>
      <w:r w:rsidRPr="00F913E2">
        <w:rPr>
          <w:rFonts w:asciiTheme="majorBidi" w:hAnsiTheme="majorBidi" w:cstheme="majorBidi"/>
        </w:rPr>
        <w:t>Vandenhoeck</w:t>
      </w:r>
      <w:proofErr w:type="spellEnd"/>
      <w:r w:rsidRPr="00F913E2">
        <w:rPr>
          <w:rFonts w:asciiTheme="majorBidi" w:hAnsiTheme="majorBidi" w:cstheme="majorBidi"/>
        </w:rPr>
        <w:t xml:space="preserve"> und </w:t>
      </w:r>
      <w:proofErr w:type="spellStart"/>
      <w:r w:rsidRPr="00F913E2">
        <w:rPr>
          <w:rFonts w:asciiTheme="majorBidi" w:hAnsiTheme="majorBidi" w:cstheme="majorBidi"/>
        </w:rPr>
        <w:t>Ruprecht</w:t>
      </w:r>
      <w:proofErr w:type="spellEnd"/>
      <w:r w:rsidRPr="00F913E2">
        <w:rPr>
          <w:rFonts w:asciiTheme="majorBidi" w:hAnsiTheme="majorBidi" w:cstheme="majorBidi"/>
        </w:rPr>
        <w:t>, 2000), p. 332.</w:t>
      </w:r>
    </w:p>
  </w:footnote>
  <w:footnote w:id="6">
    <w:p w14:paraId="784493A1"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Rashi</w:t>
      </w:r>
      <w:proofErr w:type="spellEnd"/>
      <w:r>
        <w:rPr>
          <w:rFonts w:asciiTheme="majorBidi" w:hAnsiTheme="majorBidi" w:cstheme="majorBidi"/>
        </w:rPr>
        <w:t xml:space="preserve">, Gen.3:8. Translation cited in Grossman, ibid., pp. 334-335. </w:t>
      </w:r>
    </w:p>
  </w:footnote>
  <w:footnote w:id="7">
    <w:p w14:paraId="79E091E1"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For an analysis of the interplay between </w:t>
      </w:r>
      <w:proofErr w:type="spellStart"/>
      <w:r>
        <w:rPr>
          <w:rFonts w:asciiTheme="majorBidi" w:hAnsiTheme="majorBidi" w:cstheme="majorBidi"/>
          <w:i/>
        </w:rPr>
        <w:t>peshat</w:t>
      </w:r>
      <w:proofErr w:type="spellEnd"/>
      <w:r>
        <w:rPr>
          <w:rFonts w:asciiTheme="majorBidi" w:hAnsiTheme="majorBidi" w:cstheme="majorBidi"/>
        </w:rPr>
        <w:t xml:space="preserve"> and </w:t>
      </w:r>
      <w:proofErr w:type="spellStart"/>
      <w:r>
        <w:rPr>
          <w:rFonts w:asciiTheme="majorBidi" w:hAnsiTheme="majorBidi" w:cstheme="majorBidi"/>
          <w:i/>
        </w:rPr>
        <w:t>derash</w:t>
      </w:r>
      <w:proofErr w:type="spellEnd"/>
      <w:r>
        <w:rPr>
          <w:rFonts w:asciiTheme="majorBidi" w:hAnsiTheme="majorBidi" w:cstheme="majorBidi"/>
        </w:rPr>
        <w:t xml:space="preserve"> in </w:t>
      </w:r>
      <w:proofErr w:type="spellStart"/>
      <w:r>
        <w:rPr>
          <w:rFonts w:asciiTheme="majorBidi" w:hAnsiTheme="majorBidi" w:cstheme="majorBidi"/>
        </w:rPr>
        <w:t>Rashi’s</w:t>
      </w:r>
      <w:proofErr w:type="spellEnd"/>
      <w:r>
        <w:rPr>
          <w:rFonts w:asciiTheme="majorBidi" w:hAnsiTheme="majorBidi" w:cstheme="majorBidi"/>
        </w:rPr>
        <w:t xml:space="preserve"> commentaries, see Grossman, “The school of literal Jewish exegesis in Northern France,” HBOT, pp. 334-336.</w:t>
      </w:r>
    </w:p>
  </w:footnote>
  <w:footnote w:id="8">
    <w:p w14:paraId="37495176" w14:textId="77777777" w:rsidR="00B057F3" w:rsidRDefault="00B057F3" w:rsidP="00505FAD">
      <w:pPr>
        <w:pStyle w:val="a3"/>
        <w:rPr>
          <w:rFonts w:asciiTheme="majorBidi" w:hAnsiTheme="majorBidi" w:cstheme="majorBidi"/>
          <w:b/>
          <w:bCs/>
          <w:u w:val="single"/>
        </w:rPr>
      </w:pPr>
      <w:r>
        <w:rPr>
          <w:rStyle w:val="a6"/>
          <w:rFonts w:asciiTheme="majorBidi" w:hAnsiTheme="majorBidi" w:cstheme="majorBidi"/>
        </w:rPr>
        <w:footnoteRef/>
      </w:r>
      <w:r>
        <w:rPr>
          <w:rFonts w:asciiTheme="majorBidi" w:hAnsiTheme="majorBidi" w:cstheme="majorBidi"/>
        </w:rPr>
        <w:t xml:space="preserve"> Ibn Ezra, “Introduction to Commentary on Pentateuch II (long commentary), (‘Fifth Way’),” Genesis I, II, &amp; III: M. Cohen, ed. </w:t>
      </w:r>
      <w:proofErr w:type="spellStart"/>
      <w:r>
        <w:rPr>
          <w:rFonts w:asciiTheme="majorBidi" w:hAnsiTheme="majorBidi" w:cstheme="majorBidi"/>
          <w:i/>
        </w:rPr>
        <w:t>Miqra’ot</w:t>
      </w:r>
      <w:proofErr w:type="spellEnd"/>
      <w:r>
        <w:rPr>
          <w:rFonts w:asciiTheme="majorBidi" w:hAnsiTheme="majorBidi" w:cstheme="majorBidi"/>
          <w:i/>
        </w:rPr>
        <w:t xml:space="preserve"> </w:t>
      </w:r>
      <w:proofErr w:type="spellStart"/>
      <w:r>
        <w:rPr>
          <w:rFonts w:asciiTheme="majorBidi" w:hAnsiTheme="majorBidi" w:cstheme="majorBidi"/>
          <w:i/>
        </w:rPr>
        <w:t>Gedolot</w:t>
      </w:r>
      <w:proofErr w:type="spellEnd"/>
      <w:r>
        <w:rPr>
          <w:rFonts w:asciiTheme="majorBidi" w:hAnsiTheme="majorBidi" w:cstheme="majorBidi"/>
          <w:i/>
        </w:rPr>
        <w:t xml:space="preserve"> ha-</w:t>
      </w:r>
      <w:proofErr w:type="spellStart"/>
      <w:r>
        <w:rPr>
          <w:rFonts w:asciiTheme="majorBidi" w:hAnsiTheme="majorBidi" w:cstheme="majorBidi"/>
          <w:i/>
        </w:rPr>
        <w:t>Keter</w:t>
      </w:r>
      <w:proofErr w:type="spellEnd"/>
      <w:r>
        <w:rPr>
          <w:rFonts w:asciiTheme="majorBidi" w:hAnsiTheme="majorBidi" w:cstheme="majorBidi"/>
        </w:rPr>
        <w:t xml:space="preserve">, Genesis, (Ramat Gan, 1992), p. 29. [Translation is mine.]  </w:t>
      </w:r>
    </w:p>
  </w:footnote>
  <w:footnote w:id="9">
    <w:p w14:paraId="12C6E4ED"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Ibid.</w:t>
      </w:r>
    </w:p>
  </w:footnote>
  <w:footnote w:id="10">
    <w:p w14:paraId="73490F64" w14:textId="77777777" w:rsidR="00B057F3" w:rsidRDefault="00B057F3" w:rsidP="00505FAD">
      <w:pPr>
        <w:autoSpaceDE w:val="0"/>
        <w:autoSpaceDN w:val="0"/>
        <w:adjustRightInd w:val="0"/>
        <w:rPr>
          <w:rFonts w:asciiTheme="majorBidi" w:hAnsiTheme="majorBidi" w:cstheme="majorBidi"/>
          <w:sz w:val="20"/>
          <w:szCs w:val="20"/>
        </w:rPr>
      </w:pPr>
      <w:r>
        <w:rPr>
          <w:rStyle w:val="a6"/>
          <w:rFonts w:asciiTheme="majorBidi" w:hAnsiTheme="majorBidi" w:cstheme="majorBidi"/>
          <w:sz w:val="20"/>
          <w:szCs w:val="20"/>
        </w:rPr>
        <w:footnoteRef/>
      </w:r>
      <w:r>
        <w:rPr>
          <w:rFonts w:asciiTheme="majorBidi" w:hAnsiTheme="majorBidi" w:cstheme="majorBidi"/>
          <w:sz w:val="20"/>
          <w:szCs w:val="20"/>
        </w:rPr>
        <w:t xml:space="preserve"> </w:t>
      </w:r>
      <w:proofErr w:type="spellStart"/>
      <w:r>
        <w:rPr>
          <w:rFonts w:asciiTheme="majorBidi" w:hAnsiTheme="majorBidi" w:cstheme="majorBidi"/>
          <w:sz w:val="20"/>
          <w:szCs w:val="20"/>
        </w:rPr>
        <w:t>Krinsky</w:t>
      </w:r>
      <w:proofErr w:type="spellEnd"/>
      <w:r>
        <w:rPr>
          <w:rFonts w:asciiTheme="majorBidi" w:hAnsiTheme="majorBidi" w:cstheme="majorBidi"/>
          <w:sz w:val="20"/>
          <w:szCs w:val="20"/>
        </w:rPr>
        <w:t xml:space="preserve"> and Weiser both list 14 Ibn Ezra references to </w:t>
      </w:r>
      <w:proofErr w:type="spellStart"/>
      <w:r>
        <w:rPr>
          <w:rFonts w:asciiTheme="majorBidi" w:hAnsiTheme="majorBidi" w:cstheme="majorBidi"/>
          <w:sz w:val="20"/>
          <w:szCs w:val="20"/>
        </w:rPr>
        <w:t>Rashi</w:t>
      </w:r>
      <w:proofErr w:type="spellEnd"/>
      <w:r>
        <w:rPr>
          <w:rFonts w:asciiTheme="majorBidi" w:hAnsiTheme="majorBidi" w:cstheme="majorBidi"/>
          <w:sz w:val="20"/>
          <w:szCs w:val="20"/>
        </w:rPr>
        <w:t xml:space="preserve"> in his Torah Commentaries.  </w:t>
      </w:r>
    </w:p>
    <w:p w14:paraId="54E0717A" w14:textId="4747E5A8" w:rsidR="00B057F3" w:rsidRDefault="00B057F3" w:rsidP="00505FAD">
      <w:pPr>
        <w:autoSpaceDE w:val="0"/>
        <w:autoSpaceDN w:val="0"/>
        <w:adjustRightInd w:val="0"/>
        <w:rPr>
          <w:rFonts w:asciiTheme="majorBidi" w:hAnsiTheme="majorBidi" w:cstheme="majorBidi"/>
          <w:sz w:val="20"/>
          <w:szCs w:val="20"/>
        </w:rPr>
      </w:pPr>
      <w:proofErr w:type="spellStart"/>
      <w:r>
        <w:rPr>
          <w:rFonts w:asciiTheme="majorBidi" w:hAnsiTheme="majorBidi" w:cstheme="majorBidi"/>
          <w:sz w:val="20"/>
          <w:szCs w:val="20"/>
        </w:rPr>
        <w:t>Krinsky</w:t>
      </w:r>
      <w:proofErr w:type="spellEnd"/>
      <w:r>
        <w:rPr>
          <w:rFonts w:asciiTheme="majorBidi" w:hAnsiTheme="majorBidi" w:cstheme="majorBidi"/>
          <w:sz w:val="20"/>
          <w:szCs w:val="20"/>
        </w:rPr>
        <w:t xml:space="preserve">, </w:t>
      </w:r>
      <w:proofErr w:type="spellStart"/>
      <w:r>
        <w:rPr>
          <w:rFonts w:asciiTheme="majorBidi" w:hAnsiTheme="majorBidi" w:cstheme="majorBidi"/>
          <w:i/>
          <w:iCs/>
          <w:sz w:val="20"/>
          <w:szCs w:val="20"/>
        </w:rPr>
        <w:t>Mehokekei</w:t>
      </w:r>
      <w:proofErr w:type="spellEnd"/>
      <w:r>
        <w:rPr>
          <w:rFonts w:asciiTheme="majorBidi" w:hAnsiTheme="majorBidi" w:cstheme="majorBidi"/>
          <w:i/>
          <w:iCs/>
          <w:sz w:val="20"/>
          <w:szCs w:val="20"/>
        </w:rPr>
        <w:t xml:space="preserve"> Yehuda</w:t>
      </w:r>
      <w:r>
        <w:rPr>
          <w:rFonts w:asciiTheme="majorBidi" w:hAnsiTheme="majorBidi" w:cstheme="majorBidi"/>
          <w:sz w:val="20"/>
          <w:szCs w:val="20"/>
        </w:rPr>
        <w:t xml:space="preserve">: </w:t>
      </w:r>
      <w:proofErr w:type="spellStart"/>
      <w:r>
        <w:rPr>
          <w:rFonts w:asciiTheme="majorBidi" w:hAnsiTheme="majorBidi" w:cstheme="majorBidi"/>
          <w:sz w:val="20"/>
          <w:szCs w:val="20"/>
        </w:rPr>
        <w:t>Supercommentary</w:t>
      </w:r>
      <w:proofErr w:type="spellEnd"/>
      <w:r>
        <w:rPr>
          <w:rFonts w:asciiTheme="majorBidi" w:hAnsiTheme="majorBidi" w:cstheme="majorBidi"/>
          <w:sz w:val="20"/>
          <w:szCs w:val="20"/>
        </w:rPr>
        <w:t xml:space="preserve"> on Ibn Ezra’s Commentary on Pentateuch:</w:t>
      </w:r>
      <w:r>
        <w:rPr>
          <w:rFonts w:asciiTheme="majorBidi" w:hAnsiTheme="majorBidi" w:cstheme="majorBidi"/>
          <w:i/>
          <w:iCs/>
          <w:sz w:val="20"/>
          <w:szCs w:val="20"/>
        </w:rPr>
        <w:t xml:space="preserve"> </w:t>
      </w:r>
      <w:r>
        <w:rPr>
          <w:rFonts w:asciiTheme="majorBidi" w:hAnsiTheme="majorBidi" w:cstheme="majorBidi"/>
          <w:sz w:val="20"/>
          <w:szCs w:val="20"/>
        </w:rPr>
        <w:t>vol. 1 (New York,1973), Introduction, (</w:t>
      </w:r>
      <w:r>
        <w:rPr>
          <w:rFonts w:asciiTheme="majorBidi" w:eastAsiaTheme="minorHAnsi" w:hAnsiTheme="majorBidi" w:cstheme="majorBidi" w:hint="cs"/>
          <w:color w:val="000000"/>
          <w:sz w:val="20"/>
          <w:szCs w:val="20"/>
          <w:rtl/>
          <w:lang w:bidi="he-IL"/>
        </w:rPr>
        <w:t>אות ש'</w:t>
      </w:r>
      <w:r>
        <w:rPr>
          <w:rFonts w:asciiTheme="majorBidi" w:hAnsiTheme="majorBidi" w:cstheme="majorBidi"/>
          <w:sz w:val="20"/>
          <w:szCs w:val="20"/>
        </w:rPr>
        <w:t xml:space="preserve">), pp. 42-43; Ibn Ezra's Commentary on Pentateuch, A. Weiser, ed. vol. 1 (Jerusalem, 1976), Introduction, p. 68.   Mondschein cites 15 references, based on </w:t>
      </w:r>
      <w:proofErr w:type="spellStart"/>
      <w:r>
        <w:rPr>
          <w:rFonts w:asciiTheme="majorBidi" w:hAnsiTheme="majorBidi" w:cstheme="majorBidi"/>
          <w:sz w:val="20"/>
          <w:szCs w:val="20"/>
        </w:rPr>
        <w:t>Krinsky</w:t>
      </w:r>
      <w:proofErr w:type="spellEnd"/>
      <w:r>
        <w:rPr>
          <w:rFonts w:asciiTheme="majorBidi" w:hAnsiTheme="majorBidi" w:cstheme="majorBidi"/>
          <w:sz w:val="20"/>
          <w:szCs w:val="20"/>
        </w:rPr>
        <w:t xml:space="preserve"> and Weiser.  Mondschein, “Only One in a Thousand,” p. 226, n.16.</w:t>
      </w:r>
    </w:p>
  </w:footnote>
  <w:footnote w:id="11">
    <w:p w14:paraId="416E42CA"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Mondschein, “Only One in a Thousand,” p. 226. </w:t>
      </w:r>
    </w:p>
  </w:footnote>
  <w:footnote w:id="12">
    <w:p w14:paraId="3E0527AF"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Mondschein, “Only One in a Thousand,” pp. 224-226.</w:t>
      </w:r>
    </w:p>
  </w:footnote>
  <w:footnote w:id="13">
    <w:p w14:paraId="66D0386B" w14:textId="7D834F36" w:rsidR="00B057F3" w:rsidRDefault="00B057F3" w:rsidP="00526F15">
      <w:pPr>
        <w:pStyle w:val="a3"/>
        <w:tabs>
          <w:tab w:val="left" w:pos="2070"/>
        </w:tabs>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w:t>
      </w:r>
      <w:r w:rsidRPr="00012203">
        <w:rPr>
          <w:rFonts w:asciiTheme="majorBidi" w:hAnsiTheme="majorBidi" w:cstheme="majorBidi"/>
        </w:rPr>
        <w:t xml:space="preserve">This debate extends further to </w:t>
      </w:r>
      <w:proofErr w:type="spellStart"/>
      <w:r w:rsidRPr="00012203">
        <w:rPr>
          <w:rFonts w:asciiTheme="majorBidi" w:hAnsiTheme="majorBidi" w:cstheme="majorBidi"/>
        </w:rPr>
        <w:t>Rashi’s</w:t>
      </w:r>
      <w:proofErr w:type="spellEnd"/>
      <w:r w:rsidRPr="00012203">
        <w:rPr>
          <w:rFonts w:asciiTheme="majorBidi" w:hAnsiTheme="majorBidi" w:cstheme="majorBidi"/>
        </w:rPr>
        <w:t xml:space="preserve"> eleventh-century, </w:t>
      </w:r>
      <w:proofErr w:type="spellStart"/>
      <w:r w:rsidRPr="00012203">
        <w:rPr>
          <w:rFonts w:asciiTheme="majorBidi" w:hAnsiTheme="majorBidi" w:cstheme="majorBidi"/>
          <w:i/>
        </w:rPr>
        <w:t>peshat</w:t>
      </w:r>
      <w:proofErr w:type="spellEnd"/>
      <w:r w:rsidRPr="00012203">
        <w:rPr>
          <w:rFonts w:asciiTheme="majorBidi" w:hAnsiTheme="majorBidi" w:cstheme="majorBidi"/>
        </w:rPr>
        <w:t>-oriented successors, who were Ibn Ezra’s contemporaries</w:t>
      </w:r>
      <w:r>
        <w:rPr>
          <w:rFonts w:asciiTheme="majorBidi" w:hAnsiTheme="majorBidi" w:cstheme="majorBidi"/>
        </w:rPr>
        <w:t xml:space="preserve">, </w:t>
      </w:r>
      <w:r w:rsidRPr="00012203">
        <w:rPr>
          <w:rFonts w:asciiTheme="majorBidi" w:hAnsiTheme="majorBidi" w:cstheme="majorBidi"/>
        </w:rPr>
        <w:t>namely, R. Shmuel b. Meir [</w:t>
      </w:r>
      <w:proofErr w:type="spellStart"/>
      <w:r w:rsidRPr="00FB1CFF">
        <w:rPr>
          <w:rFonts w:asciiTheme="majorBidi" w:hAnsiTheme="majorBidi" w:cstheme="majorBidi"/>
          <w:bCs/>
        </w:rPr>
        <w:t>Rashbam</w:t>
      </w:r>
      <w:proofErr w:type="spellEnd"/>
      <w:r w:rsidRPr="00012203">
        <w:rPr>
          <w:rFonts w:asciiTheme="majorBidi" w:hAnsiTheme="majorBidi" w:cstheme="majorBidi"/>
          <w:b/>
        </w:rPr>
        <w:t>]</w:t>
      </w:r>
      <w:r w:rsidRPr="00012203">
        <w:rPr>
          <w:rFonts w:asciiTheme="majorBidi" w:hAnsiTheme="majorBidi" w:cstheme="majorBidi"/>
        </w:rPr>
        <w:t>, and R. Joseph Kara.  Though it is beyond the purview of this essay, this argument remains inconclusive.</w:t>
      </w:r>
      <w:r>
        <w:rPr>
          <w:rFonts w:asciiTheme="majorBidi" w:hAnsiTheme="majorBidi" w:cstheme="majorBidi"/>
        </w:rPr>
        <w:t xml:space="preserve">  </w:t>
      </w:r>
    </w:p>
    <w:p w14:paraId="5D114486" w14:textId="77777777" w:rsidR="00B057F3" w:rsidRDefault="00B057F3" w:rsidP="00526F15">
      <w:pPr>
        <w:pStyle w:val="a3"/>
        <w:tabs>
          <w:tab w:val="left" w:pos="2070"/>
        </w:tabs>
        <w:rPr>
          <w:rFonts w:asciiTheme="majorBidi" w:hAnsiTheme="majorBidi" w:cstheme="majorBidi"/>
        </w:rPr>
      </w:pPr>
      <w:proofErr w:type="spellStart"/>
      <w:r>
        <w:rPr>
          <w:rFonts w:asciiTheme="majorBidi" w:hAnsiTheme="majorBidi" w:cstheme="majorBidi"/>
        </w:rPr>
        <w:t>Rashbam</w:t>
      </w:r>
      <w:proofErr w:type="spellEnd"/>
      <w:r>
        <w:rPr>
          <w:rFonts w:asciiTheme="majorBidi" w:hAnsiTheme="majorBidi" w:cstheme="majorBidi"/>
        </w:rPr>
        <w:t xml:space="preserve"> (1080-1160), acclaimed </w:t>
      </w:r>
      <w:proofErr w:type="spellStart"/>
      <w:r>
        <w:rPr>
          <w:rFonts w:asciiTheme="majorBidi" w:hAnsiTheme="majorBidi" w:cstheme="majorBidi"/>
        </w:rPr>
        <w:t>Tosafist</w:t>
      </w:r>
      <w:proofErr w:type="spellEnd"/>
      <w:r>
        <w:rPr>
          <w:rFonts w:asciiTheme="majorBidi" w:hAnsiTheme="majorBidi" w:cstheme="majorBidi"/>
        </w:rPr>
        <w:t xml:space="preserve"> and grandson and student of </w:t>
      </w:r>
      <w:proofErr w:type="spellStart"/>
      <w:r>
        <w:rPr>
          <w:rFonts w:asciiTheme="majorBidi" w:hAnsiTheme="majorBidi" w:cstheme="majorBidi"/>
        </w:rPr>
        <w:t>Rashi</w:t>
      </w:r>
      <w:proofErr w:type="spellEnd"/>
      <w:r>
        <w:rPr>
          <w:rFonts w:asciiTheme="majorBidi" w:hAnsiTheme="majorBidi" w:cstheme="majorBidi"/>
        </w:rPr>
        <w:t xml:space="preserve">, was the brother of the renowned </w:t>
      </w:r>
      <w:proofErr w:type="spellStart"/>
      <w:r>
        <w:rPr>
          <w:rFonts w:asciiTheme="majorBidi" w:hAnsiTheme="majorBidi" w:cstheme="majorBidi"/>
        </w:rPr>
        <w:t>Tosafist</w:t>
      </w:r>
      <w:proofErr w:type="spellEnd"/>
      <w:r>
        <w:rPr>
          <w:rFonts w:asciiTheme="majorBidi" w:hAnsiTheme="majorBidi" w:cstheme="majorBidi"/>
        </w:rPr>
        <w:t xml:space="preserve">, </w:t>
      </w:r>
      <w:proofErr w:type="spellStart"/>
      <w:r>
        <w:rPr>
          <w:rFonts w:asciiTheme="majorBidi" w:hAnsiTheme="majorBidi" w:cstheme="majorBidi"/>
        </w:rPr>
        <w:t>Rabbenu</w:t>
      </w:r>
      <w:proofErr w:type="spellEnd"/>
      <w:r>
        <w:rPr>
          <w:rFonts w:asciiTheme="majorBidi" w:hAnsiTheme="majorBidi" w:cstheme="majorBidi"/>
        </w:rPr>
        <w:t xml:space="preserve"> Tam, whom Ibn Ezra had befriended in Northern France. </w:t>
      </w:r>
    </w:p>
    <w:p w14:paraId="7A7EB8D8" w14:textId="77777777" w:rsidR="00B057F3" w:rsidRDefault="00B057F3" w:rsidP="00526F15">
      <w:pPr>
        <w:pStyle w:val="a3"/>
        <w:tabs>
          <w:tab w:val="left" w:pos="2070"/>
        </w:tabs>
        <w:rPr>
          <w:rFonts w:asciiTheme="majorBidi" w:hAnsiTheme="majorBidi" w:cstheme="majorBidi"/>
        </w:rPr>
      </w:pPr>
      <w:r>
        <w:rPr>
          <w:rFonts w:asciiTheme="majorBidi" w:hAnsiTheme="majorBidi" w:cstheme="majorBidi"/>
        </w:rPr>
        <w:t xml:space="preserve">Mondschein maintains that although Ibn Ezra was not familiar with </w:t>
      </w:r>
      <w:proofErr w:type="spellStart"/>
      <w:r>
        <w:rPr>
          <w:rFonts w:asciiTheme="majorBidi" w:hAnsiTheme="majorBidi" w:cstheme="majorBidi"/>
        </w:rPr>
        <w:t>Rashbam’s</w:t>
      </w:r>
      <w:proofErr w:type="spellEnd"/>
      <w:r>
        <w:rPr>
          <w:rFonts w:asciiTheme="majorBidi" w:hAnsiTheme="majorBidi" w:cstheme="majorBidi"/>
        </w:rPr>
        <w:t xml:space="preserve"> biblical works until arriving in London at the end of his life, it was then that he wrote ‘</w:t>
      </w:r>
      <w:proofErr w:type="spellStart"/>
      <w:r>
        <w:rPr>
          <w:rFonts w:asciiTheme="majorBidi" w:hAnsiTheme="majorBidi" w:cstheme="majorBidi"/>
          <w:i/>
        </w:rPr>
        <w:t>Iggeret</w:t>
      </w:r>
      <w:proofErr w:type="spellEnd"/>
      <w:r>
        <w:rPr>
          <w:rFonts w:asciiTheme="majorBidi" w:hAnsiTheme="majorBidi" w:cstheme="majorBidi"/>
          <w:i/>
        </w:rPr>
        <w:t xml:space="preserve"> ha-Shabbat</w:t>
      </w:r>
      <w:r>
        <w:rPr>
          <w:rFonts w:asciiTheme="majorBidi" w:hAnsiTheme="majorBidi" w:cstheme="majorBidi"/>
        </w:rPr>
        <w:t xml:space="preserve"> in response to </w:t>
      </w:r>
      <w:proofErr w:type="spellStart"/>
      <w:r>
        <w:rPr>
          <w:rFonts w:asciiTheme="majorBidi" w:hAnsiTheme="majorBidi" w:cstheme="majorBidi"/>
        </w:rPr>
        <w:t>Rashbam</w:t>
      </w:r>
      <w:proofErr w:type="spellEnd"/>
      <w:r>
        <w:rPr>
          <w:rFonts w:asciiTheme="majorBidi" w:hAnsiTheme="majorBidi" w:cstheme="majorBidi"/>
        </w:rPr>
        <w:t xml:space="preserve">.  See A. Mondschein, “Concerning the Inter-relationship of the Commentaries of R. Abraham Ibn Ezra and R. Samuel B. Meir to the Pentateuch: A New Appraisal,” [in Hebrew], </w:t>
      </w:r>
      <w:proofErr w:type="spellStart"/>
      <w:r>
        <w:rPr>
          <w:rFonts w:asciiTheme="majorBidi" w:hAnsiTheme="majorBidi" w:cstheme="majorBidi"/>
          <w:i/>
        </w:rPr>
        <w:t>Te’uda</w:t>
      </w:r>
      <w:proofErr w:type="spellEnd"/>
      <w:r>
        <w:rPr>
          <w:rFonts w:asciiTheme="majorBidi" w:hAnsiTheme="majorBidi" w:cstheme="majorBidi"/>
        </w:rPr>
        <w:t xml:space="preserve"> (2001), especially pp. 40-45.  </w:t>
      </w:r>
    </w:p>
    <w:p w14:paraId="6A863372" w14:textId="648FD78D" w:rsidR="00B057F3" w:rsidRDefault="00B057F3" w:rsidP="00526F15">
      <w:pPr>
        <w:pStyle w:val="a3"/>
        <w:tabs>
          <w:tab w:val="left" w:pos="2070"/>
        </w:tabs>
        <w:rPr>
          <w:rFonts w:asciiTheme="majorBidi" w:hAnsiTheme="majorBidi" w:cstheme="majorBidi"/>
        </w:rPr>
      </w:pPr>
      <w:r>
        <w:rPr>
          <w:rFonts w:asciiTheme="majorBidi" w:hAnsiTheme="majorBidi" w:cstheme="majorBidi"/>
        </w:rPr>
        <w:t xml:space="preserve">On the other hand, U. Simon claims that though initially unaware of </w:t>
      </w:r>
      <w:proofErr w:type="spellStart"/>
      <w:r>
        <w:rPr>
          <w:rFonts w:asciiTheme="majorBidi" w:hAnsiTheme="majorBidi" w:cstheme="majorBidi"/>
        </w:rPr>
        <w:t>Rashbam’s</w:t>
      </w:r>
      <w:proofErr w:type="spellEnd"/>
      <w:r>
        <w:rPr>
          <w:rFonts w:asciiTheme="majorBidi" w:hAnsiTheme="majorBidi" w:cstheme="majorBidi"/>
        </w:rPr>
        <w:t xml:space="preserve"> writings while in Italy, Ibn Ezra largely ignored the local </w:t>
      </w:r>
      <w:proofErr w:type="spellStart"/>
      <w:r>
        <w:rPr>
          <w:rFonts w:asciiTheme="majorBidi" w:hAnsiTheme="majorBidi" w:cstheme="majorBidi"/>
          <w:i/>
        </w:rPr>
        <w:t>peshat</w:t>
      </w:r>
      <w:proofErr w:type="spellEnd"/>
      <w:r>
        <w:rPr>
          <w:rFonts w:asciiTheme="majorBidi" w:hAnsiTheme="majorBidi" w:cstheme="majorBidi"/>
        </w:rPr>
        <w:t xml:space="preserve"> school while in Northern France, due to the latter’s lack of knowledge of contemporary Hebrew grammar, which had originated in Arabic, in Spain.  U. Simon, “Transplanting the Wisdom of Spain to Christian Lands,” p. 170, and n.107.  </w:t>
      </w:r>
    </w:p>
    <w:p w14:paraId="39709BB8" w14:textId="77777777" w:rsidR="00B057F3" w:rsidRDefault="00B057F3" w:rsidP="00526F15">
      <w:pPr>
        <w:pStyle w:val="a3"/>
        <w:tabs>
          <w:tab w:val="left" w:pos="2070"/>
        </w:tabs>
        <w:rPr>
          <w:rFonts w:asciiTheme="majorBidi" w:hAnsiTheme="majorBidi" w:cstheme="majorBidi"/>
        </w:rPr>
      </w:pPr>
      <w:r>
        <w:rPr>
          <w:rFonts w:asciiTheme="majorBidi" w:hAnsiTheme="majorBidi" w:cstheme="majorBidi"/>
        </w:rPr>
        <w:t xml:space="preserve">Finally, for a comprehensive analysis of the </w:t>
      </w:r>
      <w:proofErr w:type="spellStart"/>
      <w:r>
        <w:rPr>
          <w:rFonts w:asciiTheme="majorBidi" w:hAnsiTheme="majorBidi" w:cstheme="majorBidi"/>
          <w:i/>
        </w:rPr>
        <w:t>peshat</w:t>
      </w:r>
      <w:proofErr w:type="spellEnd"/>
      <w:r>
        <w:rPr>
          <w:rFonts w:asciiTheme="majorBidi" w:hAnsiTheme="majorBidi" w:cstheme="majorBidi"/>
        </w:rPr>
        <w:t xml:space="preserve"> “revolution” in eleventh-century Northern France; its origins and participants, and its ultimate demise, see A. Grossman, “The school of literal Jewish exegesis in Northern France,” HBOT, pp. 323-371.</w:t>
      </w:r>
    </w:p>
  </w:footnote>
  <w:footnote w:id="14">
    <w:p w14:paraId="3012ACA0"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U. Simon, “Transplanting the Wisdom of Spain to Christian Lands,” p. 170; Mondschein, “Only One in a Thousand,” pp. 226-227, p. 248, f.n.43.  </w:t>
      </w:r>
    </w:p>
  </w:footnote>
  <w:footnote w:id="15">
    <w:p w14:paraId="5775343D"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Mondschein, “‘Only One in a Thousand,’” p. 226.</w:t>
      </w:r>
    </w:p>
  </w:footnote>
  <w:footnote w:id="16">
    <w:p w14:paraId="4661F841"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Mondschein, “‘Only One in a Thousand,’” pp. 226-246, esp. pp.226, 242-243.</w:t>
      </w:r>
    </w:p>
  </w:footnote>
  <w:footnote w:id="17">
    <w:p w14:paraId="377DA543" w14:textId="4011C89F"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Mondschein cites many compelling examples of what he claims are indirect references to </w:t>
      </w:r>
      <w:proofErr w:type="spellStart"/>
      <w:r>
        <w:rPr>
          <w:rFonts w:asciiTheme="majorBidi" w:hAnsiTheme="majorBidi" w:cstheme="majorBidi"/>
          <w:i/>
          <w:iCs/>
        </w:rPr>
        <w:t>Peirush</w:t>
      </w:r>
      <w:proofErr w:type="spellEnd"/>
      <w:r>
        <w:rPr>
          <w:rFonts w:asciiTheme="majorBidi" w:hAnsiTheme="majorBidi" w:cstheme="majorBidi"/>
          <w:i/>
          <w:iCs/>
        </w:rPr>
        <w:t xml:space="preserve"> </w:t>
      </w:r>
      <w:proofErr w:type="spellStart"/>
      <w:r>
        <w:rPr>
          <w:rFonts w:asciiTheme="majorBidi" w:hAnsiTheme="majorBidi" w:cstheme="majorBidi"/>
          <w:i/>
          <w:iCs/>
        </w:rPr>
        <w:t>Rashi</w:t>
      </w:r>
      <w:proofErr w:type="spellEnd"/>
      <w:r>
        <w:rPr>
          <w:rFonts w:asciiTheme="majorBidi" w:hAnsiTheme="majorBidi" w:cstheme="majorBidi"/>
        </w:rPr>
        <w:t xml:space="preserve"> on Torah by Ibn Ezra. This is based on similar language between the two commentaries, extraneous words in Ibn Ezra’s </w:t>
      </w:r>
      <w:proofErr w:type="spellStart"/>
      <w:r w:rsidRPr="00DA1BBF">
        <w:rPr>
          <w:rFonts w:asciiTheme="majorBidi" w:hAnsiTheme="majorBidi" w:cstheme="majorBidi"/>
          <w:i/>
          <w:iCs/>
        </w:rPr>
        <w:t>perush</w:t>
      </w:r>
      <w:proofErr w:type="spellEnd"/>
      <w:r>
        <w:rPr>
          <w:rFonts w:asciiTheme="majorBidi" w:hAnsiTheme="majorBidi" w:cstheme="majorBidi"/>
        </w:rPr>
        <w:t xml:space="preserve">, and the like.  Mondschein, “‘Only One in a Thousand,’” pp. 228-232.  See </w:t>
      </w:r>
      <w:proofErr w:type="spellStart"/>
      <w:r>
        <w:rPr>
          <w:rFonts w:asciiTheme="majorBidi" w:hAnsiTheme="majorBidi" w:cstheme="majorBidi"/>
        </w:rPr>
        <w:t>Krinsky</w:t>
      </w:r>
      <w:proofErr w:type="spellEnd"/>
      <w:r>
        <w:rPr>
          <w:rFonts w:asciiTheme="majorBidi" w:hAnsiTheme="majorBidi" w:cstheme="majorBidi"/>
        </w:rPr>
        <w:t xml:space="preserve">, who likewise maintains that Ibn Ezra often cited </w:t>
      </w:r>
      <w:proofErr w:type="spellStart"/>
      <w:r>
        <w:rPr>
          <w:rFonts w:asciiTheme="majorBidi" w:hAnsiTheme="majorBidi" w:cstheme="majorBidi"/>
        </w:rPr>
        <w:t>Rashi</w:t>
      </w:r>
      <w:proofErr w:type="spellEnd"/>
      <w:r>
        <w:rPr>
          <w:rFonts w:asciiTheme="majorBidi" w:hAnsiTheme="majorBidi" w:cstheme="majorBidi"/>
        </w:rPr>
        <w:t xml:space="preserve"> indirectly in his </w:t>
      </w:r>
      <w:proofErr w:type="spellStart"/>
      <w:r>
        <w:rPr>
          <w:rFonts w:asciiTheme="majorBidi" w:hAnsiTheme="majorBidi" w:cstheme="majorBidi"/>
          <w:i/>
          <w:iCs/>
        </w:rPr>
        <w:t>perushim</w:t>
      </w:r>
      <w:proofErr w:type="spellEnd"/>
      <w:r>
        <w:rPr>
          <w:rFonts w:asciiTheme="majorBidi" w:hAnsiTheme="majorBidi" w:cstheme="majorBidi"/>
        </w:rPr>
        <w:t xml:space="preserve">.  </w:t>
      </w:r>
      <w:proofErr w:type="spellStart"/>
      <w:r>
        <w:rPr>
          <w:rFonts w:asciiTheme="majorBidi" w:hAnsiTheme="majorBidi" w:cstheme="majorBidi"/>
        </w:rPr>
        <w:t>Krinsky</w:t>
      </w:r>
      <w:proofErr w:type="spellEnd"/>
      <w:r>
        <w:rPr>
          <w:rFonts w:asciiTheme="majorBidi" w:hAnsiTheme="majorBidi" w:cstheme="majorBidi"/>
        </w:rPr>
        <w:t xml:space="preserve">, </w:t>
      </w:r>
      <w:r w:rsidR="00DA1BBF">
        <w:rPr>
          <w:rFonts w:asciiTheme="majorBidi" w:hAnsiTheme="majorBidi" w:cstheme="majorBidi"/>
        </w:rPr>
        <w:t>i</w:t>
      </w:r>
      <w:r>
        <w:rPr>
          <w:rFonts w:asciiTheme="majorBidi" w:hAnsiTheme="majorBidi" w:cstheme="majorBidi"/>
        </w:rPr>
        <w:t>bid., p. 43.</w:t>
      </w:r>
    </w:p>
  </w:footnote>
  <w:footnote w:id="18">
    <w:p w14:paraId="6A39D866" w14:textId="74C5E080"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Examples by Friedlander and Simon are cited by Mondschein, “Only One in a Thousand, p. 242, n. 31.  </w:t>
      </w:r>
    </w:p>
    <w:p w14:paraId="482FB1D2" w14:textId="226C40EF" w:rsidR="00B057F3" w:rsidRDefault="00B057F3" w:rsidP="00505FAD">
      <w:pPr>
        <w:autoSpaceDE w:val="0"/>
        <w:autoSpaceDN w:val="0"/>
        <w:adjustRightInd w:val="0"/>
        <w:rPr>
          <w:rFonts w:asciiTheme="majorBidi" w:hAnsiTheme="majorBidi" w:cstheme="majorBidi"/>
          <w:sz w:val="20"/>
          <w:szCs w:val="20"/>
          <w:shd w:val="clear" w:color="auto" w:fill="FFFFFF"/>
        </w:rPr>
      </w:pPr>
      <w:r>
        <w:rPr>
          <w:rFonts w:asciiTheme="majorBidi" w:hAnsiTheme="majorBidi" w:cstheme="majorBidi"/>
          <w:sz w:val="20"/>
          <w:szCs w:val="20"/>
        </w:rPr>
        <w:t xml:space="preserve">Mondschein also cites Friedlander’s claims of cultural openness in medieval Italy, relative to Northern France. In Ibn Ezra's Short Commentary on Daniel: </w:t>
      </w:r>
      <w:r>
        <w:rPr>
          <w:rFonts w:asciiTheme="majorBidi" w:hAnsiTheme="majorBidi" w:cstheme="majorBidi"/>
          <w:sz w:val="20"/>
          <w:szCs w:val="20"/>
          <w:shd w:val="clear" w:color="auto" w:fill="FFFFFF"/>
        </w:rPr>
        <w:t>A. Mondschein, ed.; M.A. thesis, Bar</w:t>
      </w:r>
      <w:r w:rsidR="000D60D7">
        <w:rPr>
          <w:rFonts w:asciiTheme="majorBidi" w:hAnsiTheme="majorBidi" w:cstheme="majorBidi"/>
          <w:sz w:val="20"/>
          <w:szCs w:val="20"/>
          <w:shd w:val="clear" w:color="auto" w:fill="FFFFFF"/>
        </w:rPr>
        <w:t>-</w:t>
      </w:r>
      <w:r>
        <w:rPr>
          <w:rFonts w:asciiTheme="majorBidi" w:hAnsiTheme="majorBidi" w:cstheme="majorBidi"/>
          <w:sz w:val="20"/>
          <w:szCs w:val="20"/>
          <w:shd w:val="clear" w:color="auto" w:fill="FFFFFF"/>
        </w:rPr>
        <w:t xml:space="preserve">Ilan University; Ramat </w:t>
      </w:r>
      <w:proofErr w:type="spellStart"/>
      <w:r>
        <w:rPr>
          <w:rFonts w:asciiTheme="majorBidi" w:hAnsiTheme="majorBidi" w:cstheme="majorBidi"/>
          <w:sz w:val="20"/>
          <w:szCs w:val="20"/>
          <w:shd w:val="clear" w:color="auto" w:fill="FFFFFF"/>
        </w:rPr>
        <w:t>Gan</w:t>
      </w:r>
      <w:proofErr w:type="spellEnd"/>
      <w:r>
        <w:rPr>
          <w:rFonts w:asciiTheme="majorBidi" w:hAnsiTheme="majorBidi" w:cstheme="majorBidi"/>
          <w:sz w:val="20"/>
          <w:szCs w:val="20"/>
          <w:shd w:val="clear" w:color="auto" w:fill="FFFFFF"/>
        </w:rPr>
        <w:t xml:space="preserve"> 1977, Introduction, </w:t>
      </w:r>
      <w:proofErr w:type="spellStart"/>
      <w:r>
        <w:rPr>
          <w:rFonts w:asciiTheme="majorBidi" w:hAnsiTheme="majorBidi" w:cstheme="majorBidi"/>
          <w:sz w:val="20"/>
          <w:szCs w:val="20"/>
        </w:rPr>
        <w:t>ch.</w:t>
      </w:r>
      <w:proofErr w:type="spellEnd"/>
      <w:r>
        <w:rPr>
          <w:rFonts w:asciiTheme="majorBidi" w:hAnsiTheme="majorBidi" w:cstheme="majorBidi"/>
          <w:sz w:val="20"/>
          <w:szCs w:val="20"/>
        </w:rPr>
        <w:t xml:space="preserve"> 5, p. (</w:t>
      </w:r>
      <w:r>
        <w:rPr>
          <w:rFonts w:asciiTheme="majorBidi" w:eastAsiaTheme="minorHAnsi" w:hAnsiTheme="majorBidi" w:cstheme="majorBidi" w:hint="cs"/>
          <w:sz w:val="20"/>
          <w:szCs w:val="20"/>
          <w:rtl/>
          <w:lang w:bidi="he-IL"/>
        </w:rPr>
        <w:t>כז</w:t>
      </w:r>
      <w:r>
        <w:rPr>
          <w:rFonts w:asciiTheme="majorBidi" w:hAnsiTheme="majorBidi" w:cstheme="majorBidi"/>
          <w:sz w:val="20"/>
          <w:szCs w:val="20"/>
        </w:rPr>
        <w:t>).</w:t>
      </w:r>
      <w:r>
        <w:rPr>
          <w:rFonts w:asciiTheme="majorBidi" w:hAnsiTheme="majorBidi" w:cstheme="majorBidi"/>
          <w:sz w:val="20"/>
          <w:szCs w:val="20"/>
          <w:shd w:val="clear" w:color="auto" w:fill="FFFFFF"/>
        </w:rPr>
        <w:t xml:space="preserve"> </w:t>
      </w:r>
    </w:p>
  </w:footnote>
  <w:footnote w:id="19">
    <w:p w14:paraId="68C5AD4A"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Sh. Sela and G. </w:t>
      </w:r>
      <w:proofErr w:type="spellStart"/>
      <w:r>
        <w:rPr>
          <w:rFonts w:asciiTheme="majorBidi" w:hAnsiTheme="majorBidi" w:cstheme="majorBidi"/>
        </w:rPr>
        <w:t>Fruedenthal</w:t>
      </w:r>
      <w:proofErr w:type="spellEnd"/>
      <w:r>
        <w:rPr>
          <w:rFonts w:asciiTheme="majorBidi" w:hAnsiTheme="majorBidi" w:cstheme="majorBidi"/>
        </w:rPr>
        <w:t xml:space="preserve">, “Abraham Ibn Ezra’s Scholarly Writings: A Chronological Listing,” </w:t>
      </w:r>
      <w:r>
        <w:rPr>
          <w:rFonts w:asciiTheme="majorBidi" w:hAnsiTheme="majorBidi" w:cstheme="majorBidi"/>
          <w:i/>
        </w:rPr>
        <w:t>Aleph</w:t>
      </w:r>
      <w:r>
        <w:rPr>
          <w:rFonts w:asciiTheme="majorBidi" w:hAnsiTheme="majorBidi" w:cstheme="majorBidi"/>
        </w:rPr>
        <w:t xml:space="preserve"> 6 (2006), pp. 13-47.  See also U. Simon, “Abraham Ibn Ezra,” HBOT, p. 378; Mondschein, ibid.</w:t>
      </w:r>
    </w:p>
  </w:footnote>
  <w:footnote w:id="20">
    <w:p w14:paraId="0295CE39" w14:textId="069FFC6B"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Sh. Sela and G. </w:t>
      </w:r>
      <w:proofErr w:type="spellStart"/>
      <w:r>
        <w:rPr>
          <w:rFonts w:asciiTheme="majorBidi" w:hAnsiTheme="majorBidi" w:cstheme="majorBidi"/>
        </w:rPr>
        <w:t>Fruedenthal</w:t>
      </w:r>
      <w:proofErr w:type="spellEnd"/>
      <w:r>
        <w:rPr>
          <w:rFonts w:asciiTheme="majorBidi" w:hAnsiTheme="majorBidi" w:cstheme="majorBidi"/>
        </w:rPr>
        <w:t>, “Abraham Ibn Ezra’s Scholarly Writings,” pp. 19, 21.</w:t>
      </w:r>
    </w:p>
  </w:footnote>
  <w:footnote w:id="21">
    <w:p w14:paraId="4815081F" w14:textId="33FFB8ED" w:rsidR="00B057F3" w:rsidRDefault="00B057F3" w:rsidP="00571AD9">
      <w:pPr>
        <w:pStyle w:val="a3"/>
        <w:rPr>
          <w:rFonts w:asciiTheme="majorBidi" w:hAnsiTheme="majorBidi" w:cstheme="majorBidi"/>
        </w:rPr>
      </w:pPr>
      <w:r w:rsidRPr="00526F15">
        <w:rPr>
          <w:rStyle w:val="a6"/>
          <w:rFonts w:asciiTheme="majorBidi" w:hAnsiTheme="majorBidi" w:cstheme="majorBidi"/>
        </w:rPr>
        <w:footnoteRef/>
      </w:r>
      <w:r w:rsidRPr="00526F15">
        <w:rPr>
          <w:rFonts w:asciiTheme="majorBidi" w:hAnsiTheme="majorBidi" w:cstheme="majorBidi"/>
        </w:rPr>
        <w:t xml:space="preserve"> Indeed, Simon contends that “Ibn Ezra was perceived [in Christian Europe] – in his own eyes, as well as in the eyes of others</w:t>
      </w:r>
      <w:r w:rsidR="00571AD9">
        <w:rPr>
          <w:rFonts w:asciiTheme="majorBidi" w:hAnsiTheme="majorBidi" w:cstheme="majorBidi"/>
        </w:rPr>
        <w:t xml:space="preserve"> </w:t>
      </w:r>
      <w:r w:rsidR="00571AD9" w:rsidRPr="00571AD9">
        <w:rPr>
          <w:rFonts w:asciiTheme="majorBidi" w:hAnsiTheme="majorBidi" w:cstheme="majorBidi"/>
        </w:rPr>
        <w:t>–</w:t>
      </w:r>
      <w:r w:rsidRPr="00526F15">
        <w:rPr>
          <w:rFonts w:asciiTheme="majorBidi" w:hAnsiTheme="majorBidi" w:cstheme="majorBidi"/>
        </w:rPr>
        <w:t xml:space="preserve"> as a representative of Jewish culture in the realm of Islam.”</w:t>
      </w:r>
      <w:r>
        <w:rPr>
          <w:rFonts w:ascii="Arial" w:hAnsi="Arial" w:cs="Arial"/>
        </w:rPr>
        <w:t xml:space="preserve"> </w:t>
      </w:r>
      <w:r>
        <w:rPr>
          <w:rFonts w:asciiTheme="majorBidi" w:hAnsiTheme="majorBidi" w:cstheme="majorBidi"/>
        </w:rPr>
        <w:t>U. Simon, “Transplanting the Wisdom of Spain to Christian Lands,” p. 167.</w:t>
      </w:r>
      <w:r w:rsidR="00571AD9">
        <w:rPr>
          <w:rFonts w:asciiTheme="majorBidi" w:hAnsiTheme="majorBidi" w:cstheme="majorBidi"/>
        </w:rPr>
        <w:t xml:space="preserve"> </w:t>
      </w:r>
    </w:p>
  </w:footnote>
  <w:footnote w:id="22">
    <w:p w14:paraId="69E55591" w14:textId="54F3664B" w:rsidR="00B057F3" w:rsidRDefault="00B057F3" w:rsidP="00505FAD">
      <w:pPr>
        <w:pStyle w:val="a3"/>
        <w:rPr>
          <w:rFonts w:asciiTheme="majorBidi" w:hAnsiTheme="majorBidi" w:cstheme="majorBidi"/>
          <w:shd w:val="clear" w:color="auto" w:fill="FFFFFF"/>
        </w:rPr>
      </w:pPr>
      <w:r>
        <w:rPr>
          <w:rStyle w:val="a6"/>
          <w:rFonts w:asciiTheme="majorBidi" w:hAnsiTheme="majorBidi" w:cstheme="majorBidi"/>
        </w:rPr>
        <w:footnoteRef/>
      </w:r>
      <w:r>
        <w:rPr>
          <w:rFonts w:asciiTheme="majorBidi" w:hAnsiTheme="majorBidi" w:cstheme="majorBidi"/>
        </w:rPr>
        <w:t xml:space="preserve"> The suggestion of twelfth-century Italian Jewish cultural openness should be compared with A. Grossman’s study of what he considered the openness of Northern French scholars. Grossman claims that Northern French scholars’ “readiness… to draw on the cultural heritage of Spanish Jewry in biblical exegesis was consistent with [their] receptivity… in general to influence from other Jewish centers.”  Moreover, he contends that “French Jews were… more open in this respect than any other Jewish community in Europe…, borrow[</w:t>
      </w:r>
      <w:proofErr w:type="spellStart"/>
      <w:r>
        <w:rPr>
          <w:rFonts w:asciiTheme="majorBidi" w:hAnsiTheme="majorBidi" w:cstheme="majorBidi"/>
        </w:rPr>
        <w:t>ing</w:t>
      </w:r>
      <w:proofErr w:type="spellEnd"/>
      <w:r>
        <w:rPr>
          <w:rFonts w:asciiTheme="majorBidi" w:hAnsiTheme="majorBidi" w:cstheme="majorBidi"/>
        </w:rPr>
        <w:t xml:space="preserve">] copiously from the Jewish cultures of Germany, Provence, Italy and Byzantium…”  A. Grossman, “The school of literal Jewish exegesis in Northern France,” HBOT, pp. 327-328.  See also E. </w:t>
      </w:r>
      <w:proofErr w:type="spellStart"/>
      <w:r>
        <w:rPr>
          <w:rFonts w:asciiTheme="majorBidi" w:hAnsiTheme="majorBidi" w:cstheme="majorBidi"/>
        </w:rPr>
        <w:t>Kanarfogel</w:t>
      </w:r>
      <w:proofErr w:type="spellEnd"/>
      <w:r>
        <w:rPr>
          <w:rFonts w:asciiTheme="majorBidi" w:hAnsiTheme="majorBidi" w:cstheme="majorBidi"/>
        </w:rPr>
        <w:t xml:space="preserve">, </w:t>
      </w:r>
      <w:r>
        <w:rPr>
          <w:rFonts w:asciiTheme="majorBidi" w:hAnsiTheme="majorBidi" w:cstheme="majorBidi"/>
          <w:i/>
          <w:iCs/>
        </w:rPr>
        <w:t xml:space="preserve">The Intellectual History and Rabbinic Culture of Medieval </w:t>
      </w:r>
      <w:proofErr w:type="spellStart"/>
      <w:r>
        <w:rPr>
          <w:rFonts w:asciiTheme="majorBidi" w:hAnsiTheme="majorBidi" w:cstheme="majorBidi"/>
          <w:i/>
          <w:iCs/>
        </w:rPr>
        <w:t>Ashkenaz</w:t>
      </w:r>
      <w:proofErr w:type="spellEnd"/>
      <w:r>
        <w:rPr>
          <w:rFonts w:asciiTheme="majorBidi" w:hAnsiTheme="majorBidi" w:cstheme="majorBidi"/>
          <w:shd w:val="clear" w:color="auto" w:fill="FFFFFF"/>
        </w:rPr>
        <w:t xml:space="preserve">, (Detroit: Wayne State University Press, 2012), for a comprehensive and compelling study of the cultural openness of rabbinic scholarship in medieval </w:t>
      </w:r>
      <w:proofErr w:type="spellStart"/>
      <w:r>
        <w:rPr>
          <w:rFonts w:asciiTheme="majorBidi" w:hAnsiTheme="majorBidi" w:cstheme="majorBidi"/>
          <w:shd w:val="clear" w:color="auto" w:fill="FFFFFF"/>
        </w:rPr>
        <w:t>Ashkenaz</w:t>
      </w:r>
      <w:proofErr w:type="spellEnd"/>
      <w:r>
        <w:rPr>
          <w:rFonts w:asciiTheme="majorBidi" w:hAnsiTheme="majorBidi" w:cstheme="majorBidi"/>
          <w:shd w:val="clear" w:color="auto" w:fill="FFFFFF"/>
        </w:rPr>
        <w:t xml:space="preserve">. </w:t>
      </w:r>
    </w:p>
  </w:footnote>
  <w:footnote w:id="23">
    <w:p w14:paraId="1E109763" w14:textId="77777777" w:rsidR="00B057F3" w:rsidRDefault="00B057F3" w:rsidP="00505FAD">
      <w:pPr>
        <w:rPr>
          <w:rFonts w:asciiTheme="majorBidi" w:hAnsiTheme="majorBidi" w:cstheme="majorBidi"/>
          <w:sz w:val="20"/>
          <w:szCs w:val="20"/>
        </w:rPr>
      </w:pPr>
      <w:r>
        <w:rPr>
          <w:rStyle w:val="a6"/>
          <w:rFonts w:asciiTheme="majorBidi" w:hAnsiTheme="majorBidi" w:cstheme="majorBidi"/>
          <w:sz w:val="20"/>
          <w:szCs w:val="20"/>
        </w:rPr>
        <w:footnoteRef/>
      </w:r>
      <w:r>
        <w:rPr>
          <w:rFonts w:asciiTheme="majorBidi" w:hAnsiTheme="majorBidi" w:cstheme="majorBidi"/>
          <w:sz w:val="20"/>
          <w:szCs w:val="20"/>
        </w:rPr>
        <w:t xml:space="preserve"> </w:t>
      </w:r>
      <w:proofErr w:type="spellStart"/>
      <w:r>
        <w:rPr>
          <w:rFonts w:asciiTheme="majorBidi" w:hAnsiTheme="majorBidi" w:cstheme="majorBidi"/>
          <w:sz w:val="20"/>
          <w:szCs w:val="20"/>
        </w:rPr>
        <w:t>Sela</w:t>
      </w:r>
      <w:proofErr w:type="spellEnd"/>
      <w:r>
        <w:rPr>
          <w:rFonts w:asciiTheme="majorBidi" w:hAnsiTheme="majorBidi" w:cstheme="majorBidi"/>
          <w:sz w:val="20"/>
          <w:szCs w:val="20"/>
        </w:rPr>
        <w:t xml:space="preserve"> and </w:t>
      </w:r>
      <w:proofErr w:type="spellStart"/>
      <w:r>
        <w:rPr>
          <w:rFonts w:asciiTheme="majorBidi" w:hAnsiTheme="majorBidi" w:cstheme="majorBidi"/>
          <w:sz w:val="20"/>
          <w:szCs w:val="20"/>
        </w:rPr>
        <w:t>Fruedenthal</w:t>
      </w:r>
      <w:proofErr w:type="spellEnd"/>
      <w:r>
        <w:rPr>
          <w:rFonts w:asciiTheme="majorBidi" w:hAnsiTheme="majorBidi" w:cstheme="majorBidi"/>
          <w:sz w:val="20"/>
          <w:szCs w:val="20"/>
        </w:rPr>
        <w:t xml:space="preserve">, “Abraham Ibn Ezra’s Scholarly Writings,” p. 18. </w:t>
      </w:r>
    </w:p>
  </w:footnote>
  <w:footnote w:id="24">
    <w:p w14:paraId="7D8C602B"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Ibn Ezra, “Introduction to Commentary on Pentateuch I (short commentary) (</w:t>
      </w:r>
      <w:proofErr w:type="spellStart"/>
      <w:r>
        <w:rPr>
          <w:rFonts w:asciiTheme="majorBidi" w:hAnsiTheme="majorBidi" w:cstheme="majorBidi"/>
          <w:i/>
        </w:rPr>
        <w:t>Sefer</w:t>
      </w:r>
      <w:proofErr w:type="spellEnd"/>
      <w:r>
        <w:rPr>
          <w:rFonts w:asciiTheme="majorBidi" w:hAnsiTheme="majorBidi" w:cstheme="majorBidi"/>
          <w:i/>
        </w:rPr>
        <w:t xml:space="preserve"> </w:t>
      </w:r>
      <w:proofErr w:type="spellStart"/>
      <w:r>
        <w:rPr>
          <w:rFonts w:asciiTheme="majorBidi" w:hAnsiTheme="majorBidi" w:cstheme="majorBidi"/>
          <w:i/>
        </w:rPr>
        <w:t>HaYashar</w:t>
      </w:r>
      <w:proofErr w:type="spellEnd"/>
      <w:r>
        <w:rPr>
          <w:rFonts w:asciiTheme="majorBidi" w:hAnsiTheme="majorBidi" w:cstheme="majorBidi"/>
        </w:rPr>
        <w:t xml:space="preserve">), Genesis I, II, &amp; III: M. Cohen, ed. </w:t>
      </w:r>
      <w:proofErr w:type="spellStart"/>
      <w:r>
        <w:rPr>
          <w:rFonts w:asciiTheme="majorBidi" w:hAnsiTheme="majorBidi" w:cstheme="majorBidi"/>
          <w:i/>
        </w:rPr>
        <w:t>Miqra’ot</w:t>
      </w:r>
      <w:proofErr w:type="spellEnd"/>
      <w:r>
        <w:rPr>
          <w:rFonts w:asciiTheme="majorBidi" w:hAnsiTheme="majorBidi" w:cstheme="majorBidi"/>
          <w:i/>
        </w:rPr>
        <w:t xml:space="preserve"> </w:t>
      </w:r>
      <w:proofErr w:type="spellStart"/>
      <w:r>
        <w:rPr>
          <w:rFonts w:asciiTheme="majorBidi" w:hAnsiTheme="majorBidi" w:cstheme="majorBidi"/>
          <w:i/>
        </w:rPr>
        <w:t>Gedolot</w:t>
      </w:r>
      <w:proofErr w:type="spellEnd"/>
      <w:r>
        <w:rPr>
          <w:rFonts w:asciiTheme="majorBidi" w:hAnsiTheme="majorBidi" w:cstheme="majorBidi"/>
          <w:i/>
        </w:rPr>
        <w:t xml:space="preserve"> ha-</w:t>
      </w:r>
      <w:proofErr w:type="spellStart"/>
      <w:r>
        <w:rPr>
          <w:rFonts w:asciiTheme="majorBidi" w:hAnsiTheme="majorBidi" w:cstheme="majorBidi"/>
          <w:i/>
        </w:rPr>
        <w:t>Keter</w:t>
      </w:r>
      <w:proofErr w:type="spellEnd"/>
      <w:r>
        <w:rPr>
          <w:rFonts w:asciiTheme="majorBidi" w:hAnsiTheme="majorBidi" w:cstheme="majorBidi"/>
        </w:rPr>
        <w:t xml:space="preserve">, Genesis, 2 vols. (Ramat Gan, 1992), p. 25; </w:t>
      </w:r>
      <w:r w:rsidRPr="00FB1CFF">
        <w:rPr>
          <w:rFonts w:asciiTheme="majorBidi" w:hAnsiTheme="majorBidi" w:cstheme="majorBidi"/>
        </w:rPr>
        <w:t>also</w:t>
      </w:r>
      <w:r>
        <w:rPr>
          <w:rFonts w:asciiTheme="majorBidi" w:hAnsiTheme="majorBidi" w:cstheme="majorBidi"/>
        </w:rPr>
        <w:t>, in Weiser ed., vol. 1, pp. 6-10.  Ibn Ezra might also have had another allusion by his choice of Midrashic works, whose titles translate literally as ‘A Good Portion’ and ‘Light of the Eyes.”  Perhaps they hinted to being superficially attractive while lacking substance.</w:t>
      </w:r>
    </w:p>
  </w:footnote>
  <w:footnote w:id="25">
    <w:p w14:paraId="0D523C19"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Ibn Ezra, Introduction to (Short) Commentary on Pentateuch, “Fourth Way,” Weiser, ed., pp. 7-9. </w:t>
      </w:r>
      <w:r>
        <w:rPr>
          <w:rFonts w:asciiTheme="majorBidi" w:eastAsiaTheme="minorHAnsi" w:hAnsiTheme="majorBidi" w:cstheme="majorBidi"/>
          <w:color w:val="000000"/>
          <w:lang w:bidi="he-IL"/>
        </w:rPr>
        <w:t>[Translation mine.]</w:t>
      </w:r>
    </w:p>
  </w:footnote>
  <w:footnote w:id="26">
    <w:p w14:paraId="26D842E8"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w:t>
      </w:r>
      <w:r>
        <w:rPr>
          <w:rFonts w:asciiTheme="majorBidi" w:eastAsiaTheme="minorHAnsi" w:hAnsiTheme="majorBidi" w:cstheme="majorBidi"/>
          <w:color w:val="000000"/>
          <w:lang w:bidi="he-IL"/>
        </w:rPr>
        <w:t xml:space="preserve">Ibn Ezra’s “Fourth Way,” Weiser, ed., vol. 1, p. 6. [Translation mine.] </w:t>
      </w:r>
    </w:p>
  </w:footnote>
  <w:footnote w:id="27">
    <w:p w14:paraId="518B7E1F"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Ibn Ezra’s Introduction to Commentary on Pentateuch I (short commentary): </w:t>
      </w:r>
      <w:proofErr w:type="spellStart"/>
      <w:r>
        <w:rPr>
          <w:rFonts w:asciiTheme="majorBidi" w:hAnsiTheme="majorBidi" w:cstheme="majorBidi"/>
          <w:i/>
        </w:rPr>
        <w:t>Sefer</w:t>
      </w:r>
      <w:proofErr w:type="spellEnd"/>
      <w:r>
        <w:rPr>
          <w:rFonts w:asciiTheme="majorBidi" w:hAnsiTheme="majorBidi" w:cstheme="majorBidi"/>
          <w:i/>
        </w:rPr>
        <w:t xml:space="preserve"> </w:t>
      </w:r>
      <w:proofErr w:type="spellStart"/>
      <w:r>
        <w:rPr>
          <w:rFonts w:asciiTheme="majorBidi" w:hAnsiTheme="majorBidi" w:cstheme="majorBidi"/>
          <w:i/>
        </w:rPr>
        <w:t>HaYashar</w:t>
      </w:r>
      <w:proofErr w:type="spellEnd"/>
      <w:r>
        <w:rPr>
          <w:rFonts w:asciiTheme="majorBidi" w:hAnsiTheme="majorBidi" w:cstheme="majorBidi"/>
        </w:rPr>
        <w:t xml:space="preserve">, Genesis I, II, &amp; III: M. Cohen, ed. </w:t>
      </w:r>
      <w:proofErr w:type="spellStart"/>
      <w:r>
        <w:rPr>
          <w:rFonts w:asciiTheme="majorBidi" w:hAnsiTheme="majorBidi" w:cstheme="majorBidi"/>
          <w:i/>
        </w:rPr>
        <w:t>Miqra’ot</w:t>
      </w:r>
      <w:proofErr w:type="spellEnd"/>
      <w:r>
        <w:rPr>
          <w:rFonts w:asciiTheme="majorBidi" w:hAnsiTheme="majorBidi" w:cstheme="majorBidi"/>
          <w:i/>
        </w:rPr>
        <w:t xml:space="preserve"> </w:t>
      </w:r>
      <w:proofErr w:type="spellStart"/>
      <w:r>
        <w:rPr>
          <w:rFonts w:asciiTheme="majorBidi" w:hAnsiTheme="majorBidi" w:cstheme="majorBidi"/>
          <w:i/>
        </w:rPr>
        <w:t>Gedolot</w:t>
      </w:r>
      <w:proofErr w:type="spellEnd"/>
      <w:r>
        <w:rPr>
          <w:rFonts w:asciiTheme="majorBidi" w:hAnsiTheme="majorBidi" w:cstheme="majorBidi"/>
          <w:i/>
        </w:rPr>
        <w:t xml:space="preserve"> ha-</w:t>
      </w:r>
      <w:proofErr w:type="spellStart"/>
      <w:r>
        <w:rPr>
          <w:rFonts w:asciiTheme="majorBidi" w:hAnsiTheme="majorBidi" w:cstheme="majorBidi"/>
          <w:i/>
        </w:rPr>
        <w:t>Keter</w:t>
      </w:r>
      <w:proofErr w:type="spellEnd"/>
      <w:r>
        <w:rPr>
          <w:rFonts w:asciiTheme="majorBidi" w:hAnsiTheme="majorBidi" w:cstheme="majorBidi"/>
        </w:rPr>
        <w:t>, Genesis, 2 vols. (Ramat Gan, 1992), p. (</w:t>
      </w:r>
      <w:r>
        <w:rPr>
          <w:rFonts w:asciiTheme="majorBidi" w:eastAsiaTheme="minorHAnsi" w:hAnsiTheme="majorBidi" w:cstheme="majorBidi" w:hint="cs"/>
          <w:color w:val="000000"/>
          <w:rtl/>
          <w:lang w:bidi="he-IL"/>
        </w:rPr>
        <w:t>כו</w:t>
      </w:r>
      <w:r>
        <w:rPr>
          <w:rFonts w:asciiTheme="majorBidi" w:hAnsiTheme="majorBidi" w:cstheme="majorBidi"/>
        </w:rPr>
        <w:t xml:space="preserve">); Weiser, ibid. </w:t>
      </w:r>
      <w:r>
        <w:rPr>
          <w:rFonts w:asciiTheme="majorBidi" w:eastAsiaTheme="minorHAnsi" w:hAnsiTheme="majorBidi" w:cstheme="majorBidi"/>
          <w:color w:val="000000"/>
          <w:lang w:bidi="he-IL"/>
        </w:rPr>
        <w:t xml:space="preserve">[Translation mine.] </w:t>
      </w:r>
    </w:p>
  </w:footnote>
  <w:footnote w:id="28">
    <w:p w14:paraId="6F723BCF"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Weiser, “Introduction: The Long </w:t>
      </w:r>
      <w:proofErr w:type="spellStart"/>
      <w:r>
        <w:rPr>
          <w:rFonts w:asciiTheme="majorBidi" w:hAnsiTheme="majorBidi" w:cstheme="majorBidi"/>
        </w:rPr>
        <w:t>Perush</w:t>
      </w:r>
      <w:proofErr w:type="spellEnd"/>
      <w:r>
        <w:rPr>
          <w:rFonts w:asciiTheme="majorBidi" w:hAnsiTheme="majorBidi" w:cstheme="majorBidi"/>
        </w:rPr>
        <w:t xml:space="preserve"> of Ibn Ezra to </w:t>
      </w:r>
      <w:proofErr w:type="spellStart"/>
      <w:r>
        <w:rPr>
          <w:rFonts w:asciiTheme="majorBidi" w:hAnsiTheme="majorBidi" w:cstheme="majorBidi"/>
        </w:rPr>
        <w:t>Sefer</w:t>
      </w:r>
      <w:proofErr w:type="spellEnd"/>
      <w:r>
        <w:rPr>
          <w:rFonts w:asciiTheme="majorBidi" w:hAnsiTheme="majorBidi" w:cstheme="majorBidi"/>
        </w:rPr>
        <w:t xml:space="preserve"> </w:t>
      </w:r>
      <w:proofErr w:type="spellStart"/>
      <w:r>
        <w:rPr>
          <w:rFonts w:asciiTheme="majorBidi" w:hAnsiTheme="majorBidi" w:cstheme="majorBidi"/>
        </w:rPr>
        <w:t>Shemot</w:t>
      </w:r>
      <w:proofErr w:type="spellEnd"/>
      <w:r>
        <w:rPr>
          <w:rFonts w:asciiTheme="majorBidi" w:hAnsiTheme="majorBidi" w:cstheme="majorBidi"/>
        </w:rPr>
        <w:t xml:space="preserve">” [Hebrew], pp. 22-29; </w:t>
      </w:r>
      <w:proofErr w:type="gramStart"/>
      <w:r>
        <w:rPr>
          <w:rFonts w:asciiTheme="majorBidi" w:hAnsiTheme="majorBidi" w:cstheme="majorBidi"/>
        </w:rPr>
        <w:t>The</w:t>
      </w:r>
      <w:proofErr w:type="gramEnd"/>
      <w:r>
        <w:rPr>
          <w:rFonts w:asciiTheme="majorBidi" w:hAnsiTheme="majorBidi" w:cstheme="majorBidi"/>
        </w:rPr>
        <w:t xml:space="preserve"> </w:t>
      </w:r>
      <w:proofErr w:type="spellStart"/>
      <w:r>
        <w:rPr>
          <w:rFonts w:asciiTheme="majorBidi" w:hAnsiTheme="majorBidi" w:cstheme="majorBidi"/>
        </w:rPr>
        <w:t>Perush</w:t>
      </w:r>
      <w:proofErr w:type="spellEnd"/>
      <w:r>
        <w:rPr>
          <w:rFonts w:asciiTheme="majorBidi" w:hAnsiTheme="majorBidi" w:cstheme="majorBidi"/>
        </w:rPr>
        <w:t xml:space="preserve"> of R. Avraham Ibn Ezra on the Torah: Another Version: Weiser, ed., vol. 1, pp. 137-146.  </w:t>
      </w:r>
    </w:p>
  </w:footnote>
  <w:footnote w:id="29">
    <w:p w14:paraId="0C6D5828"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Long Commentary on Genesis II, Rouen, Oct. 1155; Long Commentary on Exodus II, Rouen, 1155-1157.  </w:t>
      </w:r>
      <w:proofErr w:type="spellStart"/>
      <w:r>
        <w:rPr>
          <w:rFonts w:asciiTheme="majorBidi" w:hAnsiTheme="majorBidi" w:cstheme="majorBidi"/>
        </w:rPr>
        <w:t>Sela</w:t>
      </w:r>
      <w:proofErr w:type="spellEnd"/>
      <w:r>
        <w:rPr>
          <w:rFonts w:asciiTheme="majorBidi" w:hAnsiTheme="majorBidi" w:cstheme="majorBidi"/>
        </w:rPr>
        <w:t xml:space="preserve"> and </w:t>
      </w:r>
      <w:proofErr w:type="spellStart"/>
      <w:r>
        <w:rPr>
          <w:rFonts w:asciiTheme="majorBidi" w:hAnsiTheme="majorBidi" w:cstheme="majorBidi"/>
        </w:rPr>
        <w:t>Fruedenthal</w:t>
      </w:r>
      <w:proofErr w:type="spellEnd"/>
      <w:r>
        <w:rPr>
          <w:rFonts w:asciiTheme="majorBidi" w:hAnsiTheme="majorBidi" w:cstheme="majorBidi"/>
        </w:rPr>
        <w:t>, “Abraham Ibn Ezra’s Scholarly Writings,” pp. 21-22, 45-46.</w:t>
      </w:r>
    </w:p>
  </w:footnote>
  <w:footnote w:id="30">
    <w:p w14:paraId="59DBB5FF" w14:textId="77777777" w:rsidR="00B057F3" w:rsidRDefault="00B057F3" w:rsidP="00505FAD">
      <w:pPr>
        <w:autoSpaceDE w:val="0"/>
        <w:autoSpaceDN w:val="0"/>
        <w:adjustRightInd w:val="0"/>
        <w:rPr>
          <w:rFonts w:asciiTheme="majorBidi" w:eastAsiaTheme="minorHAnsi" w:hAnsiTheme="majorBidi" w:cstheme="majorBidi"/>
          <w:sz w:val="20"/>
          <w:szCs w:val="20"/>
          <w:lang w:bidi="he-IL"/>
        </w:rPr>
      </w:pPr>
      <w:r>
        <w:rPr>
          <w:rStyle w:val="a6"/>
          <w:rFonts w:asciiTheme="majorBidi" w:hAnsiTheme="majorBidi" w:cstheme="majorBidi"/>
          <w:sz w:val="20"/>
          <w:szCs w:val="20"/>
        </w:rPr>
        <w:footnoteRef/>
      </w:r>
      <w:r>
        <w:rPr>
          <w:rFonts w:asciiTheme="majorBidi" w:hAnsiTheme="majorBidi" w:cstheme="majorBidi"/>
          <w:sz w:val="20"/>
          <w:szCs w:val="20"/>
        </w:rPr>
        <w:t xml:space="preserve"> Ibn Ezra, “Introduction to Commentary on Pentateuch II (Long Commentary),” Genesis I, II, &amp; III: M. Cohen, ed. </w:t>
      </w:r>
      <w:proofErr w:type="spellStart"/>
      <w:r>
        <w:rPr>
          <w:rFonts w:asciiTheme="majorBidi" w:hAnsiTheme="majorBidi" w:cstheme="majorBidi"/>
          <w:i/>
          <w:sz w:val="20"/>
          <w:szCs w:val="20"/>
        </w:rPr>
        <w:t>Miqra’ot</w:t>
      </w:r>
      <w:proofErr w:type="spellEnd"/>
      <w:r>
        <w:rPr>
          <w:rFonts w:asciiTheme="majorBidi" w:hAnsiTheme="majorBidi" w:cstheme="majorBidi"/>
          <w:i/>
          <w:sz w:val="20"/>
          <w:szCs w:val="20"/>
        </w:rPr>
        <w:t xml:space="preserve"> </w:t>
      </w:r>
      <w:proofErr w:type="spellStart"/>
      <w:r>
        <w:rPr>
          <w:rFonts w:asciiTheme="majorBidi" w:hAnsiTheme="majorBidi" w:cstheme="majorBidi"/>
          <w:i/>
          <w:sz w:val="20"/>
          <w:szCs w:val="20"/>
        </w:rPr>
        <w:t>Gedolot</w:t>
      </w:r>
      <w:proofErr w:type="spellEnd"/>
      <w:r>
        <w:rPr>
          <w:rFonts w:asciiTheme="majorBidi" w:hAnsiTheme="majorBidi" w:cstheme="majorBidi"/>
          <w:i/>
          <w:sz w:val="20"/>
          <w:szCs w:val="20"/>
        </w:rPr>
        <w:t xml:space="preserve"> ha-</w:t>
      </w:r>
      <w:proofErr w:type="spellStart"/>
      <w:r>
        <w:rPr>
          <w:rFonts w:asciiTheme="majorBidi" w:hAnsiTheme="majorBidi" w:cstheme="majorBidi"/>
          <w:i/>
          <w:sz w:val="20"/>
          <w:szCs w:val="20"/>
        </w:rPr>
        <w:t>Keter</w:t>
      </w:r>
      <w:proofErr w:type="spellEnd"/>
      <w:r>
        <w:rPr>
          <w:rFonts w:asciiTheme="majorBidi" w:hAnsiTheme="majorBidi" w:cstheme="majorBidi"/>
          <w:sz w:val="20"/>
          <w:szCs w:val="20"/>
        </w:rPr>
        <w:t>, Genesis, (Ramat Gan, 1992), p. (</w:t>
      </w:r>
      <w:r>
        <w:rPr>
          <w:rFonts w:asciiTheme="majorBidi" w:eastAsiaTheme="minorHAnsi" w:hAnsiTheme="majorBidi" w:cstheme="majorBidi" w:hint="cs"/>
          <w:color w:val="000000"/>
          <w:sz w:val="20"/>
          <w:szCs w:val="20"/>
          <w:rtl/>
          <w:lang w:bidi="he-IL"/>
        </w:rPr>
        <w:t>כה</w:t>
      </w:r>
      <w:r>
        <w:rPr>
          <w:rFonts w:asciiTheme="majorBidi" w:hAnsiTheme="majorBidi" w:cstheme="majorBidi"/>
          <w:sz w:val="20"/>
          <w:szCs w:val="20"/>
        </w:rPr>
        <w:t>).</w:t>
      </w:r>
    </w:p>
  </w:footnote>
  <w:footnote w:id="31">
    <w:p w14:paraId="5CE1CBB4" w14:textId="77777777" w:rsidR="00B057F3" w:rsidRDefault="00B057F3" w:rsidP="00505FAD">
      <w:pPr>
        <w:autoSpaceDE w:val="0"/>
        <w:autoSpaceDN w:val="0"/>
        <w:adjustRightInd w:val="0"/>
        <w:rPr>
          <w:rFonts w:asciiTheme="majorBidi" w:eastAsiaTheme="minorHAnsi" w:hAnsiTheme="majorBidi" w:cstheme="majorBidi"/>
          <w:sz w:val="20"/>
          <w:szCs w:val="20"/>
          <w:lang w:bidi="he-IL"/>
        </w:rPr>
      </w:pPr>
      <w:r>
        <w:rPr>
          <w:rStyle w:val="a6"/>
          <w:rFonts w:asciiTheme="majorBidi" w:hAnsiTheme="majorBidi" w:cstheme="majorBidi"/>
          <w:sz w:val="20"/>
          <w:szCs w:val="20"/>
        </w:rPr>
        <w:footnoteRef/>
      </w:r>
      <w:r>
        <w:rPr>
          <w:rFonts w:asciiTheme="majorBidi" w:hAnsiTheme="majorBidi" w:cstheme="majorBidi"/>
          <w:sz w:val="20"/>
          <w:szCs w:val="20"/>
        </w:rPr>
        <w:t xml:space="preserve"> Ibn Ezra, “Introduction to Commentary on Pentateuch II,” M. Cohen ed., pp. (</w:t>
      </w:r>
      <w:r>
        <w:rPr>
          <w:rFonts w:asciiTheme="majorBidi" w:eastAsiaTheme="minorHAnsi" w:hAnsiTheme="majorBidi" w:cstheme="majorBidi" w:hint="cs"/>
          <w:color w:val="000000"/>
          <w:sz w:val="20"/>
          <w:szCs w:val="20"/>
          <w:rtl/>
          <w:lang w:bidi="he-IL"/>
        </w:rPr>
        <w:t>כח-כט</w:t>
      </w:r>
      <w:r>
        <w:rPr>
          <w:rFonts w:asciiTheme="majorBidi" w:hAnsiTheme="majorBidi" w:cstheme="majorBidi"/>
          <w:sz w:val="20"/>
          <w:szCs w:val="20"/>
        </w:rPr>
        <w:t>).</w:t>
      </w:r>
    </w:p>
  </w:footnote>
  <w:footnote w:id="32">
    <w:p w14:paraId="5D50B0F3"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Ibn Ezra, “Introduction to Commentary on Pentateuch II,” M. Cohen ed., pp. 29-31; Weiser ed., p. 142.</w:t>
      </w:r>
    </w:p>
  </w:footnote>
  <w:footnote w:id="33">
    <w:p w14:paraId="7BA13E14" w14:textId="391B450A" w:rsidR="00B057F3" w:rsidRDefault="00B057F3" w:rsidP="00505FAD">
      <w:pPr>
        <w:pStyle w:val="a3"/>
        <w:rPr>
          <w:rFonts w:asciiTheme="majorBidi" w:hAnsiTheme="majorBidi" w:cstheme="majorBidi"/>
        </w:rPr>
      </w:pPr>
      <w:r w:rsidRPr="00264BE2">
        <w:rPr>
          <w:rStyle w:val="a6"/>
          <w:rFonts w:asciiTheme="majorBidi" w:hAnsiTheme="majorBidi" w:cstheme="majorBidi"/>
        </w:rPr>
        <w:footnoteRef/>
      </w:r>
      <w:r w:rsidRPr="00264BE2">
        <w:rPr>
          <w:rFonts w:asciiTheme="majorBidi" w:hAnsiTheme="majorBidi" w:cstheme="majorBidi"/>
        </w:rPr>
        <w:t xml:space="preserve"> As noted earlier, </w:t>
      </w:r>
      <w:r>
        <w:rPr>
          <w:rFonts w:asciiTheme="majorBidi" w:hAnsiTheme="majorBidi" w:cstheme="majorBidi"/>
        </w:rPr>
        <w:t>Ibn Ezra’s</w:t>
      </w:r>
      <w:r w:rsidRPr="00264BE2">
        <w:rPr>
          <w:rFonts w:asciiTheme="majorBidi" w:hAnsiTheme="majorBidi" w:cstheme="majorBidi"/>
        </w:rPr>
        <w:t xml:space="preserve"> near-identical statements in both versions of his “fifth method” – i.e.</w:t>
      </w:r>
      <w:r>
        <w:rPr>
          <w:rFonts w:asciiTheme="majorBidi" w:hAnsiTheme="majorBidi" w:cstheme="majorBidi"/>
        </w:rPr>
        <w:t>,</w:t>
      </w:r>
      <w:r w:rsidRPr="00264BE2">
        <w:rPr>
          <w:rFonts w:asciiTheme="majorBidi" w:hAnsiTheme="majorBidi" w:cstheme="majorBidi"/>
        </w:rPr>
        <w:t xml:space="preserve"> his fear of God alone and his quest for truth in Torah – remain constant.</w:t>
      </w:r>
      <w:r>
        <w:rPr>
          <w:rFonts w:asciiTheme="majorBidi" w:hAnsiTheme="majorBidi" w:cstheme="majorBidi"/>
        </w:rPr>
        <w:t xml:space="preserve"> See “Introduction to Commentary on Pentateuch II,” pp. 26, </w:t>
      </w:r>
      <w:r w:rsidRPr="00E140E9">
        <w:rPr>
          <w:rFonts w:asciiTheme="majorBidi" w:hAnsiTheme="majorBidi" w:cstheme="majorBidi"/>
        </w:rPr>
        <w:t>29; Weiser</w:t>
      </w:r>
      <w:r>
        <w:rPr>
          <w:rFonts w:asciiTheme="majorBidi" w:hAnsiTheme="majorBidi" w:cstheme="majorBidi"/>
        </w:rPr>
        <w:t xml:space="preserve"> ed., pp. 10, 142.  See also A. Mondschein, “‘Only One in a Thousand,’” p. 244, n.33.</w:t>
      </w:r>
    </w:p>
  </w:footnote>
  <w:footnote w:id="34">
    <w:p w14:paraId="73D7835E"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w:t>
      </w:r>
      <w:r>
        <w:rPr>
          <w:rFonts w:asciiTheme="majorBidi" w:eastAsiaTheme="minorHAnsi" w:hAnsiTheme="majorBidi" w:cstheme="majorBidi"/>
          <w:lang w:bidi="he-IL"/>
        </w:rPr>
        <w:t xml:space="preserve">A paraphrase of Ibn Ezra’s teachings on </w:t>
      </w:r>
      <w:proofErr w:type="spellStart"/>
      <w:r>
        <w:rPr>
          <w:rFonts w:asciiTheme="majorBidi" w:eastAsiaTheme="minorHAnsi" w:hAnsiTheme="majorBidi" w:cstheme="majorBidi"/>
          <w:i/>
          <w:iCs/>
          <w:lang w:bidi="he-IL"/>
        </w:rPr>
        <w:t>Parashat</w:t>
      </w:r>
      <w:proofErr w:type="spellEnd"/>
      <w:r>
        <w:rPr>
          <w:rFonts w:asciiTheme="majorBidi" w:eastAsiaTheme="minorHAnsi" w:hAnsiTheme="majorBidi" w:cstheme="majorBidi"/>
          <w:i/>
          <w:iCs/>
          <w:lang w:bidi="he-IL"/>
        </w:rPr>
        <w:t xml:space="preserve"> </w:t>
      </w:r>
      <w:proofErr w:type="spellStart"/>
      <w:r>
        <w:rPr>
          <w:rFonts w:asciiTheme="majorBidi" w:eastAsiaTheme="minorHAnsi" w:hAnsiTheme="majorBidi" w:cstheme="majorBidi"/>
          <w:i/>
          <w:iCs/>
          <w:lang w:bidi="he-IL"/>
        </w:rPr>
        <w:t>Ve’yechi</w:t>
      </w:r>
      <w:proofErr w:type="spellEnd"/>
      <w:r>
        <w:rPr>
          <w:rFonts w:asciiTheme="majorBidi" w:eastAsiaTheme="minorHAnsi" w:hAnsiTheme="majorBidi" w:cstheme="majorBidi"/>
          <w:lang w:bidi="he-IL"/>
        </w:rPr>
        <w:t xml:space="preserve"> exist as well, written by his student in London.</w:t>
      </w:r>
      <w:r>
        <w:rPr>
          <w:rFonts w:asciiTheme="majorBidi" w:hAnsiTheme="majorBidi" w:cstheme="majorBidi"/>
        </w:rPr>
        <w:t xml:space="preserve">  Weiser, Introduction: “The Long </w:t>
      </w:r>
      <w:proofErr w:type="spellStart"/>
      <w:r>
        <w:rPr>
          <w:rFonts w:asciiTheme="majorBidi" w:hAnsiTheme="majorBidi" w:cstheme="majorBidi"/>
          <w:i/>
          <w:iCs/>
        </w:rPr>
        <w:t>Perush</w:t>
      </w:r>
      <w:proofErr w:type="spellEnd"/>
      <w:r>
        <w:rPr>
          <w:rFonts w:asciiTheme="majorBidi" w:hAnsiTheme="majorBidi" w:cstheme="majorBidi"/>
        </w:rPr>
        <w:t xml:space="preserve"> of Ibn Ezra on </w:t>
      </w:r>
      <w:proofErr w:type="spellStart"/>
      <w:r>
        <w:rPr>
          <w:rFonts w:asciiTheme="majorBidi" w:hAnsiTheme="majorBidi" w:cstheme="majorBidi"/>
        </w:rPr>
        <w:t>Sefer</w:t>
      </w:r>
      <w:proofErr w:type="spellEnd"/>
      <w:r>
        <w:rPr>
          <w:rFonts w:asciiTheme="majorBidi" w:hAnsiTheme="majorBidi" w:cstheme="majorBidi"/>
        </w:rPr>
        <w:t xml:space="preserve"> </w:t>
      </w:r>
      <w:proofErr w:type="spellStart"/>
      <w:r>
        <w:rPr>
          <w:rFonts w:asciiTheme="majorBidi" w:hAnsiTheme="majorBidi" w:cstheme="majorBidi"/>
        </w:rPr>
        <w:t>Shemot</w:t>
      </w:r>
      <w:proofErr w:type="spellEnd"/>
      <w:r>
        <w:rPr>
          <w:rFonts w:asciiTheme="majorBidi" w:hAnsiTheme="majorBidi" w:cstheme="majorBidi"/>
        </w:rPr>
        <w:t xml:space="preserve">,” [Hebrew], vol. 1, pp. 22-29. See also </w:t>
      </w:r>
      <w:proofErr w:type="spellStart"/>
      <w:r>
        <w:rPr>
          <w:rFonts w:asciiTheme="majorBidi" w:hAnsiTheme="majorBidi" w:cstheme="majorBidi"/>
        </w:rPr>
        <w:t>Mikraot</w:t>
      </w:r>
      <w:proofErr w:type="spellEnd"/>
      <w:r>
        <w:rPr>
          <w:rFonts w:asciiTheme="majorBidi" w:hAnsiTheme="majorBidi" w:cstheme="majorBidi"/>
        </w:rPr>
        <w:t xml:space="preserve"> </w:t>
      </w:r>
      <w:proofErr w:type="spellStart"/>
      <w:r>
        <w:rPr>
          <w:rFonts w:asciiTheme="majorBidi" w:hAnsiTheme="majorBidi" w:cstheme="majorBidi"/>
        </w:rPr>
        <w:t>Gedolot</w:t>
      </w:r>
      <w:proofErr w:type="spellEnd"/>
      <w:r>
        <w:rPr>
          <w:rFonts w:asciiTheme="majorBidi" w:hAnsiTheme="majorBidi" w:cstheme="majorBidi"/>
        </w:rPr>
        <w:t xml:space="preserve"> </w:t>
      </w:r>
      <w:proofErr w:type="spellStart"/>
      <w:r>
        <w:rPr>
          <w:rFonts w:asciiTheme="majorBidi" w:hAnsiTheme="majorBidi" w:cstheme="majorBidi"/>
        </w:rPr>
        <w:t>HaKeter</w:t>
      </w:r>
      <w:proofErr w:type="spellEnd"/>
      <w:r>
        <w:rPr>
          <w:rFonts w:asciiTheme="majorBidi" w:hAnsiTheme="majorBidi" w:cstheme="majorBidi"/>
        </w:rPr>
        <w:t xml:space="preserve">.  For chronologies of these writings, see </w:t>
      </w:r>
      <w:proofErr w:type="spellStart"/>
      <w:r>
        <w:rPr>
          <w:rFonts w:asciiTheme="majorBidi" w:hAnsiTheme="majorBidi" w:cstheme="majorBidi"/>
        </w:rPr>
        <w:t>Sela</w:t>
      </w:r>
      <w:proofErr w:type="spellEnd"/>
      <w:r>
        <w:rPr>
          <w:rFonts w:asciiTheme="majorBidi" w:hAnsiTheme="majorBidi" w:cstheme="majorBidi"/>
        </w:rPr>
        <w:t xml:space="preserve"> and </w:t>
      </w:r>
      <w:proofErr w:type="spellStart"/>
      <w:r>
        <w:rPr>
          <w:rFonts w:asciiTheme="majorBidi" w:hAnsiTheme="majorBidi" w:cstheme="majorBidi"/>
        </w:rPr>
        <w:t>Fruedenthal</w:t>
      </w:r>
      <w:proofErr w:type="spellEnd"/>
      <w:r>
        <w:rPr>
          <w:rFonts w:asciiTheme="majorBidi" w:hAnsiTheme="majorBidi" w:cstheme="majorBidi"/>
        </w:rPr>
        <w:t xml:space="preserve">, “Abraham Ibn Ezra’s Scholarly Writings,” pp. 18, 21.   </w:t>
      </w:r>
    </w:p>
  </w:footnote>
  <w:footnote w:id="35">
    <w:p w14:paraId="2DD7A1F7" w14:textId="1ABEB09F" w:rsidR="00B057F3" w:rsidRDefault="00B057F3" w:rsidP="00505FAD">
      <w:pPr>
        <w:pStyle w:val="a3"/>
        <w:rPr>
          <w:rFonts w:asciiTheme="majorBidi" w:eastAsiaTheme="minorHAnsi" w:hAnsiTheme="majorBidi" w:cstheme="majorBidi"/>
          <w:lang w:bidi="he-IL"/>
        </w:rPr>
      </w:pPr>
      <w:r>
        <w:rPr>
          <w:rStyle w:val="a6"/>
          <w:rFonts w:asciiTheme="majorBidi" w:hAnsiTheme="majorBidi" w:cstheme="majorBidi"/>
        </w:rPr>
        <w:footnoteRef/>
      </w:r>
      <w:r>
        <w:rPr>
          <w:rFonts w:asciiTheme="majorBidi" w:hAnsiTheme="majorBidi" w:cstheme="majorBidi"/>
        </w:rPr>
        <w:t xml:space="preserve"> </w:t>
      </w:r>
      <w:r>
        <w:rPr>
          <w:rFonts w:asciiTheme="majorBidi" w:eastAsiaTheme="minorHAnsi" w:hAnsiTheme="majorBidi" w:cstheme="majorBidi"/>
          <w:lang w:bidi="he-IL"/>
        </w:rPr>
        <w:t xml:space="preserve">Four of the Books in standard </w:t>
      </w:r>
      <w:proofErr w:type="spellStart"/>
      <w:r>
        <w:rPr>
          <w:rFonts w:asciiTheme="majorBidi" w:eastAsiaTheme="minorHAnsi" w:hAnsiTheme="majorBidi" w:cstheme="majorBidi"/>
          <w:lang w:bidi="he-IL"/>
        </w:rPr>
        <w:t>Mikraot</w:t>
      </w:r>
      <w:proofErr w:type="spellEnd"/>
      <w:r>
        <w:rPr>
          <w:rFonts w:asciiTheme="majorBidi" w:eastAsiaTheme="minorHAnsi" w:hAnsiTheme="majorBidi" w:cstheme="majorBidi"/>
          <w:lang w:bidi="he-IL"/>
        </w:rPr>
        <w:t xml:space="preserve"> </w:t>
      </w:r>
      <w:proofErr w:type="spellStart"/>
      <w:r>
        <w:rPr>
          <w:rFonts w:asciiTheme="majorBidi" w:eastAsiaTheme="minorHAnsi" w:hAnsiTheme="majorBidi" w:cstheme="majorBidi"/>
          <w:lang w:bidi="he-IL"/>
        </w:rPr>
        <w:t>Gedolot</w:t>
      </w:r>
      <w:proofErr w:type="spellEnd"/>
      <w:r>
        <w:rPr>
          <w:rFonts w:asciiTheme="majorBidi" w:eastAsiaTheme="minorHAnsi" w:hAnsiTheme="majorBidi" w:cstheme="majorBidi"/>
          <w:lang w:bidi="he-IL"/>
        </w:rPr>
        <w:t xml:space="preserve"> contain his Short Commentary I, (i.e.</w:t>
      </w:r>
      <w:r w:rsidR="004965A1">
        <w:rPr>
          <w:rFonts w:asciiTheme="majorBidi" w:eastAsiaTheme="minorHAnsi" w:hAnsiTheme="majorBidi" w:cstheme="majorBidi"/>
          <w:lang w:bidi="he-IL"/>
        </w:rPr>
        <w:t>,</w:t>
      </w:r>
      <w:r>
        <w:rPr>
          <w:rFonts w:asciiTheme="majorBidi" w:eastAsiaTheme="minorHAnsi" w:hAnsiTheme="majorBidi" w:cstheme="majorBidi"/>
          <w:lang w:bidi="he-IL"/>
        </w:rPr>
        <w:t xml:space="preserve"> </w:t>
      </w:r>
      <w:proofErr w:type="spellStart"/>
      <w:r>
        <w:rPr>
          <w:rFonts w:asciiTheme="majorBidi" w:eastAsiaTheme="minorHAnsi" w:hAnsiTheme="majorBidi" w:cstheme="majorBidi"/>
          <w:lang w:bidi="he-IL"/>
        </w:rPr>
        <w:t>Bereishit</w:t>
      </w:r>
      <w:proofErr w:type="spellEnd"/>
      <w:r>
        <w:rPr>
          <w:rFonts w:asciiTheme="majorBidi" w:eastAsiaTheme="minorHAnsi" w:hAnsiTheme="majorBidi" w:cstheme="majorBidi"/>
          <w:lang w:bidi="he-IL"/>
        </w:rPr>
        <w:t xml:space="preserve">, </w:t>
      </w:r>
      <w:proofErr w:type="spellStart"/>
      <w:r>
        <w:rPr>
          <w:rFonts w:asciiTheme="majorBidi" w:eastAsiaTheme="minorHAnsi" w:hAnsiTheme="majorBidi" w:cstheme="majorBidi"/>
          <w:lang w:bidi="he-IL"/>
        </w:rPr>
        <w:t>Vayikra</w:t>
      </w:r>
      <w:proofErr w:type="spellEnd"/>
      <w:r>
        <w:rPr>
          <w:rFonts w:asciiTheme="majorBidi" w:eastAsiaTheme="minorHAnsi" w:hAnsiTheme="majorBidi" w:cstheme="majorBidi"/>
          <w:lang w:bidi="he-IL"/>
        </w:rPr>
        <w:t xml:space="preserve">, </w:t>
      </w:r>
      <w:proofErr w:type="spellStart"/>
      <w:r>
        <w:rPr>
          <w:rFonts w:asciiTheme="majorBidi" w:eastAsiaTheme="minorHAnsi" w:hAnsiTheme="majorBidi" w:cstheme="majorBidi"/>
          <w:lang w:bidi="he-IL"/>
        </w:rPr>
        <w:t>Bamidbar</w:t>
      </w:r>
      <w:proofErr w:type="spellEnd"/>
      <w:r>
        <w:rPr>
          <w:rFonts w:asciiTheme="majorBidi" w:eastAsiaTheme="minorHAnsi" w:hAnsiTheme="majorBidi" w:cstheme="majorBidi"/>
          <w:lang w:bidi="he-IL"/>
        </w:rPr>
        <w:t xml:space="preserve"> and </w:t>
      </w:r>
      <w:proofErr w:type="spellStart"/>
      <w:r>
        <w:rPr>
          <w:rFonts w:asciiTheme="majorBidi" w:eastAsiaTheme="minorHAnsi" w:hAnsiTheme="majorBidi" w:cstheme="majorBidi"/>
          <w:lang w:bidi="he-IL"/>
        </w:rPr>
        <w:t>Devarim</w:t>
      </w:r>
      <w:proofErr w:type="spellEnd"/>
      <w:r>
        <w:rPr>
          <w:rFonts w:asciiTheme="majorBidi" w:eastAsiaTheme="minorHAnsi" w:hAnsiTheme="majorBidi" w:cstheme="majorBidi"/>
          <w:lang w:bidi="he-IL"/>
        </w:rPr>
        <w:t xml:space="preserve">), while the Book of </w:t>
      </w:r>
      <w:proofErr w:type="spellStart"/>
      <w:r>
        <w:rPr>
          <w:rFonts w:asciiTheme="majorBidi" w:eastAsiaTheme="minorHAnsi" w:hAnsiTheme="majorBidi" w:cstheme="majorBidi"/>
          <w:lang w:bidi="he-IL"/>
        </w:rPr>
        <w:t>Shemot</w:t>
      </w:r>
      <w:proofErr w:type="spellEnd"/>
      <w:r>
        <w:rPr>
          <w:rFonts w:asciiTheme="majorBidi" w:eastAsiaTheme="minorHAnsi" w:hAnsiTheme="majorBidi" w:cstheme="majorBidi"/>
          <w:lang w:bidi="he-IL"/>
        </w:rPr>
        <w:t xml:space="preserve"> contains his Long Commentary II.</w:t>
      </w:r>
      <w:r>
        <w:rPr>
          <w:rFonts w:asciiTheme="majorBidi" w:hAnsiTheme="majorBidi" w:cstheme="majorBidi"/>
        </w:rPr>
        <w:t xml:space="preserve">  </w:t>
      </w:r>
      <w:r>
        <w:rPr>
          <w:rFonts w:asciiTheme="majorBidi" w:eastAsiaTheme="minorHAnsi" w:hAnsiTheme="majorBidi" w:cstheme="majorBidi"/>
          <w:lang w:bidi="he-IL"/>
        </w:rPr>
        <w:t xml:space="preserve">While Ibn Ezra’s entire Short Commentary II on </w:t>
      </w:r>
      <w:proofErr w:type="spellStart"/>
      <w:r>
        <w:rPr>
          <w:rFonts w:asciiTheme="majorBidi" w:eastAsiaTheme="minorHAnsi" w:hAnsiTheme="majorBidi" w:cstheme="majorBidi"/>
          <w:lang w:bidi="he-IL"/>
        </w:rPr>
        <w:t>Shemot</w:t>
      </w:r>
      <w:proofErr w:type="spellEnd"/>
      <w:r>
        <w:rPr>
          <w:rFonts w:asciiTheme="majorBidi" w:eastAsiaTheme="minorHAnsi" w:hAnsiTheme="majorBidi" w:cstheme="majorBidi"/>
          <w:lang w:bidi="he-IL"/>
        </w:rPr>
        <w:t xml:space="preserve"> exists, as well, it is not included in most standard </w:t>
      </w:r>
      <w:proofErr w:type="spellStart"/>
      <w:r>
        <w:rPr>
          <w:rFonts w:asciiTheme="majorBidi" w:eastAsiaTheme="minorHAnsi" w:hAnsiTheme="majorBidi" w:cstheme="majorBidi"/>
          <w:lang w:bidi="he-IL"/>
        </w:rPr>
        <w:t>Mikraot</w:t>
      </w:r>
      <w:proofErr w:type="spellEnd"/>
      <w:r>
        <w:rPr>
          <w:rFonts w:asciiTheme="majorBidi" w:eastAsiaTheme="minorHAnsi" w:hAnsiTheme="majorBidi" w:cstheme="majorBidi"/>
          <w:lang w:bidi="he-IL"/>
        </w:rPr>
        <w:t xml:space="preserve"> </w:t>
      </w:r>
      <w:proofErr w:type="spellStart"/>
      <w:r>
        <w:rPr>
          <w:rFonts w:asciiTheme="majorBidi" w:eastAsiaTheme="minorHAnsi" w:hAnsiTheme="majorBidi" w:cstheme="majorBidi"/>
          <w:lang w:bidi="he-IL"/>
        </w:rPr>
        <w:t>Gedolot</w:t>
      </w:r>
      <w:proofErr w:type="spellEnd"/>
      <w:r>
        <w:rPr>
          <w:rFonts w:asciiTheme="majorBidi" w:eastAsiaTheme="minorHAnsi" w:hAnsiTheme="majorBidi" w:cstheme="majorBidi"/>
          <w:lang w:bidi="he-IL"/>
        </w:rPr>
        <w:t xml:space="preserve"> editions, but is classified separately as such. </w:t>
      </w:r>
      <w:r>
        <w:rPr>
          <w:rFonts w:asciiTheme="majorBidi" w:hAnsiTheme="majorBidi" w:cstheme="majorBidi"/>
        </w:rPr>
        <w:t xml:space="preserve"> </w:t>
      </w:r>
      <w:r>
        <w:rPr>
          <w:rFonts w:asciiTheme="majorBidi" w:eastAsiaTheme="minorHAnsi" w:hAnsiTheme="majorBidi" w:cstheme="majorBidi"/>
          <w:lang w:bidi="he-IL"/>
        </w:rPr>
        <w:t>Weiser, vol. 2,</w:t>
      </w:r>
      <w:r>
        <w:rPr>
          <w:rFonts w:asciiTheme="majorBidi" w:hAnsiTheme="majorBidi" w:cstheme="majorBidi"/>
        </w:rPr>
        <w:t xml:space="preserve"> pp. 239-355; See also </w:t>
      </w:r>
      <w:proofErr w:type="spellStart"/>
      <w:r>
        <w:rPr>
          <w:rFonts w:asciiTheme="majorBidi" w:hAnsiTheme="majorBidi" w:cstheme="majorBidi"/>
        </w:rPr>
        <w:t>Mikraot</w:t>
      </w:r>
      <w:proofErr w:type="spellEnd"/>
      <w:r>
        <w:rPr>
          <w:rFonts w:asciiTheme="majorBidi" w:hAnsiTheme="majorBidi" w:cstheme="majorBidi"/>
        </w:rPr>
        <w:t xml:space="preserve"> </w:t>
      </w:r>
      <w:proofErr w:type="spellStart"/>
      <w:r>
        <w:rPr>
          <w:rFonts w:asciiTheme="majorBidi" w:hAnsiTheme="majorBidi" w:cstheme="majorBidi"/>
        </w:rPr>
        <w:t>Gedolot</w:t>
      </w:r>
      <w:proofErr w:type="spellEnd"/>
      <w:r>
        <w:rPr>
          <w:rFonts w:asciiTheme="majorBidi" w:hAnsiTheme="majorBidi" w:cstheme="majorBidi"/>
        </w:rPr>
        <w:t xml:space="preserve"> </w:t>
      </w:r>
      <w:proofErr w:type="spellStart"/>
      <w:r>
        <w:rPr>
          <w:rFonts w:asciiTheme="majorBidi" w:hAnsiTheme="majorBidi" w:cstheme="majorBidi"/>
        </w:rPr>
        <w:t>HaKeter</w:t>
      </w:r>
      <w:proofErr w:type="spellEnd"/>
      <w:r>
        <w:rPr>
          <w:rFonts w:asciiTheme="majorBidi" w:hAnsiTheme="majorBidi" w:cstheme="majorBidi"/>
        </w:rPr>
        <w:t xml:space="preserve">.  </w:t>
      </w:r>
    </w:p>
  </w:footnote>
  <w:footnote w:id="36">
    <w:p w14:paraId="446D3B1A" w14:textId="77777777" w:rsidR="00B057F3" w:rsidRDefault="00B057F3" w:rsidP="00505FAD">
      <w:pPr>
        <w:autoSpaceDE w:val="0"/>
        <w:autoSpaceDN w:val="0"/>
        <w:adjustRightInd w:val="0"/>
        <w:jc w:val="both"/>
        <w:rPr>
          <w:rFonts w:asciiTheme="majorBidi" w:eastAsiaTheme="minorHAnsi" w:hAnsiTheme="majorBidi" w:cstheme="majorBidi"/>
          <w:sz w:val="20"/>
          <w:szCs w:val="20"/>
          <w:lang w:bidi="he-IL"/>
        </w:rPr>
      </w:pPr>
      <w:r>
        <w:rPr>
          <w:rStyle w:val="a6"/>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eastAsiaTheme="minorHAnsi" w:hAnsiTheme="majorBidi" w:cstheme="majorBidi" w:hint="cs"/>
          <w:sz w:val="20"/>
          <w:szCs w:val="20"/>
          <w:rtl/>
          <w:lang w:bidi="he-IL"/>
        </w:rPr>
        <w:t>ו</w:t>
      </w:r>
      <w:r>
        <w:rPr>
          <w:rFonts w:asciiTheme="majorBidi" w:eastAsiaTheme="minorHAnsi" w:hAnsiTheme="majorBidi" w:cstheme="majorBidi" w:hint="cs"/>
          <w:sz w:val="22"/>
          <w:szCs w:val="22"/>
          <w:rtl/>
          <w:lang w:bidi="he-IL"/>
        </w:rPr>
        <w:t>מה שאמר רבינו שלמה שיהיה לפליטה בעל כרחו הוא דרך דרש...</w:t>
      </w:r>
      <w:r>
        <w:rPr>
          <w:rFonts w:asciiTheme="majorBidi" w:eastAsiaTheme="minorHAnsi" w:hAnsiTheme="majorBidi" w:cstheme="majorBidi"/>
          <w:sz w:val="22"/>
          <w:szCs w:val="22"/>
          <w:lang w:bidi="he-IL"/>
        </w:rPr>
        <w:t xml:space="preserve">. </w:t>
      </w:r>
      <w:r>
        <w:rPr>
          <w:rFonts w:asciiTheme="majorBidi" w:eastAsiaTheme="minorHAnsi" w:hAnsiTheme="majorBidi" w:cstheme="majorBidi"/>
          <w:sz w:val="20"/>
          <w:szCs w:val="20"/>
          <w:lang w:bidi="he-IL"/>
        </w:rPr>
        <w:t xml:space="preserve">[Translation mine.] “Ibn Ezra’s Other [Short] Version,” in Weiser, ed. vol.1 p. 98. See also </w:t>
      </w:r>
      <w:proofErr w:type="spellStart"/>
      <w:r>
        <w:rPr>
          <w:rFonts w:asciiTheme="majorBidi" w:eastAsiaTheme="minorHAnsi" w:hAnsiTheme="majorBidi" w:cstheme="majorBidi"/>
          <w:sz w:val="20"/>
          <w:szCs w:val="20"/>
          <w:lang w:bidi="he-IL"/>
        </w:rPr>
        <w:t>Mikraot</w:t>
      </w:r>
      <w:proofErr w:type="spellEnd"/>
      <w:r>
        <w:rPr>
          <w:rFonts w:asciiTheme="majorBidi" w:eastAsiaTheme="minorHAnsi" w:hAnsiTheme="majorBidi" w:cstheme="majorBidi"/>
          <w:sz w:val="20"/>
          <w:szCs w:val="20"/>
          <w:lang w:bidi="he-IL"/>
        </w:rPr>
        <w:t xml:space="preserve"> </w:t>
      </w:r>
      <w:proofErr w:type="spellStart"/>
      <w:r>
        <w:rPr>
          <w:rFonts w:asciiTheme="majorBidi" w:eastAsiaTheme="minorHAnsi" w:hAnsiTheme="majorBidi" w:cstheme="majorBidi"/>
          <w:sz w:val="20"/>
          <w:szCs w:val="20"/>
          <w:lang w:bidi="he-IL"/>
        </w:rPr>
        <w:t>Gedolot</w:t>
      </w:r>
      <w:proofErr w:type="spellEnd"/>
      <w:r>
        <w:rPr>
          <w:rFonts w:asciiTheme="majorBidi" w:eastAsiaTheme="minorHAnsi" w:hAnsiTheme="majorBidi" w:cstheme="majorBidi"/>
          <w:sz w:val="20"/>
          <w:szCs w:val="20"/>
          <w:lang w:bidi="he-IL"/>
        </w:rPr>
        <w:t xml:space="preserve"> </w:t>
      </w:r>
      <w:proofErr w:type="spellStart"/>
      <w:r>
        <w:rPr>
          <w:rFonts w:asciiTheme="majorBidi" w:eastAsiaTheme="minorHAnsi" w:hAnsiTheme="majorBidi" w:cstheme="majorBidi"/>
          <w:sz w:val="20"/>
          <w:szCs w:val="20"/>
          <w:lang w:bidi="he-IL"/>
        </w:rPr>
        <w:t>HaKeter</w:t>
      </w:r>
      <w:proofErr w:type="spellEnd"/>
      <w:r>
        <w:rPr>
          <w:rFonts w:asciiTheme="majorBidi" w:eastAsiaTheme="minorHAnsi" w:hAnsiTheme="majorBidi" w:cstheme="majorBidi"/>
          <w:sz w:val="20"/>
          <w:szCs w:val="20"/>
          <w:lang w:bidi="he-IL"/>
        </w:rPr>
        <w:t xml:space="preserve">.  </w:t>
      </w:r>
    </w:p>
  </w:footnote>
  <w:footnote w:id="37">
    <w:p w14:paraId="2D811B07" w14:textId="77777777" w:rsidR="00B057F3" w:rsidRDefault="00B057F3" w:rsidP="00505FAD">
      <w:pPr>
        <w:autoSpaceDE w:val="0"/>
        <w:autoSpaceDN w:val="0"/>
        <w:adjustRightInd w:val="0"/>
        <w:rPr>
          <w:rFonts w:asciiTheme="majorBidi" w:eastAsiaTheme="minorHAnsi" w:hAnsiTheme="majorBidi" w:cstheme="majorBidi"/>
          <w:sz w:val="20"/>
          <w:szCs w:val="20"/>
          <w:lang w:bidi="he-IL"/>
        </w:rPr>
      </w:pPr>
      <w:r>
        <w:rPr>
          <w:rStyle w:val="a6"/>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eastAsiaTheme="minorHAnsi" w:hAnsiTheme="majorBidi" w:cstheme="majorBidi" w:hint="cs"/>
          <w:sz w:val="22"/>
          <w:szCs w:val="22"/>
          <w:rtl/>
          <w:lang w:bidi="he-IL"/>
        </w:rPr>
        <w:t>ורב שלמה מפרש התורה מ"כ [מצאתי כתוב] כי האו"ת בשם המפורש... ועתה פקח עיניך</w:t>
      </w:r>
      <w:r>
        <w:rPr>
          <w:rFonts w:asciiTheme="majorBidi" w:eastAsiaTheme="minorHAnsi" w:hAnsiTheme="majorBidi" w:cstheme="majorBidi" w:hint="cs"/>
          <w:sz w:val="20"/>
          <w:szCs w:val="20"/>
          <w:rtl/>
          <w:lang w:bidi="he-IL"/>
        </w:rPr>
        <w:t>...</w:t>
      </w:r>
      <w:r>
        <w:rPr>
          <w:rFonts w:asciiTheme="majorBidi" w:eastAsiaTheme="minorHAnsi" w:hAnsiTheme="majorBidi" w:cstheme="majorBidi"/>
          <w:sz w:val="20"/>
          <w:szCs w:val="20"/>
          <w:lang w:bidi="he-IL"/>
        </w:rPr>
        <w:t xml:space="preserve">. [Translation mine.] “Ibn Ezra’s Short Commentary,” in Weiser, ed., vol. 2, p. 323.  </w:t>
      </w:r>
    </w:p>
  </w:footnote>
  <w:footnote w:id="38">
    <w:p w14:paraId="4CF6B96D" w14:textId="77777777" w:rsidR="00B057F3" w:rsidRDefault="00B057F3" w:rsidP="00505FAD">
      <w:pPr>
        <w:autoSpaceDE w:val="0"/>
        <w:autoSpaceDN w:val="0"/>
        <w:adjustRightInd w:val="0"/>
        <w:rPr>
          <w:rFonts w:asciiTheme="majorBidi" w:eastAsiaTheme="minorHAnsi" w:hAnsiTheme="majorBidi" w:cstheme="majorBidi"/>
          <w:sz w:val="20"/>
          <w:szCs w:val="20"/>
          <w:lang w:bidi="he-IL"/>
        </w:rPr>
      </w:pPr>
      <w:r>
        <w:rPr>
          <w:rStyle w:val="a6"/>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eastAsiaTheme="minorHAnsi" w:hAnsiTheme="majorBidi" w:cstheme="majorBidi"/>
          <w:sz w:val="20"/>
          <w:szCs w:val="20"/>
          <w:lang w:bidi="he-IL"/>
        </w:rPr>
        <w:t>Ibn Ezra’s “Fourth Way,” Weiser, ed. vol.1, p.6. [Translation mine</w:t>
      </w:r>
      <w:r>
        <w:rPr>
          <w:rFonts w:asciiTheme="majorBidi" w:eastAsiaTheme="minorHAnsi" w:hAnsiTheme="majorBidi" w:cstheme="majorBidi"/>
          <w:color w:val="000000"/>
          <w:sz w:val="20"/>
          <w:szCs w:val="20"/>
          <w:lang w:bidi="he-IL"/>
        </w:rPr>
        <w:t xml:space="preserve">.]; </w:t>
      </w:r>
      <w:proofErr w:type="spellStart"/>
      <w:r>
        <w:rPr>
          <w:rFonts w:asciiTheme="majorBidi" w:eastAsiaTheme="minorHAnsi" w:hAnsiTheme="majorBidi" w:cstheme="majorBidi"/>
          <w:color w:val="000000"/>
          <w:sz w:val="20"/>
          <w:szCs w:val="20"/>
          <w:lang w:bidi="he-IL"/>
        </w:rPr>
        <w:t>Mikraot</w:t>
      </w:r>
      <w:proofErr w:type="spellEnd"/>
      <w:r>
        <w:rPr>
          <w:rFonts w:asciiTheme="majorBidi" w:eastAsiaTheme="minorHAnsi" w:hAnsiTheme="majorBidi" w:cstheme="majorBidi"/>
          <w:color w:val="000000"/>
          <w:sz w:val="20"/>
          <w:szCs w:val="20"/>
          <w:lang w:bidi="he-IL"/>
        </w:rPr>
        <w:t xml:space="preserve"> </w:t>
      </w:r>
      <w:proofErr w:type="spellStart"/>
      <w:r>
        <w:rPr>
          <w:rFonts w:asciiTheme="majorBidi" w:eastAsiaTheme="minorHAnsi" w:hAnsiTheme="majorBidi" w:cstheme="majorBidi"/>
          <w:color w:val="000000"/>
          <w:sz w:val="20"/>
          <w:szCs w:val="20"/>
          <w:lang w:bidi="he-IL"/>
        </w:rPr>
        <w:t>Gedolot</w:t>
      </w:r>
      <w:proofErr w:type="spellEnd"/>
      <w:r>
        <w:rPr>
          <w:rFonts w:asciiTheme="majorBidi" w:eastAsiaTheme="minorHAnsi" w:hAnsiTheme="majorBidi" w:cstheme="majorBidi"/>
          <w:color w:val="000000"/>
          <w:sz w:val="20"/>
          <w:szCs w:val="20"/>
          <w:lang w:bidi="he-IL"/>
        </w:rPr>
        <w:t xml:space="preserve"> </w:t>
      </w:r>
      <w:proofErr w:type="spellStart"/>
      <w:r>
        <w:rPr>
          <w:rFonts w:asciiTheme="majorBidi" w:eastAsiaTheme="minorHAnsi" w:hAnsiTheme="majorBidi" w:cstheme="majorBidi"/>
          <w:color w:val="000000"/>
          <w:sz w:val="20"/>
          <w:szCs w:val="20"/>
          <w:lang w:bidi="he-IL"/>
        </w:rPr>
        <w:t>HaKeter</w:t>
      </w:r>
      <w:proofErr w:type="spellEnd"/>
      <w:r>
        <w:rPr>
          <w:rFonts w:asciiTheme="majorBidi" w:eastAsiaTheme="minorHAnsi" w:hAnsiTheme="majorBidi" w:cstheme="majorBidi"/>
          <w:color w:val="000000"/>
          <w:sz w:val="20"/>
          <w:szCs w:val="20"/>
          <w:lang w:bidi="he-IL"/>
        </w:rPr>
        <w:t>, p. (</w:t>
      </w:r>
      <w:r>
        <w:rPr>
          <w:rFonts w:asciiTheme="majorBidi" w:eastAsiaTheme="minorHAnsi" w:hAnsiTheme="majorBidi" w:cstheme="majorBidi" w:hint="cs"/>
          <w:color w:val="000000"/>
          <w:sz w:val="20"/>
          <w:szCs w:val="20"/>
          <w:rtl/>
          <w:lang w:bidi="he-IL"/>
        </w:rPr>
        <w:t>כה</w:t>
      </w:r>
      <w:r>
        <w:rPr>
          <w:rFonts w:asciiTheme="majorBidi" w:eastAsiaTheme="minorHAnsi" w:hAnsiTheme="majorBidi" w:cstheme="majorBidi"/>
          <w:color w:val="000000"/>
          <w:sz w:val="20"/>
          <w:szCs w:val="20"/>
          <w:lang w:bidi="he-IL"/>
        </w:rPr>
        <w:t xml:space="preserve">). </w:t>
      </w:r>
    </w:p>
  </w:footnote>
  <w:footnote w:id="39">
    <w:p w14:paraId="30347B4B" w14:textId="65E88C70" w:rsidR="00B057F3" w:rsidRDefault="00B057F3" w:rsidP="0038528E">
      <w:pPr>
        <w:pStyle w:val="a3"/>
        <w:rPr>
          <w:rFonts w:asciiTheme="majorBidi" w:hAnsiTheme="majorBidi" w:cstheme="majorBidi"/>
        </w:rPr>
      </w:pPr>
      <w:r>
        <w:rPr>
          <w:rStyle w:val="a6"/>
        </w:rPr>
        <w:footnoteRef/>
      </w:r>
      <w:r>
        <w:t xml:space="preserve"> </w:t>
      </w:r>
      <w:r w:rsidRPr="00FB1CFF">
        <w:rPr>
          <w:rFonts w:asciiTheme="majorBidi" w:eastAsiaTheme="minorHAnsi" w:hAnsiTheme="majorBidi" w:cstheme="majorBidi"/>
          <w:color w:val="000000"/>
          <w:sz w:val="24"/>
          <w:szCs w:val="24"/>
          <w:rtl/>
          <w:lang w:bidi="he-IL"/>
        </w:rPr>
        <w:t>אמר רבינו שלמה ז"ל, כי יש הפרש בין עזי בקמץ חטף ובין עזי בקבוץ... ומי שיבין בלשון ישמעאל ידע ההפרש שיש ביניהם...</w:t>
      </w:r>
      <w:r w:rsidRPr="00FB1CFF">
        <w:rPr>
          <w:rFonts w:asciiTheme="majorBidi" w:eastAsiaTheme="minorHAnsi" w:hAnsiTheme="majorBidi" w:cstheme="majorBidi"/>
          <w:color w:val="000000"/>
          <w:sz w:val="24"/>
          <w:szCs w:val="24"/>
          <w:lang w:bidi="he-IL"/>
        </w:rPr>
        <w:t>.</w:t>
      </w:r>
      <w:r>
        <w:rPr>
          <w:rFonts w:eastAsiaTheme="minorHAnsi" w:cs="FrankRuehl"/>
          <w:color w:val="000000"/>
          <w:sz w:val="24"/>
          <w:szCs w:val="24"/>
          <w:lang w:bidi="he-IL"/>
        </w:rPr>
        <w:t xml:space="preserve"> </w:t>
      </w:r>
      <w:r>
        <w:rPr>
          <w:rFonts w:asciiTheme="majorBidi" w:eastAsiaTheme="minorHAnsi" w:hAnsiTheme="majorBidi" w:cstheme="majorBidi"/>
          <w:color w:val="000000"/>
          <w:lang w:bidi="he-IL"/>
        </w:rPr>
        <w:t xml:space="preserve">Ibn Ezra’s (Long) </w:t>
      </w:r>
      <w:proofErr w:type="spellStart"/>
      <w:r>
        <w:rPr>
          <w:rFonts w:asciiTheme="majorBidi" w:eastAsiaTheme="minorHAnsi" w:hAnsiTheme="majorBidi" w:cstheme="majorBidi"/>
          <w:color w:val="000000"/>
          <w:lang w:bidi="he-IL"/>
        </w:rPr>
        <w:t>Perush</w:t>
      </w:r>
      <w:proofErr w:type="spellEnd"/>
      <w:r>
        <w:rPr>
          <w:rFonts w:asciiTheme="majorBidi" w:eastAsiaTheme="minorHAnsi" w:hAnsiTheme="majorBidi" w:cstheme="majorBidi"/>
          <w:color w:val="000000"/>
          <w:lang w:bidi="he-IL"/>
        </w:rPr>
        <w:t xml:space="preserve"> on Pentateuch, </w:t>
      </w:r>
      <w:proofErr w:type="spellStart"/>
      <w:r>
        <w:rPr>
          <w:rFonts w:asciiTheme="majorBidi" w:eastAsiaTheme="minorHAnsi" w:hAnsiTheme="majorBidi" w:cstheme="majorBidi"/>
          <w:color w:val="000000"/>
          <w:lang w:bidi="he-IL"/>
        </w:rPr>
        <w:t>Shemot</w:t>
      </w:r>
      <w:proofErr w:type="spellEnd"/>
      <w:r>
        <w:rPr>
          <w:rFonts w:asciiTheme="majorBidi" w:eastAsiaTheme="minorHAnsi" w:hAnsiTheme="majorBidi" w:cstheme="majorBidi"/>
          <w:color w:val="000000"/>
          <w:lang w:bidi="he-IL"/>
        </w:rPr>
        <w:t xml:space="preserve"> 15:2. (Similarly in </w:t>
      </w:r>
      <w:proofErr w:type="spellStart"/>
      <w:r>
        <w:rPr>
          <w:rFonts w:asciiTheme="majorBidi" w:eastAsiaTheme="minorHAnsi" w:hAnsiTheme="majorBidi" w:cstheme="majorBidi"/>
          <w:color w:val="000000"/>
          <w:lang w:bidi="he-IL"/>
        </w:rPr>
        <w:t>Shemot</w:t>
      </w:r>
      <w:proofErr w:type="spellEnd"/>
      <w:r>
        <w:rPr>
          <w:rFonts w:asciiTheme="majorBidi" w:eastAsiaTheme="minorHAnsi" w:hAnsiTheme="majorBidi" w:cstheme="majorBidi"/>
          <w:color w:val="000000"/>
          <w:lang w:bidi="he-IL"/>
        </w:rPr>
        <w:t xml:space="preserve"> 23:19.) In Weiser ed., vol.2; </w:t>
      </w:r>
      <w:proofErr w:type="spellStart"/>
      <w:r>
        <w:rPr>
          <w:rFonts w:asciiTheme="majorBidi" w:eastAsiaTheme="minorHAnsi" w:hAnsiTheme="majorBidi" w:cstheme="majorBidi"/>
          <w:color w:val="000000"/>
          <w:lang w:bidi="he-IL"/>
        </w:rPr>
        <w:t>Mikraot</w:t>
      </w:r>
      <w:proofErr w:type="spellEnd"/>
      <w:r>
        <w:rPr>
          <w:rFonts w:asciiTheme="majorBidi" w:eastAsiaTheme="minorHAnsi" w:hAnsiTheme="majorBidi" w:cstheme="majorBidi"/>
          <w:color w:val="000000"/>
          <w:lang w:bidi="he-IL"/>
        </w:rPr>
        <w:t xml:space="preserve"> </w:t>
      </w:r>
      <w:proofErr w:type="spellStart"/>
      <w:r>
        <w:rPr>
          <w:rFonts w:asciiTheme="majorBidi" w:eastAsiaTheme="minorHAnsi" w:hAnsiTheme="majorBidi" w:cstheme="majorBidi"/>
          <w:color w:val="000000"/>
          <w:lang w:bidi="he-IL"/>
        </w:rPr>
        <w:t>Gedolot</w:t>
      </w:r>
      <w:proofErr w:type="spellEnd"/>
      <w:r>
        <w:rPr>
          <w:rFonts w:asciiTheme="majorBidi" w:eastAsiaTheme="minorHAnsi" w:hAnsiTheme="majorBidi" w:cstheme="majorBidi"/>
          <w:color w:val="000000"/>
          <w:lang w:bidi="he-IL"/>
        </w:rPr>
        <w:t xml:space="preserve"> ed. Though U. </w:t>
      </w:r>
      <w:r>
        <w:rPr>
          <w:rFonts w:asciiTheme="majorBidi" w:hAnsiTheme="majorBidi" w:cstheme="majorBidi"/>
        </w:rPr>
        <w:t>Simon perceives Ibn Ezra’s scientific explanations negatively – as an indictment of Ashkenazic scholars for “their ignorance of the sciences” (Simon, p. 185)</w:t>
      </w:r>
      <w:r w:rsidR="0038528E">
        <w:rPr>
          <w:rFonts w:asciiTheme="majorBidi" w:hAnsiTheme="majorBidi" w:cstheme="majorBidi"/>
        </w:rPr>
        <w:t xml:space="preserve"> </w:t>
      </w:r>
      <w:r w:rsidR="0038528E" w:rsidRPr="0038528E">
        <w:rPr>
          <w:rFonts w:asciiTheme="majorBidi" w:hAnsiTheme="majorBidi" w:cstheme="majorBidi"/>
        </w:rPr>
        <w:t>–</w:t>
      </w:r>
      <w:r>
        <w:rPr>
          <w:rFonts w:asciiTheme="majorBidi" w:hAnsiTheme="majorBidi" w:cstheme="majorBidi"/>
        </w:rPr>
        <w:t xml:space="preserve"> it can instead be seen as a helpful, pedagogical aid to great Torah scholars who were deficient in this area. </w:t>
      </w:r>
    </w:p>
  </w:footnote>
  <w:footnote w:id="40">
    <w:p w14:paraId="686AA6EA" w14:textId="03C86A71" w:rsidR="00B057F3" w:rsidRDefault="00B057F3" w:rsidP="00EF6290">
      <w:pPr>
        <w:autoSpaceDE w:val="0"/>
        <w:autoSpaceDN w:val="0"/>
        <w:adjustRightInd w:val="0"/>
        <w:jc w:val="both"/>
        <w:rPr>
          <w:rFonts w:asciiTheme="minorBidi" w:hAnsiTheme="minorBidi" w:cstheme="minorBidi"/>
        </w:rPr>
      </w:pPr>
      <w:r>
        <w:rPr>
          <w:rStyle w:val="a6"/>
          <w:sz w:val="20"/>
          <w:szCs w:val="20"/>
        </w:rPr>
        <w:footnoteRef/>
      </w:r>
      <w:r>
        <w:rPr>
          <w:sz w:val="20"/>
          <w:szCs w:val="20"/>
        </w:rPr>
        <w:t xml:space="preserve"> </w:t>
      </w:r>
      <w:proofErr w:type="spellStart"/>
      <w:r>
        <w:rPr>
          <w:rFonts w:asciiTheme="majorBidi" w:hAnsiTheme="majorBidi" w:cstheme="majorBidi"/>
          <w:sz w:val="20"/>
          <w:szCs w:val="20"/>
        </w:rPr>
        <w:t>Shemot</w:t>
      </w:r>
      <w:proofErr w:type="spellEnd"/>
      <w:r>
        <w:rPr>
          <w:rFonts w:asciiTheme="majorBidi" w:hAnsiTheme="majorBidi" w:cstheme="majorBidi"/>
          <w:sz w:val="20"/>
          <w:szCs w:val="20"/>
        </w:rPr>
        <w:t xml:space="preserve"> 26:18. This interpretation is based on a Talmudic source (BT </w:t>
      </w:r>
      <w:proofErr w:type="spellStart"/>
      <w:r>
        <w:rPr>
          <w:rFonts w:asciiTheme="majorBidi" w:hAnsiTheme="majorBidi" w:cstheme="majorBidi"/>
          <w:sz w:val="20"/>
          <w:szCs w:val="20"/>
        </w:rPr>
        <w:t>Shabb</w:t>
      </w:r>
      <w:proofErr w:type="spellEnd"/>
      <w:r>
        <w:rPr>
          <w:rFonts w:asciiTheme="majorBidi" w:hAnsiTheme="majorBidi" w:cstheme="majorBidi"/>
          <w:sz w:val="20"/>
          <w:szCs w:val="20"/>
        </w:rPr>
        <w:t xml:space="preserve">. 98b) and does not appear in the standard version of </w:t>
      </w:r>
      <w:proofErr w:type="spellStart"/>
      <w:r>
        <w:rPr>
          <w:rFonts w:asciiTheme="majorBidi" w:hAnsiTheme="majorBidi" w:cstheme="majorBidi"/>
          <w:sz w:val="20"/>
          <w:szCs w:val="20"/>
        </w:rPr>
        <w:t>Rashi’s</w:t>
      </w:r>
      <w:proofErr w:type="spellEnd"/>
      <w:r>
        <w:rPr>
          <w:rFonts w:asciiTheme="majorBidi" w:hAnsiTheme="majorBidi" w:cstheme="majorBidi"/>
          <w:sz w:val="20"/>
          <w:szCs w:val="20"/>
        </w:rPr>
        <w:t xml:space="preserve"> Torah commentary.  The miracle relates to the “middle bar” </w:t>
      </w:r>
      <w:proofErr w:type="gramStart"/>
      <w:r>
        <w:rPr>
          <w:rFonts w:asciiTheme="minorBidi" w:hAnsiTheme="minorBidi" w:cstheme="minorBidi"/>
          <w:sz w:val="16"/>
          <w:szCs w:val="16"/>
        </w:rPr>
        <w:t>–</w:t>
      </w:r>
      <w:r w:rsidRPr="00EF6290">
        <w:rPr>
          <w:rFonts w:ascii="Arial" w:hAnsi="Arial" w:cs="Arial"/>
          <w:b/>
          <w:bCs/>
          <w:color w:val="5F6368"/>
          <w:spacing w:val="2"/>
          <w:sz w:val="21"/>
          <w:szCs w:val="21"/>
          <w:shd w:val="clear" w:color="auto" w:fill="FFFFFF"/>
          <w:rtl/>
          <w:lang w:bidi="he-IL"/>
        </w:rPr>
        <w:t xml:space="preserve"> </w:t>
      </w:r>
      <w:r w:rsidR="004965A1">
        <w:rPr>
          <w:rFonts w:ascii="Arial" w:hAnsi="Arial" w:cs="Arial"/>
          <w:b/>
          <w:bCs/>
          <w:color w:val="5F6368"/>
          <w:spacing w:val="2"/>
          <w:sz w:val="21"/>
          <w:szCs w:val="21"/>
          <w:shd w:val="clear" w:color="auto" w:fill="FFFFFF"/>
          <w:lang w:bidi="he-IL"/>
        </w:rPr>
        <w:t xml:space="preserve"> </w:t>
      </w:r>
      <w:r w:rsidRPr="00EF6290">
        <w:rPr>
          <w:rFonts w:eastAsiaTheme="minorHAnsi" w:cs="FrankRuehl"/>
          <w:b/>
          <w:bCs/>
          <w:color w:val="000000"/>
          <w:rtl/>
          <w:lang w:bidi="he-IL"/>
        </w:rPr>
        <w:t>הבריח</w:t>
      </w:r>
      <w:proofErr w:type="gramEnd"/>
      <w:r w:rsidRPr="00EF6290">
        <w:rPr>
          <w:rFonts w:eastAsiaTheme="minorHAnsi" w:cs="FrankRuehl"/>
          <w:b/>
          <w:bCs/>
          <w:color w:val="000000"/>
          <w:rtl/>
          <w:lang w:bidi="he-IL"/>
        </w:rPr>
        <w:t xml:space="preserve"> התיכון</w:t>
      </w:r>
      <w:r>
        <w:rPr>
          <w:rFonts w:eastAsiaTheme="minorHAnsi" w:cs="FrankRuehl"/>
          <w:color w:val="000000"/>
          <w:lang w:bidi="he-IL"/>
        </w:rPr>
        <w:t xml:space="preserve">. </w:t>
      </w:r>
    </w:p>
    <w:p w14:paraId="5E924176" w14:textId="5C9F0462" w:rsidR="00B057F3" w:rsidRDefault="00B057F3" w:rsidP="00505FAD">
      <w:pPr>
        <w:autoSpaceDE w:val="0"/>
        <w:autoSpaceDN w:val="0"/>
        <w:adjustRightInd w:val="0"/>
        <w:jc w:val="both"/>
        <w:rPr>
          <w:rFonts w:asciiTheme="majorBidi" w:eastAsiaTheme="minorHAnsi" w:hAnsiTheme="majorBidi" w:cstheme="majorBidi"/>
          <w:sz w:val="20"/>
          <w:szCs w:val="20"/>
          <w:lang w:bidi="he-IL"/>
        </w:rPr>
      </w:pPr>
      <w:r>
        <w:rPr>
          <w:rFonts w:asciiTheme="majorBidi" w:eastAsiaTheme="minorHAnsi" w:hAnsiTheme="majorBidi" w:cstheme="majorBidi"/>
          <w:color w:val="000000"/>
          <w:sz w:val="20"/>
          <w:szCs w:val="20"/>
          <w:lang w:bidi="he-IL"/>
        </w:rPr>
        <w:t xml:space="preserve">See Weiser; p. 180 n.37; </w:t>
      </w:r>
      <w:proofErr w:type="spellStart"/>
      <w:r>
        <w:rPr>
          <w:rFonts w:asciiTheme="majorBidi" w:eastAsiaTheme="minorHAnsi" w:hAnsiTheme="majorBidi" w:cstheme="majorBidi"/>
          <w:color w:val="000000"/>
          <w:sz w:val="20"/>
          <w:szCs w:val="20"/>
          <w:lang w:bidi="he-IL"/>
        </w:rPr>
        <w:t>Krinsky</w:t>
      </w:r>
      <w:proofErr w:type="spellEnd"/>
      <w:r>
        <w:rPr>
          <w:rFonts w:asciiTheme="majorBidi" w:eastAsiaTheme="minorHAnsi" w:hAnsiTheme="majorBidi" w:cstheme="majorBidi"/>
          <w:color w:val="000000"/>
          <w:sz w:val="20"/>
          <w:szCs w:val="20"/>
          <w:lang w:bidi="he-IL"/>
        </w:rPr>
        <w:t xml:space="preserve">, </w:t>
      </w:r>
      <w:proofErr w:type="spellStart"/>
      <w:r>
        <w:rPr>
          <w:rFonts w:asciiTheme="majorBidi" w:eastAsiaTheme="minorHAnsi" w:hAnsiTheme="majorBidi" w:cstheme="majorBidi"/>
          <w:i/>
          <w:iCs/>
          <w:color w:val="000000"/>
          <w:sz w:val="20"/>
          <w:szCs w:val="20"/>
          <w:lang w:bidi="he-IL"/>
        </w:rPr>
        <w:t>Mechokekei</w:t>
      </w:r>
      <w:proofErr w:type="spellEnd"/>
      <w:r>
        <w:rPr>
          <w:rFonts w:asciiTheme="majorBidi" w:eastAsiaTheme="minorHAnsi" w:hAnsiTheme="majorBidi" w:cstheme="majorBidi"/>
          <w:i/>
          <w:iCs/>
          <w:color w:val="000000"/>
          <w:sz w:val="20"/>
          <w:szCs w:val="20"/>
          <w:lang w:bidi="he-IL"/>
        </w:rPr>
        <w:t xml:space="preserve"> Yehuda</w:t>
      </w:r>
      <w:r>
        <w:rPr>
          <w:rFonts w:asciiTheme="majorBidi" w:eastAsiaTheme="minorHAnsi" w:hAnsiTheme="majorBidi" w:cstheme="majorBidi"/>
          <w:color w:val="000000"/>
          <w:sz w:val="20"/>
          <w:szCs w:val="20"/>
          <w:lang w:bidi="he-IL"/>
        </w:rPr>
        <w:t xml:space="preserve">, </w:t>
      </w:r>
      <w:proofErr w:type="spellStart"/>
      <w:r>
        <w:rPr>
          <w:rFonts w:asciiTheme="majorBidi" w:eastAsiaTheme="minorHAnsi" w:hAnsiTheme="majorBidi" w:cstheme="majorBidi"/>
          <w:color w:val="000000"/>
          <w:sz w:val="20"/>
          <w:szCs w:val="20"/>
          <w:lang w:bidi="he-IL"/>
        </w:rPr>
        <w:t>Shemot</w:t>
      </w:r>
      <w:proofErr w:type="spellEnd"/>
      <w:r>
        <w:rPr>
          <w:rFonts w:asciiTheme="majorBidi" w:eastAsiaTheme="minorHAnsi" w:hAnsiTheme="majorBidi" w:cstheme="majorBidi"/>
          <w:color w:val="000000"/>
          <w:sz w:val="20"/>
          <w:szCs w:val="20"/>
          <w:lang w:bidi="he-IL"/>
        </w:rPr>
        <w:t xml:space="preserve">, </w:t>
      </w:r>
      <w:proofErr w:type="spellStart"/>
      <w:r>
        <w:rPr>
          <w:rFonts w:asciiTheme="majorBidi" w:eastAsiaTheme="minorHAnsi" w:hAnsiTheme="majorBidi" w:cstheme="majorBidi"/>
          <w:i/>
          <w:iCs/>
          <w:color w:val="000000"/>
          <w:sz w:val="20"/>
          <w:szCs w:val="20"/>
          <w:lang w:bidi="he-IL"/>
        </w:rPr>
        <w:t>Yahel</w:t>
      </w:r>
      <w:proofErr w:type="spellEnd"/>
      <w:r>
        <w:rPr>
          <w:rFonts w:asciiTheme="majorBidi" w:eastAsiaTheme="minorHAnsi" w:hAnsiTheme="majorBidi" w:cstheme="majorBidi"/>
          <w:i/>
          <w:iCs/>
          <w:color w:val="000000"/>
          <w:sz w:val="20"/>
          <w:szCs w:val="20"/>
          <w:lang w:bidi="he-IL"/>
        </w:rPr>
        <w:t xml:space="preserve"> Or</w:t>
      </w:r>
      <w:r>
        <w:rPr>
          <w:rFonts w:asciiTheme="majorBidi" w:eastAsiaTheme="minorHAnsi" w:hAnsiTheme="majorBidi" w:cstheme="majorBidi"/>
          <w:color w:val="000000"/>
          <w:sz w:val="20"/>
          <w:szCs w:val="20"/>
          <w:lang w:bidi="he-IL"/>
        </w:rPr>
        <w:t>, p. 488 n</w:t>
      </w:r>
      <w:r w:rsidR="00150304">
        <w:rPr>
          <w:rFonts w:asciiTheme="majorBidi" w:eastAsiaTheme="minorHAnsi" w:hAnsiTheme="majorBidi" w:cstheme="majorBidi"/>
          <w:color w:val="000000"/>
          <w:sz w:val="20"/>
          <w:szCs w:val="20"/>
          <w:lang w:bidi="he-IL"/>
        </w:rPr>
        <w:t>.</w:t>
      </w:r>
      <w:r>
        <w:rPr>
          <w:rFonts w:asciiTheme="majorBidi" w:eastAsiaTheme="minorHAnsi" w:hAnsiTheme="majorBidi" w:cstheme="majorBidi"/>
          <w:color w:val="000000"/>
          <w:sz w:val="20"/>
          <w:szCs w:val="20"/>
          <w:lang w:bidi="he-IL"/>
        </w:rPr>
        <w:t xml:space="preserve"> 69.</w:t>
      </w:r>
    </w:p>
  </w:footnote>
  <w:footnote w:id="41">
    <w:p w14:paraId="2BE63FA2" w14:textId="0982EE4D"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Weiser, intro, p. 10.  Simon depicts the undated poetic correspondence between the two in U. Simon, “Transplanting the Wisdom of Spain to Christian Lands,” pp. 185-189.  Dr. </w:t>
      </w:r>
      <w:proofErr w:type="spellStart"/>
      <w:r>
        <w:rPr>
          <w:rFonts w:asciiTheme="majorBidi" w:hAnsiTheme="majorBidi" w:cstheme="majorBidi"/>
        </w:rPr>
        <w:t>Avigail</w:t>
      </w:r>
      <w:proofErr w:type="spellEnd"/>
      <w:r>
        <w:rPr>
          <w:rFonts w:asciiTheme="majorBidi" w:hAnsiTheme="majorBidi" w:cstheme="majorBidi"/>
        </w:rPr>
        <w:t xml:space="preserve"> Rock </w:t>
      </w:r>
      <w:proofErr w:type="spellStart"/>
      <w:r>
        <w:rPr>
          <w:rFonts w:asciiTheme="majorBidi" w:hAnsiTheme="majorBidi" w:cstheme="majorBidi"/>
        </w:rPr>
        <w:t>ob”m</w:t>
      </w:r>
      <w:proofErr w:type="spellEnd"/>
      <w:r>
        <w:rPr>
          <w:rFonts w:asciiTheme="majorBidi" w:hAnsiTheme="majorBidi" w:cstheme="majorBidi"/>
        </w:rPr>
        <w:t xml:space="preserve"> provides a detailed explanation of this moving poetic exchange, translated into English. </w:t>
      </w:r>
      <w:hyperlink r:id="rId1" w:history="1">
        <w:r w:rsidR="003D092B" w:rsidRPr="00833FB8">
          <w:rPr>
            <w:rStyle w:val="Hyperlink"/>
          </w:rPr>
          <w:t>https://www.etzion.org.il/en/lecture-13-r-avraham-ibn-ezra-part-i</w:t>
        </w:r>
      </w:hyperlink>
      <w:r>
        <w:rPr>
          <w:rFonts w:asciiTheme="majorBidi" w:hAnsiTheme="majorBidi" w:cstheme="majorBidi"/>
        </w:rPr>
        <w:t xml:space="preserve">, </w:t>
      </w:r>
      <w:proofErr w:type="spellStart"/>
      <w:r>
        <w:rPr>
          <w:rFonts w:asciiTheme="majorBidi" w:hAnsiTheme="majorBidi" w:cstheme="majorBidi"/>
        </w:rPr>
        <w:t>nn</w:t>
      </w:r>
      <w:proofErr w:type="spellEnd"/>
      <w:r w:rsidR="006F6CB1">
        <w:rPr>
          <w:rFonts w:asciiTheme="majorBidi" w:hAnsiTheme="majorBidi" w:cstheme="majorBidi"/>
        </w:rPr>
        <w:t xml:space="preserve">. </w:t>
      </w:r>
      <w:r>
        <w:rPr>
          <w:rFonts w:asciiTheme="majorBidi" w:hAnsiTheme="majorBidi" w:cstheme="majorBidi"/>
        </w:rPr>
        <w:t>18-20.</w:t>
      </w:r>
    </w:p>
  </w:footnote>
  <w:footnote w:id="42">
    <w:p w14:paraId="3B23F5AE"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BT RH 13a, BT Kid. 37b.  Cited in Weiser, Introduction, p. 10. </w:t>
      </w:r>
    </w:p>
  </w:footnote>
  <w:footnote w:id="43">
    <w:p w14:paraId="6D94E727"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BT </w:t>
      </w:r>
      <w:proofErr w:type="spellStart"/>
      <w:r>
        <w:rPr>
          <w:rFonts w:asciiTheme="majorBidi" w:hAnsiTheme="majorBidi" w:cstheme="majorBidi"/>
        </w:rPr>
        <w:t>Taanit</w:t>
      </w:r>
      <w:proofErr w:type="spellEnd"/>
      <w:r>
        <w:rPr>
          <w:rFonts w:asciiTheme="majorBidi" w:hAnsiTheme="majorBidi" w:cstheme="majorBidi"/>
        </w:rPr>
        <w:t xml:space="preserve"> 20b.  Cited in Weiser, ibid. </w:t>
      </w:r>
    </w:p>
  </w:footnote>
  <w:footnote w:id="44">
    <w:p w14:paraId="0474C64C"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Weiser, Introduction, vol. 1, p. 10.</w:t>
      </w:r>
    </w:p>
  </w:footnote>
  <w:footnote w:id="45">
    <w:p w14:paraId="0EE8004B" w14:textId="77777777" w:rsidR="00B057F3" w:rsidRDefault="00B057F3" w:rsidP="00505FAD">
      <w:pPr>
        <w:pStyle w:val="a3"/>
        <w:rPr>
          <w:rFonts w:asciiTheme="majorBidi" w:hAnsiTheme="majorBidi" w:cstheme="majorBidi"/>
        </w:rPr>
      </w:pPr>
      <w:r>
        <w:rPr>
          <w:rStyle w:val="a6"/>
        </w:rPr>
        <w:footnoteRef/>
      </w:r>
      <w:r>
        <w:t xml:space="preserve"> </w:t>
      </w:r>
      <w:r>
        <w:rPr>
          <w:rFonts w:asciiTheme="majorBidi" w:hAnsiTheme="majorBidi" w:cstheme="majorBidi"/>
        </w:rPr>
        <w:t xml:space="preserve">The Talmudic explanation on this verse reads: “If they are worthy, I will hasten [the Redemption]; if they are not deserving, in its appointed time” (BT San. 98a). See N. </w:t>
      </w:r>
      <w:proofErr w:type="spellStart"/>
      <w:r>
        <w:rPr>
          <w:rFonts w:asciiTheme="majorBidi" w:hAnsiTheme="majorBidi" w:cstheme="majorBidi"/>
        </w:rPr>
        <w:t>Scherman</w:t>
      </w:r>
      <w:proofErr w:type="spellEnd"/>
      <w:r>
        <w:rPr>
          <w:rFonts w:asciiTheme="majorBidi" w:hAnsiTheme="majorBidi" w:cstheme="majorBidi"/>
        </w:rPr>
        <w:t xml:space="preserve">, Introduction, </w:t>
      </w:r>
      <w:proofErr w:type="spellStart"/>
      <w:r>
        <w:rPr>
          <w:rFonts w:asciiTheme="majorBidi" w:hAnsiTheme="majorBidi" w:cstheme="majorBidi"/>
        </w:rPr>
        <w:t>ch.</w:t>
      </w:r>
      <w:proofErr w:type="spellEnd"/>
      <w:r>
        <w:rPr>
          <w:rFonts w:asciiTheme="majorBidi" w:hAnsiTheme="majorBidi" w:cstheme="majorBidi"/>
        </w:rPr>
        <w:t xml:space="preserve"> VI, “The Scripture and the ‘End’,” in </w:t>
      </w:r>
      <w:r>
        <w:rPr>
          <w:rFonts w:asciiTheme="majorBidi" w:hAnsiTheme="majorBidi" w:cstheme="majorBidi"/>
          <w:i/>
          <w:iCs/>
        </w:rPr>
        <w:t>Daniel: A New Translation</w:t>
      </w:r>
      <w:r>
        <w:rPr>
          <w:rFonts w:asciiTheme="majorBidi" w:hAnsiTheme="majorBidi" w:cstheme="majorBidi"/>
        </w:rPr>
        <w:t xml:space="preserve">, trans. by H. </w:t>
      </w:r>
      <w:proofErr w:type="spellStart"/>
      <w:r>
        <w:rPr>
          <w:rFonts w:asciiTheme="majorBidi" w:hAnsiTheme="majorBidi" w:cstheme="majorBidi"/>
        </w:rPr>
        <w:t>Goldwurm</w:t>
      </w:r>
      <w:proofErr w:type="spellEnd"/>
      <w:r>
        <w:rPr>
          <w:rFonts w:asciiTheme="majorBidi" w:hAnsiTheme="majorBidi" w:cstheme="majorBidi"/>
        </w:rPr>
        <w:t xml:space="preserve">, </w:t>
      </w:r>
      <w:proofErr w:type="spellStart"/>
      <w:r>
        <w:rPr>
          <w:rFonts w:asciiTheme="majorBidi" w:hAnsiTheme="majorBidi" w:cstheme="majorBidi"/>
        </w:rPr>
        <w:t>ArtScroll</w:t>
      </w:r>
      <w:proofErr w:type="spellEnd"/>
      <w:r>
        <w:rPr>
          <w:rFonts w:asciiTheme="majorBidi" w:hAnsiTheme="majorBidi" w:cstheme="majorBidi"/>
        </w:rPr>
        <w:t xml:space="preserve"> </w:t>
      </w:r>
      <w:proofErr w:type="spellStart"/>
      <w:r>
        <w:rPr>
          <w:rFonts w:asciiTheme="majorBidi" w:hAnsiTheme="majorBidi" w:cstheme="majorBidi"/>
        </w:rPr>
        <w:t>Tanach</w:t>
      </w:r>
      <w:proofErr w:type="spellEnd"/>
      <w:r>
        <w:rPr>
          <w:rFonts w:asciiTheme="majorBidi" w:hAnsiTheme="majorBidi" w:cstheme="majorBidi"/>
        </w:rPr>
        <w:t xml:space="preserve"> Series, 9</w:t>
      </w:r>
      <w:r>
        <w:rPr>
          <w:rFonts w:asciiTheme="majorBidi" w:hAnsiTheme="majorBidi" w:cstheme="majorBidi"/>
          <w:vertAlign w:val="superscript"/>
        </w:rPr>
        <w:t>th</w:t>
      </w:r>
      <w:r>
        <w:rPr>
          <w:rFonts w:asciiTheme="majorBidi" w:hAnsiTheme="majorBidi" w:cstheme="majorBidi"/>
        </w:rPr>
        <w:t xml:space="preserve"> ed., N. </w:t>
      </w:r>
      <w:proofErr w:type="spellStart"/>
      <w:r>
        <w:rPr>
          <w:rFonts w:asciiTheme="majorBidi" w:hAnsiTheme="majorBidi" w:cstheme="majorBidi"/>
        </w:rPr>
        <w:t>Scherman</w:t>
      </w:r>
      <w:proofErr w:type="spellEnd"/>
      <w:r>
        <w:rPr>
          <w:rFonts w:asciiTheme="majorBidi" w:hAnsiTheme="majorBidi" w:cstheme="majorBidi"/>
        </w:rPr>
        <w:t xml:space="preserve"> and M. </w:t>
      </w:r>
      <w:proofErr w:type="spellStart"/>
      <w:r>
        <w:rPr>
          <w:rFonts w:asciiTheme="majorBidi" w:hAnsiTheme="majorBidi" w:cstheme="majorBidi"/>
        </w:rPr>
        <w:t>Zlotowitz</w:t>
      </w:r>
      <w:proofErr w:type="spellEnd"/>
      <w:r>
        <w:rPr>
          <w:rFonts w:asciiTheme="majorBidi" w:hAnsiTheme="majorBidi" w:cstheme="majorBidi"/>
        </w:rPr>
        <w:t>, ed., (New York, 2014), pp. 47-56.</w:t>
      </w:r>
    </w:p>
  </w:footnote>
  <w:footnote w:id="46">
    <w:p w14:paraId="755FF6F0" w14:textId="012B3CC2" w:rsidR="00B057F3" w:rsidRDefault="00B057F3" w:rsidP="00505FAD">
      <w:pPr>
        <w:pStyle w:val="a3"/>
      </w:pPr>
      <w:r>
        <w:rPr>
          <w:rStyle w:val="a6"/>
        </w:rPr>
        <w:footnoteRef/>
      </w:r>
      <w:r>
        <w:t xml:space="preserve"> </w:t>
      </w:r>
      <w:r>
        <w:rPr>
          <w:rFonts w:asciiTheme="majorBidi" w:hAnsiTheme="majorBidi" w:cstheme="majorBidi"/>
        </w:rPr>
        <w:t xml:space="preserve">Cohen views “Ashkenazic” messianism as restrained, with far-away dates, and resulting from obscure, esoteric means.  These methods include superstition, prophecies and dreams, as well as independent </w:t>
      </w:r>
      <w:proofErr w:type="spellStart"/>
      <w:r>
        <w:rPr>
          <w:rFonts w:asciiTheme="majorBidi" w:hAnsiTheme="majorBidi" w:cstheme="majorBidi"/>
          <w:i/>
        </w:rPr>
        <w:t>gematriot</w:t>
      </w:r>
      <w:proofErr w:type="spellEnd"/>
      <w:r>
        <w:rPr>
          <w:rFonts w:asciiTheme="majorBidi" w:hAnsiTheme="majorBidi" w:cstheme="majorBidi"/>
        </w:rPr>
        <w:t xml:space="preserve"> unrelated to the biblical context, as part of their approach.  He contrasts this with what the “activist,” i.e., nearby dates, and rationalistic speculations by Sephardic Jews.  Thus, Cohen views </w:t>
      </w:r>
      <w:proofErr w:type="spellStart"/>
      <w:r>
        <w:rPr>
          <w:rFonts w:asciiTheme="majorBidi" w:hAnsiTheme="majorBidi" w:cstheme="majorBidi"/>
        </w:rPr>
        <w:t>Rashi’s</w:t>
      </w:r>
      <w:proofErr w:type="spellEnd"/>
      <w:r>
        <w:rPr>
          <w:rFonts w:asciiTheme="majorBidi" w:hAnsiTheme="majorBidi" w:cstheme="majorBidi"/>
        </w:rPr>
        <w:t xml:space="preserve"> messianic interpretations in Daniel and the Talmud as “nothing more than an exegete’s elucidation of texts," by being too far away from contemporary times to elicit messianic excitement.  See G. Cohen, “Messianic Postures of Ashkenazim and Sephardim,” </w:t>
      </w:r>
      <w:r w:rsidRPr="00FB1CFF">
        <w:rPr>
          <w:rFonts w:asciiTheme="majorBidi" w:hAnsiTheme="majorBidi" w:cstheme="majorBidi"/>
          <w:i/>
          <w:iCs/>
        </w:rPr>
        <w:t xml:space="preserve">Studies of the Leo </w:t>
      </w:r>
      <w:proofErr w:type="spellStart"/>
      <w:r w:rsidRPr="00FB1CFF">
        <w:rPr>
          <w:rFonts w:asciiTheme="majorBidi" w:hAnsiTheme="majorBidi" w:cstheme="majorBidi"/>
          <w:i/>
          <w:iCs/>
        </w:rPr>
        <w:t>Baeck</w:t>
      </w:r>
      <w:proofErr w:type="spellEnd"/>
      <w:r w:rsidRPr="00FB1CFF">
        <w:rPr>
          <w:rFonts w:asciiTheme="majorBidi" w:hAnsiTheme="majorBidi" w:cstheme="majorBidi"/>
          <w:i/>
          <w:iCs/>
        </w:rPr>
        <w:t xml:space="preserve"> Institute</w:t>
      </w:r>
      <w:r>
        <w:rPr>
          <w:rFonts w:asciiTheme="majorBidi" w:hAnsiTheme="majorBidi" w:cstheme="majorBidi"/>
        </w:rPr>
        <w:t xml:space="preserve">, ed. M. </w:t>
      </w:r>
      <w:proofErr w:type="spellStart"/>
      <w:r>
        <w:rPr>
          <w:rFonts w:asciiTheme="majorBidi" w:hAnsiTheme="majorBidi" w:cstheme="majorBidi"/>
        </w:rPr>
        <w:t>Kreutzberger</w:t>
      </w:r>
      <w:proofErr w:type="spellEnd"/>
      <w:r>
        <w:rPr>
          <w:rFonts w:asciiTheme="majorBidi" w:hAnsiTheme="majorBidi" w:cstheme="majorBidi"/>
        </w:rPr>
        <w:t>, New York, 1967, pp. 271-297, esp. 276-277, 278-279, 282.</w:t>
      </w:r>
    </w:p>
    <w:p w14:paraId="7D915024" w14:textId="45236EF0" w:rsidR="00B057F3" w:rsidRDefault="00B057F3" w:rsidP="00505FAD">
      <w:pPr>
        <w:ind w:firstLine="720"/>
        <w:rPr>
          <w:rFonts w:asciiTheme="majorBidi" w:hAnsiTheme="majorBidi" w:cstheme="majorBidi"/>
          <w:sz w:val="20"/>
          <w:szCs w:val="20"/>
        </w:rPr>
      </w:pPr>
      <w:r>
        <w:rPr>
          <w:rFonts w:asciiTheme="majorBidi" w:hAnsiTheme="majorBidi" w:cstheme="majorBidi"/>
          <w:sz w:val="20"/>
          <w:szCs w:val="20"/>
        </w:rPr>
        <w:t xml:space="preserve">In contrast, Yuval classifies the messianic calculations of Northern French </w:t>
      </w:r>
      <w:proofErr w:type="spellStart"/>
      <w:r w:rsidRPr="003F5133">
        <w:rPr>
          <w:rFonts w:asciiTheme="majorBidi" w:hAnsiTheme="majorBidi" w:cstheme="majorBidi"/>
          <w:i/>
          <w:iCs/>
          <w:sz w:val="20"/>
          <w:szCs w:val="20"/>
        </w:rPr>
        <w:t>rabbanim</w:t>
      </w:r>
      <w:proofErr w:type="spellEnd"/>
      <w:r>
        <w:rPr>
          <w:rFonts w:asciiTheme="majorBidi" w:hAnsiTheme="majorBidi" w:cstheme="majorBidi"/>
          <w:sz w:val="20"/>
          <w:szCs w:val="20"/>
        </w:rPr>
        <w:t xml:space="preserve"> as vibrant and activist, especially prior to the fifth Jewish millennium, corresponding to the year 1240 CE, which he claims was a direct response to Christian influences.  Yuval’s theory does not address </w:t>
      </w:r>
      <w:proofErr w:type="spellStart"/>
      <w:r>
        <w:rPr>
          <w:rFonts w:asciiTheme="majorBidi" w:hAnsiTheme="majorBidi" w:cstheme="majorBidi"/>
          <w:sz w:val="20"/>
          <w:szCs w:val="20"/>
        </w:rPr>
        <w:t>Rashi’s</w:t>
      </w:r>
      <w:proofErr w:type="spellEnd"/>
      <w:r>
        <w:rPr>
          <w:rFonts w:asciiTheme="majorBidi" w:hAnsiTheme="majorBidi" w:cstheme="majorBidi"/>
          <w:sz w:val="20"/>
          <w:szCs w:val="20"/>
        </w:rPr>
        <w:t xml:space="preserve"> messianic calculations, even though they correspond to much later dates</w:t>
      </w:r>
      <w:r>
        <w:rPr>
          <w:rFonts w:ascii="Arial" w:hAnsi="Arial" w:cs="Arial"/>
          <w:sz w:val="20"/>
          <w:szCs w:val="20"/>
        </w:rPr>
        <w:t xml:space="preserve">.  </w:t>
      </w:r>
      <w:r>
        <w:rPr>
          <w:rFonts w:asciiTheme="majorBidi" w:hAnsiTheme="majorBidi" w:cstheme="majorBidi"/>
          <w:sz w:val="20"/>
          <w:szCs w:val="20"/>
        </w:rPr>
        <w:t xml:space="preserve">Yuval cites Ashkenazic </w:t>
      </w:r>
      <w:proofErr w:type="spellStart"/>
      <w:r>
        <w:rPr>
          <w:rFonts w:asciiTheme="majorBidi" w:hAnsiTheme="majorBidi" w:cstheme="majorBidi"/>
          <w:i/>
          <w:sz w:val="20"/>
          <w:szCs w:val="20"/>
        </w:rPr>
        <w:t>gematriyot</w:t>
      </w:r>
      <w:proofErr w:type="spellEnd"/>
      <w:r>
        <w:rPr>
          <w:rFonts w:asciiTheme="majorBidi" w:hAnsiTheme="majorBidi" w:cstheme="majorBidi"/>
          <w:sz w:val="20"/>
          <w:szCs w:val="20"/>
        </w:rPr>
        <w:t xml:space="preserve"> related to 1240 CE and the </w:t>
      </w:r>
      <w:proofErr w:type="spellStart"/>
      <w:r>
        <w:rPr>
          <w:rFonts w:asciiTheme="majorBidi" w:hAnsiTheme="majorBidi" w:cstheme="majorBidi"/>
          <w:i/>
          <w:sz w:val="20"/>
          <w:szCs w:val="20"/>
        </w:rPr>
        <w:t>aliyah</w:t>
      </w:r>
      <w:proofErr w:type="spellEnd"/>
      <w:r>
        <w:rPr>
          <w:rFonts w:asciiTheme="majorBidi" w:hAnsiTheme="majorBidi" w:cstheme="majorBidi"/>
          <w:sz w:val="20"/>
          <w:szCs w:val="20"/>
        </w:rPr>
        <w:t xml:space="preserve"> of Northern French rabbis to Eretz Yisrael ca. 1210 as examples of this millenarian fervor. He also notes </w:t>
      </w:r>
      <w:proofErr w:type="spellStart"/>
      <w:r>
        <w:rPr>
          <w:rFonts w:asciiTheme="majorBidi" w:hAnsiTheme="majorBidi" w:cstheme="majorBidi"/>
          <w:i/>
          <w:sz w:val="20"/>
          <w:szCs w:val="20"/>
        </w:rPr>
        <w:t>gematriyot</w:t>
      </w:r>
      <w:proofErr w:type="spellEnd"/>
      <w:r>
        <w:rPr>
          <w:rFonts w:asciiTheme="majorBidi" w:hAnsiTheme="majorBidi" w:cstheme="majorBidi"/>
          <w:sz w:val="20"/>
          <w:szCs w:val="20"/>
        </w:rPr>
        <w:t xml:space="preserve"> connected with contemporary events/dates in Christendom (e.g., 1096, whose messianic expectation culminated in tragedy, in the first Crusade), or related to Jesus’ birth and crucifixion. In Yuval’s view, the above examples attest to a vibrant culture of messianic speculation among Northern French (and secretly active, German Pietist) Jewish scholars, which was in direct response to Christian events and theology.  Indeed, Jewish millenarianism in answer to Christian theology is part of Yuval’s larger, controversial theory in his book.</w:t>
      </w:r>
    </w:p>
    <w:p w14:paraId="4ABC7821" w14:textId="3914D02E" w:rsidR="00B057F3" w:rsidRDefault="00B057F3" w:rsidP="00B54D5B">
      <w:pPr>
        <w:pStyle w:val="a3"/>
        <w:ind w:firstLine="720"/>
        <w:rPr>
          <w:rFonts w:asciiTheme="majorBidi" w:hAnsiTheme="majorBidi" w:cstheme="majorBidi"/>
        </w:rPr>
      </w:pPr>
      <w:r>
        <w:rPr>
          <w:rFonts w:asciiTheme="majorBidi" w:hAnsiTheme="majorBidi" w:cstheme="majorBidi"/>
        </w:rPr>
        <w:t xml:space="preserve">See also E. </w:t>
      </w:r>
      <w:proofErr w:type="spellStart"/>
      <w:r>
        <w:rPr>
          <w:rFonts w:asciiTheme="majorBidi" w:hAnsiTheme="majorBidi" w:cstheme="majorBidi"/>
        </w:rPr>
        <w:t>Kanarfogel</w:t>
      </w:r>
      <w:proofErr w:type="spellEnd"/>
      <w:r>
        <w:rPr>
          <w:rFonts w:asciiTheme="majorBidi" w:hAnsiTheme="majorBidi" w:cstheme="majorBidi"/>
        </w:rPr>
        <w:t xml:space="preserve">, “Ashkenazic Messianic Calculations from </w:t>
      </w:r>
      <w:proofErr w:type="spellStart"/>
      <w:r>
        <w:rPr>
          <w:rFonts w:asciiTheme="majorBidi" w:hAnsiTheme="majorBidi" w:cstheme="majorBidi"/>
        </w:rPr>
        <w:t>Rashi</w:t>
      </w:r>
      <w:proofErr w:type="spellEnd"/>
      <w:r>
        <w:rPr>
          <w:rFonts w:asciiTheme="majorBidi" w:hAnsiTheme="majorBidi" w:cstheme="majorBidi"/>
        </w:rPr>
        <w:t xml:space="preserve"> and his Generation through the </w:t>
      </w:r>
      <w:proofErr w:type="spellStart"/>
      <w:r>
        <w:rPr>
          <w:rFonts w:asciiTheme="majorBidi" w:hAnsiTheme="majorBidi" w:cstheme="majorBidi"/>
        </w:rPr>
        <w:t>Tosafist</w:t>
      </w:r>
      <w:proofErr w:type="spellEnd"/>
      <w:r>
        <w:rPr>
          <w:rFonts w:asciiTheme="majorBidi" w:hAnsiTheme="majorBidi" w:cstheme="majorBidi"/>
        </w:rPr>
        <w:t xml:space="preserve"> Period” [Hebrew], in </w:t>
      </w:r>
      <w:proofErr w:type="spellStart"/>
      <w:r>
        <w:rPr>
          <w:rFonts w:asciiTheme="majorBidi" w:hAnsiTheme="majorBidi" w:cstheme="majorBidi"/>
          <w:i/>
        </w:rPr>
        <w:t>Rashi</w:t>
      </w:r>
      <w:proofErr w:type="spellEnd"/>
      <w:r>
        <w:rPr>
          <w:rFonts w:asciiTheme="majorBidi" w:hAnsiTheme="majorBidi" w:cstheme="majorBidi"/>
          <w:i/>
        </w:rPr>
        <w:t xml:space="preserve">: </w:t>
      </w:r>
      <w:proofErr w:type="spellStart"/>
      <w:r>
        <w:rPr>
          <w:rFonts w:asciiTheme="majorBidi" w:hAnsiTheme="majorBidi" w:cstheme="majorBidi"/>
          <w:i/>
        </w:rPr>
        <w:t>Demuto</w:t>
      </w:r>
      <w:proofErr w:type="spellEnd"/>
      <w:r>
        <w:rPr>
          <w:rFonts w:asciiTheme="majorBidi" w:hAnsiTheme="majorBidi" w:cstheme="majorBidi"/>
          <w:i/>
        </w:rPr>
        <w:t xml:space="preserve"> vi-</w:t>
      </w:r>
      <w:proofErr w:type="spellStart"/>
      <w:r>
        <w:rPr>
          <w:rFonts w:asciiTheme="majorBidi" w:hAnsiTheme="majorBidi" w:cstheme="majorBidi"/>
          <w:i/>
        </w:rPr>
        <w:t>Yetsirato</w:t>
      </w:r>
      <w:proofErr w:type="spellEnd"/>
      <w:r>
        <w:rPr>
          <w:rFonts w:asciiTheme="majorBidi" w:hAnsiTheme="majorBidi" w:cstheme="majorBidi"/>
        </w:rPr>
        <w:t xml:space="preserve"> vol. II, ed. by A. Grossman and S. Japhet. Jerusalem, 2008, pp. 381-401.  </w:t>
      </w:r>
      <w:proofErr w:type="spellStart"/>
      <w:r>
        <w:rPr>
          <w:rFonts w:asciiTheme="majorBidi" w:hAnsiTheme="majorBidi" w:cstheme="majorBidi"/>
        </w:rPr>
        <w:t>Kanarfogel</w:t>
      </w:r>
      <w:proofErr w:type="spellEnd"/>
      <w:r>
        <w:rPr>
          <w:rFonts w:asciiTheme="majorBidi" w:hAnsiTheme="majorBidi" w:cstheme="majorBidi"/>
        </w:rPr>
        <w:t xml:space="preserve"> provides a summary of Cohen’s and Yuval’s views and illustrates how both utilized the same body of primary source material but arrived at opposite conclusions.  He similarly notes A. Grossman’s rejection of Yuval’s stance on another messianic topic </w:t>
      </w:r>
      <w:r w:rsidRPr="00B54D5B">
        <w:rPr>
          <w:rFonts w:asciiTheme="majorBidi" w:hAnsiTheme="majorBidi" w:cstheme="majorBidi"/>
        </w:rPr>
        <w:t>–</w:t>
      </w:r>
      <w:r>
        <w:rPr>
          <w:rFonts w:asciiTheme="majorBidi" w:hAnsiTheme="majorBidi" w:cstheme="majorBidi"/>
        </w:rPr>
        <w:t xml:space="preserve"> the fate of Gentiles </w:t>
      </w:r>
      <w:r w:rsidRPr="00B54D5B">
        <w:rPr>
          <w:rFonts w:asciiTheme="majorBidi" w:hAnsiTheme="majorBidi" w:cstheme="majorBidi"/>
        </w:rPr>
        <w:t>–</w:t>
      </w:r>
      <w:r>
        <w:rPr>
          <w:rFonts w:asciiTheme="majorBidi" w:hAnsiTheme="majorBidi" w:cstheme="majorBidi"/>
        </w:rPr>
        <w:t xml:space="preserve"> to be discussed later (</w:t>
      </w:r>
      <w:proofErr w:type="spellStart"/>
      <w:r>
        <w:rPr>
          <w:rFonts w:asciiTheme="majorBidi" w:hAnsiTheme="majorBidi" w:cstheme="majorBidi"/>
        </w:rPr>
        <w:t>see n</w:t>
      </w:r>
      <w:proofErr w:type="spellEnd"/>
      <w:r>
        <w:rPr>
          <w:rFonts w:asciiTheme="majorBidi" w:hAnsiTheme="majorBidi" w:cstheme="majorBidi"/>
        </w:rPr>
        <w:t>. 75).</w:t>
      </w:r>
    </w:p>
  </w:footnote>
  <w:footnote w:id="47">
    <w:p w14:paraId="3B5957FD"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Kanarfogel</w:t>
      </w:r>
      <w:proofErr w:type="spellEnd"/>
      <w:r>
        <w:rPr>
          <w:rFonts w:asciiTheme="majorBidi" w:hAnsiTheme="majorBidi" w:cstheme="majorBidi"/>
        </w:rPr>
        <w:t>, “Ashkenazic Messianic Calculations,” ibid.</w:t>
      </w:r>
    </w:p>
  </w:footnote>
  <w:footnote w:id="48">
    <w:p w14:paraId="6D91621E" w14:textId="6533A684"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Kanarfogel</w:t>
      </w:r>
      <w:proofErr w:type="spellEnd"/>
      <w:r>
        <w:rPr>
          <w:rFonts w:asciiTheme="majorBidi" w:hAnsiTheme="majorBidi" w:cstheme="majorBidi"/>
        </w:rPr>
        <w:t>, ibid., pp. 384 (n.</w:t>
      </w:r>
      <w:r w:rsidR="0075530A">
        <w:rPr>
          <w:rFonts w:asciiTheme="majorBidi" w:hAnsiTheme="majorBidi" w:cstheme="majorBidi"/>
        </w:rPr>
        <w:t xml:space="preserve"> </w:t>
      </w:r>
      <w:r>
        <w:rPr>
          <w:rFonts w:asciiTheme="majorBidi" w:hAnsiTheme="majorBidi" w:cstheme="majorBidi"/>
        </w:rPr>
        <w:t xml:space="preserve">5), 399-401. </w:t>
      </w:r>
    </w:p>
  </w:footnote>
  <w:footnote w:id="49">
    <w:p w14:paraId="7D6E1799" w14:textId="77777777" w:rsidR="00B057F3" w:rsidRDefault="00B057F3" w:rsidP="00505FAD">
      <w:pPr>
        <w:rPr>
          <w:rFonts w:asciiTheme="majorBidi" w:hAnsiTheme="majorBidi" w:cstheme="majorBidi"/>
        </w:rPr>
      </w:pPr>
      <w:r>
        <w:rPr>
          <w:rStyle w:val="a6"/>
          <w:rFonts w:asciiTheme="majorBidi" w:hAnsiTheme="majorBidi" w:cstheme="majorBidi"/>
          <w:sz w:val="20"/>
          <w:szCs w:val="20"/>
        </w:rPr>
        <w:footnoteRef/>
      </w:r>
      <w:r>
        <w:rPr>
          <w:rFonts w:asciiTheme="majorBidi" w:hAnsiTheme="majorBidi" w:cstheme="majorBidi"/>
          <w:sz w:val="20"/>
          <w:szCs w:val="20"/>
        </w:rPr>
        <w:t xml:space="preserve"> Translations of </w:t>
      </w:r>
      <w:proofErr w:type="spellStart"/>
      <w:r>
        <w:rPr>
          <w:rFonts w:asciiTheme="majorBidi" w:hAnsiTheme="majorBidi" w:cstheme="majorBidi"/>
          <w:sz w:val="20"/>
          <w:szCs w:val="20"/>
        </w:rPr>
        <w:t>Sefer</w:t>
      </w:r>
      <w:proofErr w:type="spellEnd"/>
      <w:r>
        <w:rPr>
          <w:rFonts w:asciiTheme="majorBidi" w:hAnsiTheme="majorBidi" w:cstheme="majorBidi"/>
          <w:sz w:val="20"/>
          <w:szCs w:val="20"/>
        </w:rPr>
        <w:t xml:space="preserve"> Daniel herein are by </w:t>
      </w:r>
      <w:proofErr w:type="spellStart"/>
      <w:r>
        <w:rPr>
          <w:rFonts w:asciiTheme="majorBidi" w:hAnsiTheme="majorBidi" w:cstheme="majorBidi"/>
          <w:sz w:val="20"/>
          <w:szCs w:val="20"/>
        </w:rPr>
        <w:t>Koren</w:t>
      </w:r>
      <w:proofErr w:type="spellEnd"/>
      <w:r>
        <w:rPr>
          <w:rFonts w:asciiTheme="majorBidi" w:hAnsiTheme="majorBidi" w:cstheme="majorBidi"/>
          <w:sz w:val="20"/>
          <w:szCs w:val="20"/>
        </w:rPr>
        <w:t xml:space="preserve"> unless otherwise noted. </w:t>
      </w:r>
      <w:proofErr w:type="spellStart"/>
      <w:r w:rsidRPr="00FB1CFF">
        <w:rPr>
          <w:rFonts w:asciiTheme="majorBidi" w:hAnsiTheme="majorBidi" w:cstheme="majorBidi"/>
          <w:sz w:val="20"/>
          <w:szCs w:val="20"/>
        </w:rPr>
        <w:t>Sefer</w:t>
      </w:r>
      <w:proofErr w:type="spellEnd"/>
      <w:r w:rsidRPr="00FB1CFF">
        <w:rPr>
          <w:rFonts w:asciiTheme="majorBidi" w:hAnsiTheme="majorBidi" w:cstheme="majorBidi"/>
          <w:sz w:val="20"/>
          <w:szCs w:val="20"/>
        </w:rPr>
        <w:t xml:space="preserve"> Daniel</w:t>
      </w:r>
      <w:r w:rsidRPr="00CC3DE9">
        <w:rPr>
          <w:rFonts w:asciiTheme="majorBidi" w:hAnsiTheme="majorBidi" w:cstheme="majorBidi"/>
          <w:sz w:val="20"/>
          <w:szCs w:val="20"/>
        </w:rPr>
        <w:t>,</w:t>
      </w:r>
      <w:r>
        <w:rPr>
          <w:rFonts w:asciiTheme="majorBidi" w:hAnsiTheme="majorBidi" w:cstheme="majorBidi"/>
          <w:sz w:val="20"/>
          <w:szCs w:val="20"/>
        </w:rPr>
        <w:t xml:space="preserve"> </w:t>
      </w:r>
      <w:proofErr w:type="spellStart"/>
      <w:r>
        <w:rPr>
          <w:rFonts w:asciiTheme="majorBidi" w:hAnsiTheme="majorBidi" w:cstheme="majorBidi"/>
          <w:sz w:val="20"/>
          <w:szCs w:val="20"/>
        </w:rPr>
        <w:t>Koren</w:t>
      </w:r>
      <w:proofErr w:type="spellEnd"/>
      <w:r>
        <w:rPr>
          <w:rFonts w:asciiTheme="majorBidi" w:hAnsiTheme="majorBidi" w:cstheme="majorBidi"/>
          <w:sz w:val="20"/>
          <w:szCs w:val="20"/>
        </w:rPr>
        <w:t xml:space="preserve"> Publishers Jerusalem, Translated by H. Fisch, (Jerusalem, 1982).</w:t>
      </w:r>
    </w:p>
  </w:footnote>
  <w:footnote w:id="50">
    <w:p w14:paraId="038C4EC8" w14:textId="60102089" w:rsidR="00B057F3" w:rsidRDefault="00B057F3" w:rsidP="00CF3A65">
      <w:pPr>
        <w:pStyle w:val="a3"/>
      </w:pPr>
      <w:r>
        <w:rPr>
          <w:rStyle w:val="a6"/>
        </w:rPr>
        <w:footnoteRef/>
      </w:r>
      <w:r>
        <w:t xml:space="preserve"> </w:t>
      </w:r>
      <w:proofErr w:type="spellStart"/>
      <w:r>
        <w:t>Rashi</w:t>
      </w:r>
      <w:proofErr w:type="spellEnd"/>
      <w:r>
        <w:t xml:space="preserve"> 8:14. </w:t>
      </w:r>
      <w:proofErr w:type="spellStart"/>
      <w:r>
        <w:rPr>
          <w:rFonts w:asciiTheme="majorBidi" w:hAnsiTheme="majorBidi" w:cstheme="majorBidi"/>
        </w:rPr>
        <w:t>Rashi</w:t>
      </w:r>
      <w:proofErr w:type="spellEnd"/>
      <w:r>
        <w:rPr>
          <w:rFonts w:asciiTheme="majorBidi" w:hAnsiTheme="majorBidi" w:cstheme="majorBidi"/>
        </w:rPr>
        <w:t xml:space="preserve"> is presumed to have used a Hebrew version of </w:t>
      </w:r>
      <w:proofErr w:type="spellStart"/>
      <w:r>
        <w:rPr>
          <w:rFonts w:asciiTheme="majorBidi" w:hAnsiTheme="majorBidi" w:cstheme="majorBidi"/>
        </w:rPr>
        <w:t>Rasag’s</w:t>
      </w:r>
      <w:proofErr w:type="spellEnd"/>
      <w:r>
        <w:rPr>
          <w:rFonts w:asciiTheme="majorBidi" w:hAnsiTheme="majorBidi" w:cstheme="majorBidi"/>
        </w:rPr>
        <w:t xml:space="preserve"> work (</w:t>
      </w:r>
      <w:r>
        <w:rPr>
          <w:rFonts w:asciiTheme="majorBidi" w:eastAsiaTheme="minorHAnsi" w:hAnsiTheme="majorBidi" w:cstheme="majorBidi" w:hint="cs"/>
          <w:color w:val="000000"/>
          <w:rtl/>
          <w:lang w:bidi="he-IL"/>
        </w:rPr>
        <w:t>אמונות ודעות</w:t>
      </w:r>
      <w:r>
        <w:rPr>
          <w:rFonts w:asciiTheme="majorBidi" w:hAnsiTheme="majorBidi" w:cstheme="majorBidi"/>
        </w:rPr>
        <w:t>), originally in Arabic, for his method of calculations in Daniel</w:t>
      </w:r>
      <w:r w:rsidR="00CF3A65">
        <w:rPr>
          <w:rFonts w:asciiTheme="majorBidi" w:hAnsiTheme="majorBidi" w:cstheme="majorBidi"/>
        </w:rPr>
        <w:t xml:space="preserve"> </w:t>
      </w:r>
      <w:r w:rsidR="00CF3A65" w:rsidRPr="00CF3A65">
        <w:rPr>
          <w:rFonts w:asciiTheme="majorBidi" w:hAnsiTheme="majorBidi" w:cstheme="majorBidi"/>
        </w:rPr>
        <w:t>(</w:t>
      </w:r>
      <w:r w:rsidR="00CF3A65">
        <w:rPr>
          <w:rFonts w:asciiTheme="majorBidi" w:hAnsiTheme="majorBidi" w:cstheme="majorBidi"/>
        </w:rPr>
        <w:t>s</w:t>
      </w:r>
      <w:r w:rsidR="00CF3A65" w:rsidRPr="00CF3A65">
        <w:rPr>
          <w:rFonts w:asciiTheme="majorBidi" w:hAnsiTheme="majorBidi" w:cstheme="majorBidi"/>
        </w:rPr>
        <w:t>ee below, n. 53)</w:t>
      </w:r>
      <w:r>
        <w:rPr>
          <w:rFonts w:asciiTheme="majorBidi" w:hAnsiTheme="majorBidi" w:cstheme="majorBidi"/>
        </w:rPr>
        <w:t xml:space="preserve">. Cited in </w:t>
      </w:r>
      <w:proofErr w:type="spellStart"/>
      <w:r>
        <w:rPr>
          <w:rFonts w:asciiTheme="majorBidi" w:hAnsiTheme="majorBidi" w:cstheme="majorBidi"/>
        </w:rPr>
        <w:t>Kanarfogel</w:t>
      </w:r>
      <w:proofErr w:type="spellEnd"/>
      <w:r>
        <w:rPr>
          <w:rFonts w:asciiTheme="majorBidi" w:hAnsiTheme="majorBidi" w:cstheme="majorBidi"/>
        </w:rPr>
        <w:t>, ibid.</w:t>
      </w:r>
    </w:p>
  </w:footnote>
  <w:footnote w:id="51">
    <w:p w14:paraId="38B70E6C" w14:textId="1C51E4F4"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The adding of 1290 or 1335 years to 68 CE – for messianic dates of 1358 CE and 1403 CE respectively – was used by later exegetes (e.g., </w:t>
      </w:r>
      <w:proofErr w:type="spellStart"/>
      <w:r>
        <w:rPr>
          <w:rFonts w:asciiTheme="majorBidi" w:hAnsiTheme="majorBidi" w:cstheme="majorBidi"/>
        </w:rPr>
        <w:t>Ramban</w:t>
      </w:r>
      <w:proofErr w:type="spellEnd"/>
      <w:r>
        <w:rPr>
          <w:rFonts w:asciiTheme="majorBidi" w:hAnsiTheme="majorBidi" w:cstheme="majorBidi"/>
        </w:rPr>
        <w:t xml:space="preserve">). It was a slight modification of </w:t>
      </w:r>
      <w:proofErr w:type="spellStart"/>
      <w:r>
        <w:rPr>
          <w:rFonts w:asciiTheme="majorBidi" w:hAnsiTheme="majorBidi" w:cstheme="majorBidi"/>
        </w:rPr>
        <w:t>Rashi</w:t>
      </w:r>
      <w:proofErr w:type="spellEnd"/>
      <w:r>
        <w:rPr>
          <w:rFonts w:asciiTheme="majorBidi" w:hAnsiTheme="majorBidi" w:cstheme="majorBidi"/>
        </w:rPr>
        <w:t>, who used 62 CE as the starting date.</w:t>
      </w:r>
    </w:p>
  </w:footnote>
  <w:footnote w:id="52">
    <w:p w14:paraId="61B10ED0"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Description is per </w:t>
      </w:r>
      <w:proofErr w:type="spellStart"/>
      <w:r>
        <w:rPr>
          <w:rFonts w:asciiTheme="majorBidi" w:hAnsiTheme="majorBidi" w:cstheme="majorBidi"/>
        </w:rPr>
        <w:t>Kanarfogel</w:t>
      </w:r>
      <w:proofErr w:type="spellEnd"/>
      <w:r>
        <w:rPr>
          <w:rFonts w:asciiTheme="majorBidi" w:hAnsiTheme="majorBidi" w:cstheme="majorBidi"/>
        </w:rPr>
        <w:t>, “Ashkenazic Messianic Calculations,” p. 383.</w:t>
      </w:r>
    </w:p>
  </w:footnote>
  <w:footnote w:id="53">
    <w:p w14:paraId="609229A3" w14:textId="026F6290" w:rsidR="00B057F3" w:rsidRDefault="00B057F3" w:rsidP="00505FAD">
      <w:pPr>
        <w:autoSpaceDE w:val="0"/>
        <w:autoSpaceDN w:val="0"/>
        <w:adjustRightInd w:val="0"/>
        <w:rPr>
          <w:rFonts w:asciiTheme="majorBidi" w:hAnsiTheme="majorBidi" w:cstheme="majorBidi"/>
          <w:sz w:val="20"/>
          <w:szCs w:val="20"/>
        </w:rPr>
      </w:pPr>
      <w:r>
        <w:rPr>
          <w:rStyle w:val="a6"/>
          <w:rFonts w:asciiTheme="majorBidi" w:hAnsiTheme="majorBidi" w:cstheme="majorBidi"/>
        </w:rPr>
        <w:footnoteRef/>
      </w:r>
      <w:r>
        <w:rPr>
          <w:rFonts w:asciiTheme="majorBidi" w:hAnsiTheme="majorBidi" w:cstheme="majorBidi"/>
          <w:sz w:val="20"/>
          <w:szCs w:val="20"/>
        </w:rPr>
        <w:t xml:space="preserve"> Like </w:t>
      </w:r>
      <w:proofErr w:type="spellStart"/>
      <w:r>
        <w:rPr>
          <w:rFonts w:asciiTheme="majorBidi" w:hAnsiTheme="majorBidi" w:cstheme="majorBidi"/>
          <w:sz w:val="20"/>
          <w:szCs w:val="20"/>
        </w:rPr>
        <w:t>Rasag</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Rashi</w:t>
      </w:r>
      <w:proofErr w:type="spellEnd"/>
      <w:r>
        <w:rPr>
          <w:rFonts w:asciiTheme="majorBidi" w:hAnsiTheme="majorBidi" w:cstheme="majorBidi"/>
          <w:sz w:val="20"/>
          <w:szCs w:val="20"/>
        </w:rPr>
        <w:t xml:space="preserve"> interprets </w:t>
      </w:r>
      <w:r>
        <w:rPr>
          <w:rFonts w:asciiTheme="majorBidi" w:hAnsiTheme="majorBidi" w:cstheme="majorBidi"/>
          <w:i/>
          <w:sz w:val="20"/>
          <w:szCs w:val="20"/>
        </w:rPr>
        <w:t>le-</w:t>
      </w:r>
      <w:proofErr w:type="spellStart"/>
      <w:r>
        <w:rPr>
          <w:rFonts w:asciiTheme="majorBidi" w:hAnsiTheme="majorBidi" w:cstheme="majorBidi"/>
          <w:i/>
          <w:sz w:val="20"/>
          <w:szCs w:val="20"/>
        </w:rPr>
        <w:t>moed</w:t>
      </w:r>
      <w:proofErr w:type="spellEnd"/>
      <w:r>
        <w:rPr>
          <w:rFonts w:asciiTheme="majorBidi" w:hAnsiTheme="majorBidi" w:cstheme="majorBidi"/>
          <w:sz w:val="20"/>
          <w:szCs w:val="20"/>
        </w:rPr>
        <w:t xml:space="preserve"> as prefatory to two and a half (unequal) periods (</w:t>
      </w:r>
      <w:r>
        <w:rPr>
          <w:rFonts w:asciiTheme="majorBidi" w:eastAsiaTheme="minorHAnsi" w:hAnsiTheme="majorBidi" w:cstheme="majorBidi" w:hint="cs"/>
          <w:color w:val="000000"/>
          <w:sz w:val="20"/>
          <w:szCs w:val="20"/>
          <w:rtl/>
          <w:lang w:bidi="he-IL"/>
        </w:rPr>
        <w:t>מֽוֹעֲדִ֜ים וָחֵ֗צִי</w:t>
      </w:r>
      <w:r>
        <w:rPr>
          <w:rFonts w:asciiTheme="majorBidi" w:hAnsiTheme="majorBidi" w:cstheme="majorBidi"/>
          <w:sz w:val="20"/>
          <w:szCs w:val="20"/>
        </w:rPr>
        <w:t>) of Jewish dominion before the destruction of the First Temple.  According to this calculation, the first period was 410 years (the duration of the First Temple); the second was 480 years (from the Egyptian Exodus until the building of the First Temple), totaling 890 years. When adding 445 (</w:t>
      </w:r>
      <w:r>
        <w:rPr>
          <w:rFonts w:asciiTheme="majorBidi" w:eastAsiaTheme="minorHAnsi" w:hAnsiTheme="majorBidi" w:cstheme="majorBidi" w:hint="cs"/>
          <w:color w:val="000000"/>
          <w:sz w:val="20"/>
          <w:szCs w:val="20"/>
          <w:rtl/>
          <w:lang w:bidi="he-IL"/>
        </w:rPr>
        <w:t>חֵ֗צִי</w:t>
      </w:r>
      <w:r>
        <w:rPr>
          <w:rFonts w:asciiTheme="majorBidi" w:eastAsiaTheme="minorHAnsi" w:hAnsiTheme="majorBidi" w:cstheme="majorBidi"/>
          <w:color w:val="000000"/>
          <w:sz w:val="20"/>
          <w:szCs w:val="20"/>
          <w:rtl/>
          <w:lang w:bidi="he-IL"/>
        </w:rPr>
        <w:t xml:space="preserve"> </w:t>
      </w:r>
      <w:r>
        <w:rPr>
          <w:rFonts w:asciiTheme="majorBidi" w:eastAsiaTheme="minorHAnsi" w:hAnsiTheme="majorBidi" w:cstheme="majorBidi"/>
          <w:color w:val="000000"/>
          <w:sz w:val="20"/>
          <w:szCs w:val="20"/>
          <w:lang w:bidi="he-IL"/>
        </w:rPr>
        <w:t>– half</w:t>
      </w:r>
      <w:r>
        <w:rPr>
          <w:rFonts w:asciiTheme="majorBidi" w:hAnsiTheme="majorBidi" w:cstheme="majorBidi"/>
          <w:sz w:val="20"/>
          <w:szCs w:val="20"/>
        </w:rPr>
        <w:t xml:space="preserve">) to 890, the sum total is 1,335 years – the number mentioned by Daniel.  </w:t>
      </w:r>
      <w:proofErr w:type="spellStart"/>
      <w:r>
        <w:rPr>
          <w:rFonts w:asciiTheme="majorBidi" w:hAnsiTheme="majorBidi" w:cstheme="majorBidi"/>
          <w:sz w:val="20"/>
          <w:szCs w:val="20"/>
        </w:rPr>
        <w:t>Rashi’s</w:t>
      </w:r>
      <w:proofErr w:type="spellEnd"/>
      <w:r>
        <w:rPr>
          <w:rFonts w:asciiTheme="majorBidi" w:hAnsiTheme="majorBidi" w:cstheme="majorBidi"/>
          <w:sz w:val="20"/>
          <w:szCs w:val="20"/>
        </w:rPr>
        <w:t xml:space="preserve"> and </w:t>
      </w:r>
      <w:proofErr w:type="spellStart"/>
      <w:r>
        <w:rPr>
          <w:rFonts w:asciiTheme="majorBidi" w:hAnsiTheme="majorBidi" w:cstheme="majorBidi"/>
          <w:sz w:val="20"/>
          <w:szCs w:val="20"/>
        </w:rPr>
        <w:t>Rasag’s</w:t>
      </w:r>
      <w:proofErr w:type="spellEnd"/>
      <w:r>
        <w:rPr>
          <w:rFonts w:asciiTheme="majorBidi" w:hAnsiTheme="majorBidi" w:cstheme="majorBidi"/>
          <w:sz w:val="20"/>
          <w:szCs w:val="20"/>
        </w:rPr>
        <w:t xml:space="preserve"> numbers differed slightly</w:t>
      </w:r>
      <w:r w:rsidR="000D638E">
        <w:rPr>
          <w:rFonts w:asciiTheme="majorBidi" w:hAnsiTheme="majorBidi" w:cstheme="majorBidi"/>
          <w:sz w:val="20"/>
          <w:szCs w:val="20"/>
        </w:rPr>
        <w:t>.</w:t>
      </w:r>
      <w:r>
        <w:rPr>
          <w:rFonts w:asciiTheme="majorBidi" w:hAnsiTheme="majorBidi" w:cstheme="majorBidi"/>
          <w:sz w:val="20"/>
          <w:szCs w:val="20"/>
        </w:rPr>
        <w:t xml:space="preserve"> </w:t>
      </w:r>
      <w:proofErr w:type="spellStart"/>
      <w:r>
        <w:rPr>
          <w:rFonts w:asciiTheme="majorBidi" w:hAnsiTheme="majorBidi" w:cstheme="majorBidi"/>
          <w:sz w:val="20"/>
          <w:szCs w:val="20"/>
        </w:rPr>
        <w:t>Rasag</w:t>
      </w:r>
      <w:proofErr w:type="spellEnd"/>
      <w:r>
        <w:rPr>
          <w:rFonts w:asciiTheme="majorBidi" w:hAnsiTheme="majorBidi" w:cstheme="majorBidi"/>
          <w:sz w:val="20"/>
          <w:szCs w:val="20"/>
        </w:rPr>
        <w:t xml:space="preserve"> added 1,335 years to the date of Daniel’s prophecy (which he did not give), to calculate the Messianic arrival (ca. 965 CE – before </w:t>
      </w:r>
      <w:proofErr w:type="spellStart"/>
      <w:r>
        <w:rPr>
          <w:rFonts w:asciiTheme="majorBidi" w:hAnsiTheme="majorBidi" w:cstheme="majorBidi"/>
          <w:sz w:val="20"/>
          <w:szCs w:val="20"/>
        </w:rPr>
        <w:t>Rashi’s</w:t>
      </w:r>
      <w:proofErr w:type="spellEnd"/>
      <w:r>
        <w:rPr>
          <w:rFonts w:asciiTheme="majorBidi" w:hAnsiTheme="majorBidi" w:cstheme="majorBidi"/>
          <w:sz w:val="20"/>
          <w:szCs w:val="20"/>
        </w:rPr>
        <w:t xml:space="preserve"> time). In contrast, </w:t>
      </w:r>
      <w:proofErr w:type="spellStart"/>
      <w:r>
        <w:rPr>
          <w:rFonts w:asciiTheme="majorBidi" w:hAnsiTheme="majorBidi" w:cstheme="majorBidi"/>
          <w:sz w:val="20"/>
          <w:szCs w:val="20"/>
        </w:rPr>
        <w:t>Rashi’s</w:t>
      </w:r>
      <w:proofErr w:type="spellEnd"/>
      <w:r>
        <w:rPr>
          <w:rFonts w:asciiTheme="majorBidi" w:hAnsiTheme="majorBidi" w:cstheme="majorBidi"/>
          <w:sz w:val="20"/>
          <w:szCs w:val="20"/>
        </w:rPr>
        <w:t xml:space="preserve"> method added 1,290 to 62 CE (</w:t>
      </w:r>
      <w:r>
        <w:rPr>
          <w:rFonts w:asciiTheme="majorBidi" w:eastAsiaTheme="minorHAnsi" w:hAnsiTheme="majorBidi" w:cstheme="majorBidi" w:hint="cs"/>
          <w:color w:val="000000"/>
          <w:sz w:val="20"/>
          <w:szCs w:val="20"/>
          <w:rtl/>
          <w:lang w:bidi="he-IL"/>
        </w:rPr>
        <w:t>מעת הוסר התמיד</w:t>
      </w:r>
      <w:r>
        <w:rPr>
          <w:rFonts w:asciiTheme="majorBidi" w:hAnsiTheme="majorBidi" w:cstheme="majorBidi"/>
          <w:sz w:val="20"/>
          <w:szCs w:val="20"/>
        </w:rPr>
        <w:t xml:space="preserve">), thereby arriving at 1352 CE for the messianic advent. </w:t>
      </w:r>
    </w:p>
  </w:footnote>
  <w:footnote w:id="54">
    <w:p w14:paraId="62543784" w14:textId="77777777" w:rsidR="00B057F3" w:rsidRDefault="00B057F3" w:rsidP="00505FAD">
      <w:pPr>
        <w:autoSpaceDE w:val="0"/>
        <w:autoSpaceDN w:val="0"/>
        <w:adjustRightInd w:val="0"/>
        <w:rPr>
          <w:rFonts w:asciiTheme="majorBidi" w:hAnsiTheme="majorBidi" w:cstheme="majorBidi"/>
          <w:sz w:val="20"/>
          <w:szCs w:val="20"/>
        </w:rPr>
      </w:pPr>
      <w:r>
        <w:rPr>
          <w:rStyle w:val="a6"/>
          <w:rFonts w:asciiTheme="majorBidi" w:hAnsiTheme="majorBidi" w:cstheme="majorBidi"/>
          <w:sz w:val="20"/>
          <w:szCs w:val="20"/>
        </w:rPr>
        <w:footnoteRef/>
      </w:r>
      <w:r>
        <w:rPr>
          <w:rFonts w:asciiTheme="majorBidi" w:hAnsiTheme="majorBidi" w:cstheme="majorBidi"/>
          <w:sz w:val="20"/>
          <w:szCs w:val="20"/>
        </w:rPr>
        <w:t xml:space="preserve"> </w:t>
      </w:r>
      <w:proofErr w:type="spellStart"/>
      <w:r>
        <w:rPr>
          <w:rFonts w:asciiTheme="majorBidi" w:hAnsiTheme="majorBidi" w:cstheme="majorBidi"/>
          <w:sz w:val="20"/>
          <w:szCs w:val="20"/>
        </w:rPr>
        <w:t>Kanarfogel</w:t>
      </w:r>
      <w:proofErr w:type="spellEnd"/>
      <w:r>
        <w:rPr>
          <w:rFonts w:asciiTheme="majorBidi" w:hAnsiTheme="majorBidi" w:cstheme="majorBidi"/>
          <w:sz w:val="20"/>
          <w:szCs w:val="20"/>
        </w:rPr>
        <w:t xml:space="preserve"> claims that </w:t>
      </w:r>
      <w:proofErr w:type="spellStart"/>
      <w:r>
        <w:rPr>
          <w:rFonts w:asciiTheme="majorBidi" w:hAnsiTheme="majorBidi" w:cstheme="majorBidi"/>
          <w:sz w:val="20"/>
          <w:szCs w:val="20"/>
        </w:rPr>
        <w:t>Rashi’s</w:t>
      </w:r>
      <w:proofErr w:type="spellEnd"/>
      <w:r>
        <w:rPr>
          <w:rFonts w:asciiTheme="majorBidi" w:hAnsiTheme="majorBidi" w:cstheme="majorBidi"/>
          <w:sz w:val="20"/>
          <w:szCs w:val="20"/>
        </w:rPr>
        <w:t xml:space="preserve"> use of </w:t>
      </w:r>
      <w:proofErr w:type="spellStart"/>
      <w:r w:rsidRPr="00FB1CFF">
        <w:rPr>
          <w:rFonts w:asciiTheme="majorBidi" w:hAnsiTheme="majorBidi" w:cstheme="majorBidi"/>
          <w:i/>
          <w:iCs/>
          <w:sz w:val="20"/>
          <w:szCs w:val="20"/>
        </w:rPr>
        <w:t>gematriya</w:t>
      </w:r>
      <w:proofErr w:type="spellEnd"/>
      <w:r>
        <w:rPr>
          <w:rFonts w:asciiTheme="majorBidi" w:hAnsiTheme="majorBidi" w:cstheme="majorBidi"/>
          <w:sz w:val="20"/>
          <w:szCs w:val="20"/>
        </w:rPr>
        <w:t xml:space="preserve"> here is both plausible and exegetically sound. Furthermore, as his interpretations in the above verses are all unified in one cohesive system, </w:t>
      </w:r>
      <w:proofErr w:type="spellStart"/>
      <w:r>
        <w:rPr>
          <w:rFonts w:asciiTheme="majorBidi" w:hAnsiTheme="majorBidi" w:cstheme="majorBidi"/>
          <w:sz w:val="20"/>
          <w:szCs w:val="20"/>
        </w:rPr>
        <w:t>Rashi’s</w:t>
      </w:r>
      <w:proofErr w:type="spellEnd"/>
      <w:r>
        <w:rPr>
          <w:rFonts w:asciiTheme="majorBidi" w:hAnsiTheme="majorBidi" w:cstheme="majorBidi"/>
          <w:sz w:val="20"/>
          <w:szCs w:val="20"/>
        </w:rPr>
        <w:t xml:space="preserve"> approach should not be seen as purely “exegetical” and remote; rather it should also be considered as “actively” messianic.  </w:t>
      </w:r>
      <w:proofErr w:type="spellStart"/>
      <w:r>
        <w:rPr>
          <w:rFonts w:asciiTheme="majorBidi" w:hAnsiTheme="majorBidi" w:cstheme="majorBidi"/>
          <w:sz w:val="20"/>
          <w:szCs w:val="20"/>
        </w:rPr>
        <w:t>Kanarfogel</w:t>
      </w:r>
      <w:proofErr w:type="spellEnd"/>
      <w:r>
        <w:rPr>
          <w:rFonts w:asciiTheme="majorBidi" w:hAnsiTheme="majorBidi" w:cstheme="majorBidi"/>
          <w:sz w:val="20"/>
          <w:szCs w:val="20"/>
        </w:rPr>
        <w:t>, “Ashkenazic Messianic Calculations,” pp. 383-384.</w:t>
      </w:r>
    </w:p>
  </w:footnote>
  <w:footnote w:id="55">
    <w:p w14:paraId="53E2B2F8" w14:textId="133A967F" w:rsidR="00B057F3" w:rsidRDefault="00B057F3" w:rsidP="00505FAD">
      <w:pPr>
        <w:pStyle w:val="a3"/>
      </w:pPr>
      <w:r>
        <w:rPr>
          <w:rStyle w:val="a6"/>
        </w:rPr>
        <w:footnoteRef/>
      </w:r>
      <w:r>
        <w:t xml:space="preserve"> </w:t>
      </w:r>
      <w:proofErr w:type="spellStart"/>
      <w:r>
        <w:t>Kanarfogel</w:t>
      </w:r>
      <w:proofErr w:type="spellEnd"/>
      <w:r>
        <w:t xml:space="preserve">, </w:t>
      </w:r>
      <w:r>
        <w:rPr>
          <w:rFonts w:asciiTheme="majorBidi" w:hAnsiTheme="majorBidi" w:cstheme="majorBidi"/>
        </w:rPr>
        <w:t>ibid., p. 401.</w:t>
      </w:r>
    </w:p>
  </w:footnote>
  <w:footnote w:id="56">
    <w:p w14:paraId="3AF8C323" w14:textId="29500763" w:rsidR="00B057F3" w:rsidRDefault="00B057F3" w:rsidP="00505FAD">
      <w:pPr>
        <w:autoSpaceDE w:val="0"/>
        <w:autoSpaceDN w:val="0"/>
        <w:adjustRightInd w:val="0"/>
        <w:rPr>
          <w:rFonts w:ascii="David" w:eastAsiaTheme="minorHAnsi" w:hAnsi="David" w:cs="David"/>
          <w:lang w:bidi="he-IL"/>
        </w:rPr>
      </w:pPr>
      <w:r>
        <w:rPr>
          <w:rStyle w:val="a6"/>
          <w:sz w:val="20"/>
          <w:szCs w:val="20"/>
        </w:rPr>
        <w:footnoteRef/>
      </w:r>
      <w:r>
        <w:rPr>
          <w:sz w:val="20"/>
          <w:szCs w:val="20"/>
        </w:rPr>
        <w:t xml:space="preserve"> Indeed, in his commentaries on Torah and </w:t>
      </w:r>
      <w:proofErr w:type="spellStart"/>
      <w:r>
        <w:rPr>
          <w:sz w:val="20"/>
          <w:szCs w:val="20"/>
        </w:rPr>
        <w:t>Megilot</w:t>
      </w:r>
      <w:proofErr w:type="spellEnd"/>
      <w:r>
        <w:rPr>
          <w:sz w:val="20"/>
          <w:szCs w:val="20"/>
        </w:rPr>
        <w:t xml:space="preserve"> alone, Ibn Ezra cites </w:t>
      </w:r>
      <w:proofErr w:type="spellStart"/>
      <w:r>
        <w:rPr>
          <w:sz w:val="20"/>
          <w:szCs w:val="20"/>
        </w:rPr>
        <w:t>Rasag’s</w:t>
      </w:r>
      <w:proofErr w:type="spellEnd"/>
      <w:r>
        <w:rPr>
          <w:sz w:val="20"/>
          <w:szCs w:val="20"/>
        </w:rPr>
        <w:t xml:space="preserve"> writings 284 times and refers to him reverentially. </w:t>
      </w:r>
      <w:proofErr w:type="spellStart"/>
      <w:r>
        <w:rPr>
          <w:sz w:val="20"/>
          <w:szCs w:val="20"/>
        </w:rPr>
        <w:t>Krinsky</w:t>
      </w:r>
      <w:proofErr w:type="spellEnd"/>
      <w:r>
        <w:rPr>
          <w:sz w:val="20"/>
          <w:szCs w:val="20"/>
        </w:rPr>
        <w:t>, Introduction, (</w:t>
      </w:r>
      <w:r>
        <w:rPr>
          <w:rFonts w:ascii="David" w:eastAsiaTheme="minorHAnsi" w:hAnsi="David" w:cs="David"/>
          <w:sz w:val="20"/>
          <w:szCs w:val="20"/>
          <w:rtl/>
          <w:lang w:bidi="he-IL"/>
        </w:rPr>
        <w:t>אות ס'</w:t>
      </w:r>
      <w:r>
        <w:rPr>
          <w:sz w:val="20"/>
          <w:szCs w:val="20"/>
        </w:rPr>
        <w:t>), p. 41.</w:t>
      </w:r>
    </w:p>
  </w:footnote>
  <w:footnote w:id="57">
    <w:p w14:paraId="7462F6E5" w14:textId="77777777" w:rsidR="00B057F3" w:rsidRDefault="00B057F3" w:rsidP="00505FAD">
      <w:pPr>
        <w:pStyle w:val="a3"/>
        <w:rPr>
          <w:rFonts w:asciiTheme="majorBidi" w:hAnsiTheme="majorBidi" w:cstheme="majorBidi"/>
        </w:rPr>
      </w:pPr>
      <w:r>
        <w:rPr>
          <w:rStyle w:val="a6"/>
        </w:rPr>
        <w:footnoteRef/>
      </w:r>
      <w:r>
        <w:t xml:space="preserve"> </w:t>
      </w:r>
      <w:r>
        <w:rPr>
          <w:rFonts w:asciiTheme="majorBidi" w:hAnsiTheme="majorBidi" w:cstheme="majorBidi"/>
        </w:rPr>
        <w:t xml:space="preserve">Ibn Ezra’s </w:t>
      </w:r>
      <w:r>
        <w:t>Short Commentary, Daniel</w:t>
      </w:r>
      <w:r>
        <w:rPr>
          <w:rFonts w:asciiTheme="majorBidi" w:hAnsiTheme="majorBidi" w:cstheme="majorBidi"/>
        </w:rPr>
        <w:t xml:space="preserve"> “The Fourth Prophecy,” </w:t>
      </w:r>
      <w:r>
        <w:t xml:space="preserve">Mondschein ed., </w:t>
      </w:r>
      <w:r>
        <w:rPr>
          <w:rFonts w:asciiTheme="majorBidi" w:hAnsiTheme="majorBidi" w:cstheme="majorBidi"/>
        </w:rPr>
        <w:t xml:space="preserve">pp. 61-62; Long Commentary to Pentateuch II, </w:t>
      </w:r>
      <w:proofErr w:type="spellStart"/>
      <w:r>
        <w:rPr>
          <w:rFonts w:asciiTheme="majorBidi" w:hAnsiTheme="majorBidi" w:cstheme="majorBidi"/>
        </w:rPr>
        <w:t>Mikraot</w:t>
      </w:r>
      <w:proofErr w:type="spellEnd"/>
      <w:r>
        <w:rPr>
          <w:rFonts w:asciiTheme="majorBidi" w:hAnsiTheme="majorBidi" w:cstheme="majorBidi"/>
        </w:rPr>
        <w:t xml:space="preserve"> </w:t>
      </w:r>
      <w:proofErr w:type="spellStart"/>
      <w:r>
        <w:rPr>
          <w:rFonts w:asciiTheme="majorBidi" w:hAnsiTheme="majorBidi" w:cstheme="majorBidi"/>
        </w:rPr>
        <w:t>Gedolot</w:t>
      </w:r>
      <w:proofErr w:type="spellEnd"/>
      <w:r>
        <w:rPr>
          <w:rFonts w:asciiTheme="majorBidi" w:hAnsiTheme="majorBidi" w:cstheme="majorBidi"/>
        </w:rPr>
        <w:t>, Dan. 9:24.</w:t>
      </w:r>
    </w:p>
  </w:footnote>
  <w:footnote w:id="58">
    <w:p w14:paraId="13A69F96" w14:textId="77777777" w:rsidR="00B057F3" w:rsidRDefault="00B057F3" w:rsidP="00505FAD">
      <w:pPr>
        <w:pStyle w:val="a3"/>
      </w:pPr>
      <w:r>
        <w:rPr>
          <w:rStyle w:val="a6"/>
        </w:rPr>
        <w:footnoteRef/>
      </w:r>
      <w:r>
        <w:t xml:space="preserve"> Ibn Ezra’s </w:t>
      </w:r>
      <w:r>
        <w:rPr>
          <w:rFonts w:asciiTheme="majorBidi" w:hAnsiTheme="majorBidi" w:cstheme="majorBidi"/>
        </w:rPr>
        <w:t xml:space="preserve">Long Commentary II, Dan. 12:11; Ibn Ezra’s </w:t>
      </w:r>
      <w:r>
        <w:t xml:space="preserve">Short Commentary, Daniel, “The Fourth Vision,” Mondschein ed., </w:t>
      </w:r>
      <w:r>
        <w:rPr>
          <w:rFonts w:asciiTheme="majorBidi" w:hAnsiTheme="majorBidi" w:cstheme="majorBidi"/>
        </w:rPr>
        <w:t>pp. 61, 62, 76.</w:t>
      </w:r>
    </w:p>
  </w:footnote>
  <w:footnote w:id="59">
    <w:p w14:paraId="7A4502A6" w14:textId="0DE1E369" w:rsidR="00B057F3" w:rsidRDefault="00B057F3" w:rsidP="00505FAD">
      <w:pPr>
        <w:pStyle w:val="a3"/>
      </w:pPr>
      <w:r>
        <w:rPr>
          <w:rStyle w:val="a6"/>
        </w:rPr>
        <w:footnoteRef/>
      </w:r>
      <w:r>
        <w:t xml:space="preserve"> For a similar analysis, see Ibn Ezra’s elucidation on the term </w:t>
      </w:r>
      <w:r>
        <w:rPr>
          <w:rFonts w:asciiTheme="majorBidi" w:hAnsiTheme="majorBidi" w:cstheme="majorBidi"/>
        </w:rPr>
        <w:t>(</w:t>
      </w:r>
      <w:r>
        <w:rPr>
          <w:rFonts w:asciiTheme="majorBidi" w:eastAsiaTheme="minorHAnsi" w:hAnsiTheme="majorBidi" w:cstheme="majorBidi" w:hint="cs"/>
          <w:color w:val="000000"/>
          <w:rtl/>
          <w:lang w:bidi="he-IL"/>
        </w:rPr>
        <w:t>בין הערבים</w:t>
      </w:r>
      <w:r>
        <w:rPr>
          <w:rFonts w:asciiTheme="majorBidi" w:hAnsiTheme="majorBidi" w:cstheme="majorBidi"/>
        </w:rPr>
        <w:t>) in</w:t>
      </w:r>
      <w:r>
        <w:t xml:space="preserve"> Long Commentary to Pentateuch II, MG</w:t>
      </w:r>
      <w:r>
        <w:rPr>
          <w:rFonts w:asciiTheme="majorBidi" w:hAnsiTheme="majorBidi" w:cstheme="majorBidi"/>
        </w:rPr>
        <w:t xml:space="preserve"> </w:t>
      </w:r>
      <w:proofErr w:type="spellStart"/>
      <w:r>
        <w:t>Shemot</w:t>
      </w:r>
      <w:proofErr w:type="spellEnd"/>
      <w:r>
        <w:t xml:space="preserve"> 12:6.  Similarly, see Mondschein, </w:t>
      </w:r>
      <w:r>
        <w:rPr>
          <w:rFonts w:asciiTheme="majorBidi" w:hAnsiTheme="majorBidi" w:cstheme="majorBidi"/>
        </w:rPr>
        <w:t xml:space="preserve">Short Commentary, </w:t>
      </w:r>
      <w:r>
        <w:t>Daniel, “The Fourth Vision,” p.75, n. 82.</w:t>
      </w:r>
    </w:p>
  </w:footnote>
  <w:footnote w:id="60">
    <w:p w14:paraId="44838D3F"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Ibn </w:t>
      </w:r>
      <w:r>
        <w:t xml:space="preserve">Ezra’s </w:t>
      </w:r>
      <w:r>
        <w:rPr>
          <w:rFonts w:asciiTheme="majorBidi" w:hAnsiTheme="majorBidi" w:cstheme="majorBidi"/>
        </w:rPr>
        <w:t xml:space="preserve">Long Commentary II, Dan. 12:11; Ibn Ezra’s Short Commentary, </w:t>
      </w:r>
      <w:r>
        <w:t xml:space="preserve">Daniel, “The Fourth Vision,” Mondschein ed., </w:t>
      </w:r>
      <w:r>
        <w:rPr>
          <w:rFonts w:asciiTheme="majorBidi" w:hAnsiTheme="majorBidi" w:cstheme="majorBidi"/>
        </w:rPr>
        <w:t xml:space="preserve">pp. 74-75.  Ibn Ezra identifies the northern kingdom as Rome, and the southern one as Egypt. </w:t>
      </w:r>
      <w:r>
        <w:t xml:space="preserve">Ibn Ezra’s </w:t>
      </w:r>
      <w:r>
        <w:rPr>
          <w:rFonts w:asciiTheme="majorBidi" w:hAnsiTheme="majorBidi" w:cstheme="majorBidi"/>
        </w:rPr>
        <w:t>Long Commentary II, Dan. 11:40.</w:t>
      </w:r>
    </w:p>
  </w:footnote>
  <w:footnote w:id="61">
    <w:p w14:paraId="05CE75F1" w14:textId="38539F85" w:rsidR="00B057F3" w:rsidRDefault="00B057F3" w:rsidP="00505FAD">
      <w:pPr>
        <w:pStyle w:val="a3"/>
      </w:pPr>
      <w:r>
        <w:rPr>
          <w:rStyle w:val="a6"/>
        </w:rPr>
        <w:footnoteRef/>
      </w:r>
      <w:r>
        <w:t xml:space="preserve"> While his exegetical position is the same, Ibn Ezra identifies the Greek king differently in his Short and Long Commentaries.  In his Short Commentary, he refers to a Greek king, “</w:t>
      </w:r>
      <w:proofErr w:type="spellStart"/>
      <w:r>
        <w:t>Geskelgas</w:t>
      </w:r>
      <w:proofErr w:type="spellEnd"/>
      <w:r>
        <w:t xml:space="preserve">.”  Short Commentary Daniel, Mondschein ed., “The Second Prophecy,” (Ch. 8), pp. 28-29, n. 29.  In his Long Commentary II (citing Josephus), he refers to “King Antiochus who fell off a roof and died” (IE </w:t>
      </w:r>
      <w:r w:rsidR="00283421">
        <w:t xml:space="preserve">Dan. </w:t>
      </w:r>
      <w:r>
        <w:t xml:space="preserve">8:25-27).   </w:t>
      </w:r>
    </w:p>
  </w:footnote>
  <w:footnote w:id="62">
    <w:p w14:paraId="5C8F6009"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Rasag’s</w:t>
      </w:r>
      <w:proofErr w:type="spellEnd"/>
      <w:r>
        <w:rPr>
          <w:rFonts w:asciiTheme="majorBidi" w:hAnsiTheme="majorBidi" w:cstheme="majorBidi"/>
        </w:rPr>
        <w:t xml:space="preserve"> cohesive method of messianic calculations in Daniel was practiced in part by </w:t>
      </w:r>
      <w:proofErr w:type="spellStart"/>
      <w:r>
        <w:rPr>
          <w:rFonts w:asciiTheme="majorBidi" w:hAnsiTheme="majorBidi" w:cstheme="majorBidi"/>
        </w:rPr>
        <w:t>Rashi</w:t>
      </w:r>
      <w:proofErr w:type="spellEnd"/>
      <w:r>
        <w:rPr>
          <w:rFonts w:asciiTheme="majorBidi" w:hAnsiTheme="majorBidi" w:cstheme="majorBidi"/>
        </w:rPr>
        <w:t xml:space="preserve">, although most likely, Ibn Ezra was not aware of that when he wrote his short </w:t>
      </w:r>
      <w:proofErr w:type="spellStart"/>
      <w:r>
        <w:rPr>
          <w:rFonts w:asciiTheme="majorBidi" w:hAnsiTheme="majorBidi" w:cstheme="majorBidi"/>
          <w:i/>
        </w:rPr>
        <w:t>perush</w:t>
      </w:r>
      <w:proofErr w:type="spellEnd"/>
      <w:r>
        <w:rPr>
          <w:rFonts w:asciiTheme="majorBidi" w:hAnsiTheme="majorBidi" w:cstheme="majorBidi"/>
        </w:rPr>
        <w:t xml:space="preserve">, during his early time in Italy. </w:t>
      </w:r>
    </w:p>
  </w:footnote>
  <w:footnote w:id="63">
    <w:p w14:paraId="03643009" w14:textId="7B1B889B" w:rsidR="00B057F3" w:rsidRDefault="00B057F3" w:rsidP="00505FAD">
      <w:pPr>
        <w:autoSpaceDE w:val="0"/>
        <w:autoSpaceDN w:val="0"/>
        <w:adjustRightInd w:val="0"/>
        <w:rPr>
          <w:rFonts w:asciiTheme="majorBidi" w:hAnsiTheme="majorBidi" w:cstheme="majorBidi"/>
          <w:sz w:val="20"/>
          <w:szCs w:val="20"/>
        </w:rPr>
      </w:pPr>
      <w:r>
        <w:rPr>
          <w:rStyle w:val="a6"/>
          <w:rFonts w:asciiTheme="majorBidi" w:hAnsiTheme="majorBidi" w:cstheme="majorBidi"/>
          <w:sz w:val="20"/>
          <w:szCs w:val="20"/>
        </w:rPr>
        <w:footnoteRef/>
      </w:r>
      <w:r>
        <w:rPr>
          <w:rFonts w:asciiTheme="majorBidi" w:hAnsiTheme="majorBidi" w:cstheme="majorBidi"/>
          <w:sz w:val="20"/>
          <w:szCs w:val="20"/>
        </w:rPr>
        <w:t xml:space="preserve"> Ibn Ezra’s Short Commentary, “Fourth Prophecy,” ibid. p. 62; </w:t>
      </w:r>
      <w:r w:rsidR="0086083C">
        <w:rPr>
          <w:rFonts w:asciiTheme="majorBidi" w:hAnsiTheme="majorBidi" w:cstheme="majorBidi"/>
          <w:sz w:val="20"/>
          <w:szCs w:val="20"/>
        </w:rPr>
        <w:t xml:space="preserve">also </w:t>
      </w:r>
      <w:r>
        <w:rPr>
          <w:rFonts w:asciiTheme="majorBidi" w:hAnsiTheme="majorBidi" w:cstheme="majorBidi"/>
          <w:sz w:val="20"/>
          <w:szCs w:val="20"/>
        </w:rPr>
        <w:t xml:space="preserve">in Ibn Ezra’s Long Commentary II, Dan. 9:24.  See also A. Mondschein, “On the Attitude of R. Abraham Ibn Ezra to the Exegetical Usage of the Hermeneutic Norm </w:t>
      </w:r>
      <w:proofErr w:type="spellStart"/>
      <w:r>
        <w:rPr>
          <w:rFonts w:asciiTheme="majorBidi" w:hAnsiTheme="majorBidi" w:cstheme="majorBidi"/>
          <w:i/>
          <w:sz w:val="20"/>
          <w:szCs w:val="20"/>
        </w:rPr>
        <w:t>Gematria</w:t>
      </w:r>
      <w:proofErr w:type="spellEnd"/>
      <w:r>
        <w:rPr>
          <w:rFonts w:asciiTheme="majorBidi" w:hAnsiTheme="majorBidi" w:cstheme="majorBidi"/>
          <w:sz w:val="20"/>
          <w:szCs w:val="20"/>
        </w:rPr>
        <w:t xml:space="preserve">” [in Hebrew], </w:t>
      </w:r>
      <w:proofErr w:type="spellStart"/>
      <w:r>
        <w:rPr>
          <w:rFonts w:asciiTheme="majorBidi" w:hAnsiTheme="majorBidi" w:cstheme="majorBidi"/>
          <w:i/>
          <w:sz w:val="20"/>
          <w:szCs w:val="20"/>
        </w:rPr>
        <w:t>Teudah</w:t>
      </w:r>
      <w:proofErr w:type="spellEnd"/>
      <w:r>
        <w:rPr>
          <w:rFonts w:asciiTheme="majorBidi" w:hAnsiTheme="majorBidi" w:cstheme="majorBidi"/>
          <w:sz w:val="20"/>
          <w:szCs w:val="20"/>
        </w:rPr>
        <w:t xml:space="preserve"> 8 (</w:t>
      </w:r>
      <w:proofErr w:type="spellStart"/>
      <w:r>
        <w:rPr>
          <w:rFonts w:asciiTheme="majorBidi" w:hAnsiTheme="majorBidi" w:cstheme="majorBidi"/>
          <w:i/>
          <w:sz w:val="20"/>
          <w:szCs w:val="20"/>
        </w:rPr>
        <w:t>Mechkarim</w:t>
      </w:r>
      <w:proofErr w:type="spellEnd"/>
      <w:r>
        <w:rPr>
          <w:rFonts w:asciiTheme="majorBidi" w:hAnsiTheme="majorBidi" w:cstheme="majorBidi"/>
          <w:i/>
          <w:sz w:val="20"/>
          <w:szCs w:val="20"/>
        </w:rPr>
        <w:t xml:space="preserve"> bi-</w:t>
      </w:r>
      <w:proofErr w:type="spellStart"/>
      <w:r>
        <w:rPr>
          <w:rFonts w:asciiTheme="majorBidi" w:hAnsiTheme="majorBidi" w:cstheme="majorBidi"/>
          <w:i/>
          <w:sz w:val="20"/>
          <w:szCs w:val="20"/>
        </w:rPr>
        <w:t>Yetsirato</w:t>
      </w:r>
      <w:proofErr w:type="spellEnd"/>
      <w:r>
        <w:rPr>
          <w:rFonts w:asciiTheme="majorBidi" w:hAnsiTheme="majorBidi" w:cstheme="majorBidi"/>
          <w:i/>
          <w:sz w:val="20"/>
          <w:szCs w:val="20"/>
        </w:rPr>
        <w:t xml:space="preserve"> </w:t>
      </w:r>
      <w:proofErr w:type="spellStart"/>
      <w:r>
        <w:rPr>
          <w:rFonts w:asciiTheme="majorBidi" w:hAnsiTheme="majorBidi" w:cstheme="majorBidi"/>
          <w:i/>
          <w:sz w:val="20"/>
          <w:szCs w:val="20"/>
        </w:rPr>
        <w:t>shel</w:t>
      </w:r>
      <w:proofErr w:type="spellEnd"/>
      <w:r>
        <w:rPr>
          <w:rFonts w:asciiTheme="majorBidi" w:hAnsiTheme="majorBidi" w:cstheme="majorBidi"/>
          <w:i/>
          <w:sz w:val="20"/>
          <w:szCs w:val="20"/>
        </w:rPr>
        <w:t xml:space="preserve"> Avraham Ibn Ezra</w:t>
      </w:r>
      <w:r>
        <w:rPr>
          <w:rFonts w:asciiTheme="majorBidi" w:hAnsiTheme="majorBidi" w:cstheme="majorBidi"/>
          <w:sz w:val="20"/>
          <w:szCs w:val="20"/>
        </w:rPr>
        <w:t>), (1992), p. 145.</w:t>
      </w:r>
    </w:p>
  </w:footnote>
  <w:footnote w:id="64">
    <w:p w14:paraId="359378ED" w14:textId="6A549399" w:rsidR="00B057F3" w:rsidRDefault="00B057F3" w:rsidP="00505FAD">
      <w:pPr>
        <w:autoSpaceDE w:val="0"/>
        <w:autoSpaceDN w:val="0"/>
        <w:adjustRightInd w:val="0"/>
        <w:rPr>
          <w:rFonts w:asciiTheme="majorBidi" w:eastAsiaTheme="minorHAnsi" w:hAnsiTheme="majorBidi" w:cstheme="majorBidi"/>
          <w:sz w:val="20"/>
          <w:szCs w:val="20"/>
          <w:lang w:bidi="he-IL"/>
        </w:rPr>
      </w:pPr>
      <w:r>
        <w:rPr>
          <w:rStyle w:val="a6"/>
          <w:rFonts w:asciiTheme="majorBidi" w:hAnsiTheme="majorBidi" w:cstheme="majorBidi"/>
        </w:rPr>
        <w:footnoteRef/>
      </w:r>
      <w:r>
        <w:rPr>
          <w:rFonts w:asciiTheme="majorBidi" w:hAnsiTheme="majorBidi" w:cstheme="majorBidi"/>
          <w:sz w:val="20"/>
          <w:szCs w:val="20"/>
        </w:rPr>
        <w:t>(</w:t>
      </w:r>
      <w:r>
        <w:rPr>
          <w:rFonts w:asciiTheme="majorBidi" w:eastAsiaTheme="minorHAnsi" w:hAnsiTheme="majorBidi" w:cstheme="majorBidi" w:hint="cs"/>
          <w:color w:val="000000"/>
          <w:sz w:val="20"/>
          <w:szCs w:val="20"/>
          <w:rtl/>
          <w:lang w:bidi="he-IL"/>
        </w:rPr>
        <w:t>הכל הבל, וכבר עבר זמנם משנים רבות</w:t>
      </w:r>
      <w:r>
        <w:rPr>
          <w:rFonts w:asciiTheme="majorBidi" w:hAnsiTheme="majorBidi" w:cstheme="majorBidi"/>
          <w:color w:val="000000"/>
          <w:sz w:val="20"/>
          <w:szCs w:val="20"/>
        </w:rPr>
        <w:t xml:space="preserve">). </w:t>
      </w:r>
      <w:r>
        <w:rPr>
          <w:rFonts w:asciiTheme="majorBidi" w:hAnsiTheme="majorBidi" w:cstheme="majorBidi"/>
          <w:sz w:val="20"/>
          <w:szCs w:val="20"/>
        </w:rPr>
        <w:t xml:space="preserve">Ibn Ezra’s Short Commentary, Daniel, “Second Prophecy,” p. 29, n. 39; see also Ibn Ezra’s Long Commentary II on Daniel (8:14). </w:t>
      </w:r>
    </w:p>
  </w:footnote>
  <w:footnote w:id="65">
    <w:p w14:paraId="7592E3A7"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Ibn Ezra’s Long Commentary II on Daniel (11:31) [translation mine]. Also cited in A. Mondschein, “</w:t>
      </w:r>
      <w:r>
        <w:rPr>
          <w:rFonts w:asciiTheme="majorBidi" w:hAnsiTheme="majorBidi" w:cstheme="majorBidi"/>
          <w:i/>
        </w:rPr>
        <w:t>On the Attitude of R. Abraham Ibn Ezra to… Gematria</w:t>
      </w:r>
      <w:r>
        <w:rPr>
          <w:rFonts w:asciiTheme="majorBidi" w:hAnsiTheme="majorBidi" w:cstheme="majorBidi"/>
        </w:rPr>
        <w:t xml:space="preserve">,” p. 144.   Similarly, on Daniel’s statement, “And I heard, but I did not understand” (12:8), Ibn Ezra states: “And behold, it is clear that Daniel did not comprehend the End – the arrival of the Redeemer.” </w:t>
      </w:r>
    </w:p>
  </w:footnote>
  <w:footnote w:id="66">
    <w:p w14:paraId="1F34696B" w14:textId="7D165D1B"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A. Mondschein, “</w:t>
      </w:r>
      <w:r>
        <w:rPr>
          <w:rFonts w:asciiTheme="majorBidi" w:hAnsiTheme="majorBidi" w:cstheme="majorBidi"/>
          <w:i/>
        </w:rPr>
        <w:t>On the Attitude of R. Abraham Ibn Ezra to… Gematria</w:t>
      </w:r>
      <w:r>
        <w:rPr>
          <w:rFonts w:asciiTheme="majorBidi" w:hAnsiTheme="majorBidi" w:cstheme="majorBidi"/>
        </w:rPr>
        <w:t>,” pp. 137-160</w:t>
      </w:r>
      <w:r w:rsidR="00DE4C89">
        <w:rPr>
          <w:rFonts w:asciiTheme="majorBidi" w:hAnsiTheme="majorBidi" w:cstheme="majorBidi"/>
        </w:rPr>
        <w:t>, esp. p.144</w:t>
      </w:r>
      <w:r>
        <w:rPr>
          <w:rFonts w:asciiTheme="majorBidi" w:hAnsiTheme="majorBidi" w:cstheme="majorBidi"/>
        </w:rPr>
        <w:t>.</w:t>
      </w:r>
    </w:p>
  </w:footnote>
  <w:footnote w:id="67">
    <w:p w14:paraId="38BCE924" w14:textId="54D1E61D" w:rsidR="00B057F3" w:rsidRDefault="00B057F3" w:rsidP="00502027">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Rashi</w:t>
      </w:r>
      <w:proofErr w:type="spellEnd"/>
      <w:r>
        <w:rPr>
          <w:rFonts w:asciiTheme="majorBidi" w:hAnsiTheme="majorBidi" w:cstheme="majorBidi"/>
        </w:rPr>
        <w:t xml:space="preserve"> clearly identifies the first three kingdoms in Nebuchadnezzar’s vision according to the view of </w:t>
      </w:r>
      <w:proofErr w:type="spellStart"/>
      <w:r w:rsidR="00007191" w:rsidRPr="00007191">
        <w:rPr>
          <w:rFonts w:asciiTheme="majorBidi" w:hAnsiTheme="majorBidi" w:cstheme="majorBidi"/>
          <w:i/>
        </w:rPr>
        <w:t>H</w:t>
      </w:r>
      <w:r w:rsidRPr="00007191">
        <w:rPr>
          <w:rFonts w:asciiTheme="majorBidi" w:hAnsiTheme="majorBidi" w:cstheme="majorBidi"/>
          <w:i/>
        </w:rPr>
        <w:t>azal</w:t>
      </w:r>
      <w:proofErr w:type="spellEnd"/>
      <w:r>
        <w:rPr>
          <w:rFonts w:asciiTheme="majorBidi" w:hAnsiTheme="majorBidi" w:cstheme="majorBidi"/>
        </w:rPr>
        <w:t xml:space="preserve"> (Dan. 2:39).  His commentary, however, does not identity the fourth kingdom (Rome) in this dream, simply calling it “difficult” (2:40).  Rather, he identifies Rome only by allusion in later verses (</w:t>
      </w:r>
      <w:r w:rsidR="00502027">
        <w:rPr>
          <w:rFonts w:asciiTheme="majorBidi" w:hAnsiTheme="majorBidi" w:cstheme="majorBidi"/>
        </w:rPr>
        <w:t>e.g.,</w:t>
      </w:r>
      <w:r>
        <w:rPr>
          <w:rFonts w:asciiTheme="majorBidi" w:hAnsiTheme="majorBidi" w:cstheme="majorBidi"/>
        </w:rPr>
        <w:t xml:space="preserve"> in stating that the eternal heavenly kingdom would be established “while the reign of the Romans was still ongoing” [2:44].)  This is likely due to medieval censorship. A. Grossman notes in the context of another messianic topic</w:t>
      </w:r>
      <w:r w:rsidR="00502027">
        <w:rPr>
          <w:rFonts w:asciiTheme="majorBidi" w:hAnsiTheme="majorBidi" w:cstheme="majorBidi"/>
        </w:rPr>
        <w:t xml:space="preserve"> </w:t>
      </w:r>
      <w:r w:rsidR="00502027" w:rsidRPr="00502027">
        <w:rPr>
          <w:rFonts w:asciiTheme="majorBidi" w:hAnsiTheme="majorBidi" w:cstheme="majorBidi"/>
        </w:rPr>
        <w:t>–</w:t>
      </w:r>
      <w:r w:rsidR="00502027">
        <w:rPr>
          <w:rFonts w:asciiTheme="majorBidi" w:hAnsiTheme="majorBidi" w:cstheme="majorBidi"/>
        </w:rPr>
        <w:t xml:space="preserve"> </w:t>
      </w:r>
      <w:r>
        <w:rPr>
          <w:rFonts w:asciiTheme="majorBidi" w:hAnsiTheme="majorBidi" w:cstheme="majorBidi"/>
        </w:rPr>
        <w:t>the fate of the gentiles at the End of Days</w:t>
      </w:r>
      <w:r w:rsidR="00502027">
        <w:rPr>
          <w:rFonts w:asciiTheme="majorBidi" w:hAnsiTheme="majorBidi" w:cstheme="majorBidi"/>
        </w:rPr>
        <w:t xml:space="preserve"> </w:t>
      </w:r>
      <w:r w:rsidR="00502027" w:rsidRPr="00502027">
        <w:rPr>
          <w:rFonts w:asciiTheme="majorBidi" w:hAnsiTheme="majorBidi" w:cstheme="majorBidi"/>
        </w:rPr>
        <w:t>–</w:t>
      </w:r>
      <w:r>
        <w:rPr>
          <w:rFonts w:asciiTheme="majorBidi" w:hAnsiTheme="majorBidi" w:cstheme="majorBidi"/>
        </w:rPr>
        <w:t xml:space="preserve"> that the printed edition of </w:t>
      </w:r>
      <w:proofErr w:type="spellStart"/>
      <w:r>
        <w:rPr>
          <w:rFonts w:asciiTheme="majorBidi" w:hAnsiTheme="majorBidi" w:cstheme="majorBidi"/>
          <w:i/>
        </w:rPr>
        <w:t>perush</w:t>
      </w:r>
      <w:proofErr w:type="spellEnd"/>
      <w:r>
        <w:rPr>
          <w:rFonts w:asciiTheme="majorBidi" w:hAnsiTheme="majorBidi" w:cstheme="majorBidi"/>
        </w:rPr>
        <w:t xml:space="preserve"> </w:t>
      </w:r>
      <w:proofErr w:type="spellStart"/>
      <w:r>
        <w:rPr>
          <w:rFonts w:asciiTheme="majorBidi" w:hAnsiTheme="majorBidi" w:cstheme="majorBidi"/>
        </w:rPr>
        <w:t>Rashi</w:t>
      </w:r>
      <w:proofErr w:type="spellEnd"/>
      <w:r>
        <w:rPr>
          <w:rFonts w:asciiTheme="majorBidi" w:hAnsiTheme="majorBidi" w:cstheme="majorBidi"/>
        </w:rPr>
        <w:t xml:space="preserve"> on Isaiah and Psalms frequently showed the more innocuous term “Amalek,” instead of </w:t>
      </w:r>
      <w:proofErr w:type="spellStart"/>
      <w:r>
        <w:rPr>
          <w:rFonts w:asciiTheme="majorBidi" w:hAnsiTheme="majorBidi" w:cstheme="majorBidi"/>
        </w:rPr>
        <w:t>Rashi’s</w:t>
      </w:r>
      <w:proofErr w:type="spellEnd"/>
      <w:r>
        <w:rPr>
          <w:rFonts w:asciiTheme="majorBidi" w:hAnsiTheme="majorBidi" w:cstheme="majorBidi"/>
        </w:rPr>
        <w:t xml:space="preserve"> term “</w:t>
      </w:r>
      <w:proofErr w:type="spellStart"/>
      <w:r>
        <w:rPr>
          <w:rFonts w:asciiTheme="majorBidi" w:hAnsiTheme="majorBidi" w:cstheme="majorBidi"/>
        </w:rPr>
        <w:t>Esav</w:t>
      </w:r>
      <w:proofErr w:type="spellEnd"/>
      <w:r>
        <w:rPr>
          <w:rFonts w:asciiTheme="majorBidi" w:hAnsiTheme="majorBidi" w:cstheme="majorBidi"/>
        </w:rPr>
        <w:t>” (reference to Rome). See A. Grossman, “‘Redemption by conversion’ in the teachings of early Ashkenazi sages,” Zion LIX-4 (1994), 336, n. 27.</w:t>
      </w:r>
    </w:p>
  </w:footnote>
  <w:footnote w:id="68">
    <w:p w14:paraId="4248D78E" w14:textId="659A99E6"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H. </w:t>
      </w:r>
      <w:proofErr w:type="spellStart"/>
      <w:r>
        <w:rPr>
          <w:rFonts w:asciiTheme="majorBidi" w:hAnsiTheme="majorBidi" w:cstheme="majorBidi"/>
        </w:rPr>
        <w:t>Goldwurm</w:t>
      </w:r>
      <w:proofErr w:type="spellEnd"/>
      <w:r>
        <w:rPr>
          <w:rFonts w:asciiTheme="majorBidi" w:hAnsiTheme="majorBidi" w:cstheme="majorBidi"/>
        </w:rPr>
        <w:t xml:space="preserve">, “Prefatory Note to v. 40,” </w:t>
      </w:r>
      <w:r>
        <w:rPr>
          <w:rFonts w:asciiTheme="majorBidi" w:hAnsiTheme="majorBidi" w:cstheme="majorBidi"/>
          <w:i/>
          <w:iCs/>
        </w:rPr>
        <w:t>Daniel: A New Translation</w:t>
      </w:r>
      <w:r>
        <w:rPr>
          <w:rFonts w:asciiTheme="majorBidi" w:hAnsiTheme="majorBidi" w:cstheme="majorBidi"/>
        </w:rPr>
        <w:t xml:space="preserve">, trans. by H. </w:t>
      </w:r>
      <w:proofErr w:type="spellStart"/>
      <w:r>
        <w:rPr>
          <w:rFonts w:asciiTheme="majorBidi" w:hAnsiTheme="majorBidi" w:cstheme="majorBidi"/>
        </w:rPr>
        <w:t>Goldwurm</w:t>
      </w:r>
      <w:proofErr w:type="spellEnd"/>
      <w:r>
        <w:rPr>
          <w:rFonts w:asciiTheme="majorBidi" w:hAnsiTheme="majorBidi" w:cstheme="majorBidi"/>
        </w:rPr>
        <w:t>, p. 104.  See also Mondschein, ed., Ibn Ezra’s Short Commentary on Daniel, “Nebuchadnezzar’s Dream,” p. 20, n. 15, (p. 109).</w:t>
      </w:r>
    </w:p>
  </w:footnote>
  <w:footnote w:id="69">
    <w:p w14:paraId="7F823561" w14:textId="16C712F0"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w:t>
      </w:r>
      <w:r w:rsidR="00502027">
        <w:rPr>
          <w:rFonts w:asciiTheme="majorBidi" w:hAnsiTheme="majorBidi" w:cstheme="majorBidi"/>
        </w:rPr>
        <w:t>E.g.,</w:t>
      </w:r>
      <w:r>
        <w:rPr>
          <w:rFonts w:asciiTheme="majorBidi" w:hAnsiTheme="majorBidi" w:cstheme="majorBidi"/>
        </w:rPr>
        <w:t xml:space="preserve"> </w:t>
      </w:r>
      <w:proofErr w:type="spellStart"/>
      <w:r>
        <w:rPr>
          <w:rFonts w:asciiTheme="majorBidi" w:hAnsiTheme="majorBidi" w:cstheme="majorBidi"/>
        </w:rPr>
        <w:t>Ovadiah’s</w:t>
      </w:r>
      <w:proofErr w:type="spellEnd"/>
      <w:r>
        <w:rPr>
          <w:rFonts w:asciiTheme="majorBidi" w:hAnsiTheme="majorBidi" w:cstheme="majorBidi"/>
        </w:rPr>
        <w:t xml:space="preserve"> prophecy of Edom’s obliteration (“For your violence against your brother Yaakov, shame shall cover you, and you shall be cut off forever” [1:9]) is classically understood by </w:t>
      </w:r>
      <w:proofErr w:type="spellStart"/>
      <w:r w:rsidR="00007191" w:rsidRPr="00007191">
        <w:rPr>
          <w:rFonts w:asciiTheme="majorBidi" w:hAnsiTheme="majorBidi" w:cstheme="majorBidi"/>
          <w:i/>
          <w:iCs/>
        </w:rPr>
        <w:t>H</w:t>
      </w:r>
      <w:r w:rsidRPr="00007191">
        <w:rPr>
          <w:rFonts w:asciiTheme="majorBidi" w:hAnsiTheme="majorBidi" w:cstheme="majorBidi"/>
          <w:i/>
          <w:iCs/>
        </w:rPr>
        <w:t>azal</w:t>
      </w:r>
      <w:proofErr w:type="spellEnd"/>
      <w:r>
        <w:rPr>
          <w:rFonts w:asciiTheme="majorBidi" w:hAnsiTheme="majorBidi" w:cstheme="majorBidi"/>
        </w:rPr>
        <w:t xml:space="preserve"> and medieval exegetes – including </w:t>
      </w:r>
      <w:proofErr w:type="spellStart"/>
      <w:r>
        <w:rPr>
          <w:rFonts w:asciiTheme="majorBidi" w:hAnsiTheme="majorBidi" w:cstheme="majorBidi"/>
        </w:rPr>
        <w:t>Rashi</w:t>
      </w:r>
      <w:proofErr w:type="spellEnd"/>
      <w:r>
        <w:rPr>
          <w:rFonts w:asciiTheme="majorBidi" w:hAnsiTheme="majorBidi" w:cstheme="majorBidi"/>
        </w:rPr>
        <w:t xml:space="preserve"> and </w:t>
      </w:r>
      <w:proofErr w:type="spellStart"/>
      <w:r>
        <w:rPr>
          <w:rFonts w:asciiTheme="majorBidi" w:hAnsiTheme="majorBidi" w:cstheme="majorBidi"/>
        </w:rPr>
        <w:t>Radak</w:t>
      </w:r>
      <w:proofErr w:type="spellEnd"/>
      <w:r>
        <w:rPr>
          <w:rFonts w:asciiTheme="majorBidi" w:hAnsiTheme="majorBidi" w:cstheme="majorBidi"/>
        </w:rPr>
        <w:t xml:space="preserve"> (but not Ibn Ezra), as occurring in at the End of Days.</w:t>
      </w:r>
    </w:p>
  </w:footnote>
  <w:footnote w:id="70">
    <w:p w14:paraId="4146BF6D" w14:textId="14588375"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Ibn Ezra’s Short Commentary, </w:t>
      </w:r>
      <w:r>
        <w:t>Daniel, Mondschein, ed.,</w:t>
      </w:r>
      <w:r>
        <w:rPr>
          <w:rFonts w:asciiTheme="majorBidi" w:hAnsiTheme="majorBidi" w:cstheme="majorBidi"/>
        </w:rPr>
        <w:t xml:space="preserve"> “First Prophecy,” p. 20, n. 1-2, (p. 97). </w:t>
      </w:r>
    </w:p>
  </w:footnote>
  <w:footnote w:id="71">
    <w:p w14:paraId="522A95BC" w14:textId="22B7DF1F"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Ibn Ezra’s Short Commentary, </w:t>
      </w:r>
      <w:r>
        <w:t>Daniel, Mondschein, ed.,</w:t>
      </w:r>
      <w:r>
        <w:rPr>
          <w:rFonts w:asciiTheme="majorBidi" w:hAnsiTheme="majorBidi" w:cstheme="majorBidi"/>
        </w:rPr>
        <w:t xml:space="preserve"> “First Prophecy,” p. 20, n. 15-16 (p. 109).  </w:t>
      </w:r>
      <w:proofErr w:type="spellStart"/>
      <w:r>
        <w:rPr>
          <w:rFonts w:asciiTheme="majorBidi" w:hAnsiTheme="majorBidi" w:cstheme="majorBidi"/>
        </w:rPr>
        <w:t>Mondschein</w:t>
      </w:r>
      <w:proofErr w:type="spellEnd"/>
      <w:r>
        <w:rPr>
          <w:rFonts w:asciiTheme="majorBidi" w:hAnsiTheme="majorBidi" w:cstheme="majorBidi"/>
        </w:rPr>
        <w:t xml:space="preserve"> clarifies </w:t>
      </w:r>
      <w:proofErr w:type="spellStart"/>
      <w:r>
        <w:rPr>
          <w:rFonts w:asciiTheme="majorBidi" w:hAnsiTheme="majorBidi" w:cstheme="majorBidi"/>
        </w:rPr>
        <w:t>Rasag’s</w:t>
      </w:r>
      <w:proofErr w:type="spellEnd"/>
      <w:r>
        <w:rPr>
          <w:rFonts w:asciiTheme="majorBidi" w:hAnsiTheme="majorBidi" w:cstheme="majorBidi"/>
        </w:rPr>
        <w:t xml:space="preserve"> interpretation of the fourth beast – Rome, working together with “the little horn,” Ishmael. </w:t>
      </w:r>
    </w:p>
  </w:footnote>
  <w:footnote w:id="72">
    <w:p w14:paraId="46BF1EAB" w14:textId="033501A0"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Ibn Ezra maintains consistently that Rome and Greece are one kingdom. For example, his short </w:t>
      </w:r>
      <w:proofErr w:type="spellStart"/>
      <w:r>
        <w:rPr>
          <w:rFonts w:asciiTheme="majorBidi" w:hAnsiTheme="majorBidi" w:cstheme="majorBidi"/>
          <w:i/>
        </w:rPr>
        <w:t>perush</w:t>
      </w:r>
      <w:proofErr w:type="spellEnd"/>
      <w:r>
        <w:rPr>
          <w:rFonts w:asciiTheme="majorBidi" w:hAnsiTheme="majorBidi" w:cstheme="majorBidi"/>
        </w:rPr>
        <w:t xml:space="preserve"> on Daniel’s First Vision reads: “The third kingdom [was] likened to a leopard, namely, Alexander. And its four wings (7:6) [represent] the four kings who reigned after him, as his empire was divided into four regions, one of them being the kingdom of Rome</w:t>
      </w:r>
      <w:r w:rsidR="005D27FB">
        <w:rPr>
          <w:rFonts w:asciiTheme="majorBidi" w:hAnsiTheme="majorBidi" w:cstheme="majorBidi"/>
        </w:rPr>
        <w:t>,</w:t>
      </w:r>
      <w:r>
        <w:rPr>
          <w:rFonts w:asciiTheme="majorBidi" w:hAnsiTheme="majorBidi" w:cstheme="majorBidi"/>
        </w:rPr>
        <w:t>”</w:t>
      </w:r>
      <w:r>
        <w:rPr>
          <w:rFonts w:ascii="Arial" w:hAnsi="Arial" w:cs="Arial"/>
          <w:sz w:val="16"/>
          <w:szCs w:val="16"/>
        </w:rPr>
        <w:t xml:space="preserve"> </w:t>
      </w:r>
      <w:r w:rsidR="005D27FB">
        <w:rPr>
          <w:rFonts w:ascii="Arial" w:hAnsi="Arial" w:cs="Arial"/>
          <w:sz w:val="16"/>
          <w:szCs w:val="16"/>
        </w:rPr>
        <w:t>i</w:t>
      </w:r>
      <w:r>
        <w:rPr>
          <w:rFonts w:asciiTheme="majorBidi" w:hAnsiTheme="majorBidi" w:cstheme="majorBidi"/>
        </w:rPr>
        <w:t>bid., p. 20, n.13.  Similarly, in his Long Commentary II on Nebuchadnezzar’s dream, Ibn Ezra claims Alexander of Greece is the king of “Aram.” As Aram was referred to as “</w:t>
      </w:r>
      <w:proofErr w:type="spellStart"/>
      <w:r>
        <w:rPr>
          <w:rFonts w:asciiTheme="majorBidi" w:hAnsiTheme="majorBidi" w:cstheme="majorBidi"/>
        </w:rPr>
        <w:t>Kittim</w:t>
      </w:r>
      <w:proofErr w:type="spellEnd"/>
      <w:r>
        <w:rPr>
          <w:rFonts w:asciiTheme="majorBidi" w:hAnsiTheme="majorBidi" w:cstheme="majorBidi"/>
        </w:rPr>
        <w:t xml:space="preserve">” and translated by the Targum as </w:t>
      </w:r>
      <w:proofErr w:type="spellStart"/>
      <w:r>
        <w:rPr>
          <w:rFonts w:asciiTheme="majorBidi" w:hAnsiTheme="majorBidi" w:cstheme="majorBidi"/>
          <w:i/>
        </w:rPr>
        <w:t>Romai</w:t>
      </w:r>
      <w:proofErr w:type="spellEnd"/>
      <w:r>
        <w:rPr>
          <w:rFonts w:asciiTheme="majorBidi" w:hAnsiTheme="majorBidi" w:cstheme="majorBidi"/>
        </w:rPr>
        <w:t xml:space="preserve"> (Rome) in </w:t>
      </w:r>
      <w:proofErr w:type="spellStart"/>
      <w:r>
        <w:rPr>
          <w:rFonts w:asciiTheme="majorBidi" w:hAnsiTheme="majorBidi" w:cstheme="majorBidi"/>
        </w:rPr>
        <w:t>Balak’s</w:t>
      </w:r>
      <w:proofErr w:type="spellEnd"/>
      <w:r>
        <w:rPr>
          <w:rFonts w:asciiTheme="majorBidi" w:hAnsiTheme="majorBidi" w:cstheme="majorBidi"/>
        </w:rPr>
        <w:t xml:space="preserve"> prophecy, they are the same person (Num. 24:24).  Ibn Ezra also comments on the biblical verse identifying </w:t>
      </w:r>
      <w:proofErr w:type="spellStart"/>
      <w:r>
        <w:rPr>
          <w:rFonts w:asciiTheme="majorBidi" w:hAnsiTheme="majorBidi" w:cstheme="majorBidi"/>
          <w:i/>
        </w:rPr>
        <w:t>Kittim</w:t>
      </w:r>
      <w:proofErr w:type="spellEnd"/>
      <w:r>
        <w:rPr>
          <w:rFonts w:asciiTheme="majorBidi" w:hAnsiTheme="majorBidi" w:cstheme="majorBidi"/>
        </w:rPr>
        <w:t xml:space="preserve"> as one of the sons of </w:t>
      </w:r>
      <w:proofErr w:type="spellStart"/>
      <w:r>
        <w:rPr>
          <w:rFonts w:asciiTheme="majorBidi" w:hAnsiTheme="majorBidi" w:cstheme="majorBidi"/>
          <w:i/>
        </w:rPr>
        <w:t>Yavan</w:t>
      </w:r>
      <w:proofErr w:type="spellEnd"/>
      <w:r>
        <w:rPr>
          <w:rFonts w:asciiTheme="majorBidi" w:hAnsiTheme="majorBidi" w:cstheme="majorBidi"/>
        </w:rPr>
        <w:t xml:space="preserve">, “Therefore I said in… Daniel, that the kingdoms of </w:t>
      </w:r>
      <w:proofErr w:type="spellStart"/>
      <w:r>
        <w:rPr>
          <w:rFonts w:asciiTheme="majorBidi" w:hAnsiTheme="majorBidi" w:cstheme="majorBidi"/>
          <w:i/>
        </w:rPr>
        <w:t>Yavan</w:t>
      </w:r>
      <w:proofErr w:type="spellEnd"/>
      <w:r>
        <w:rPr>
          <w:rFonts w:asciiTheme="majorBidi" w:hAnsiTheme="majorBidi" w:cstheme="majorBidi"/>
        </w:rPr>
        <w:t xml:space="preserve"> and </w:t>
      </w:r>
      <w:r>
        <w:rPr>
          <w:rFonts w:asciiTheme="majorBidi" w:hAnsiTheme="majorBidi" w:cstheme="majorBidi"/>
          <w:i/>
        </w:rPr>
        <w:t>Romi</w:t>
      </w:r>
      <w:r>
        <w:rPr>
          <w:rFonts w:asciiTheme="majorBidi" w:hAnsiTheme="majorBidi" w:cstheme="majorBidi"/>
        </w:rPr>
        <w:t xml:space="preserve"> (Rome) are one” (Gen. 10:4). Also referenced in Ibn Ezra’s Short Commentary on Daniel, Mondschein ed., Appendix 1, p. 201.</w:t>
      </w:r>
    </w:p>
  </w:footnote>
  <w:footnote w:id="73">
    <w:p w14:paraId="2D086A01" w14:textId="10D00FF9"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Ibn Ezra consistently maintains throughout his biblical exegesis that the current (third) Exile is not that of Edom, but of </w:t>
      </w:r>
      <w:proofErr w:type="spellStart"/>
      <w:r>
        <w:rPr>
          <w:rFonts w:asciiTheme="majorBidi" w:hAnsiTheme="majorBidi" w:cstheme="majorBidi"/>
        </w:rPr>
        <w:t>Yavan</w:t>
      </w:r>
      <w:proofErr w:type="spellEnd"/>
      <w:r w:rsidR="00D70091">
        <w:rPr>
          <w:rFonts w:asciiTheme="majorBidi" w:hAnsiTheme="majorBidi" w:cstheme="majorBidi"/>
        </w:rPr>
        <w:t>,</w:t>
      </w:r>
      <w:r>
        <w:rPr>
          <w:rFonts w:asciiTheme="majorBidi" w:hAnsiTheme="majorBidi" w:cstheme="majorBidi"/>
        </w:rPr>
        <w:t xml:space="preserve"> </w:t>
      </w:r>
      <w:r w:rsidR="00D70091">
        <w:rPr>
          <w:rFonts w:asciiTheme="majorBidi" w:hAnsiTheme="majorBidi" w:cstheme="majorBidi"/>
        </w:rPr>
        <w:t>e</w:t>
      </w:r>
      <w:r>
        <w:rPr>
          <w:rFonts w:asciiTheme="majorBidi" w:hAnsiTheme="majorBidi" w:cstheme="majorBidi"/>
        </w:rPr>
        <w:t>.g.</w:t>
      </w:r>
      <w:r w:rsidR="00D70091">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i/>
        </w:rPr>
        <w:t>Yefet</w:t>
      </w:r>
      <w:proofErr w:type="spellEnd"/>
      <w:r>
        <w:rPr>
          <w:rFonts w:asciiTheme="majorBidi" w:hAnsiTheme="majorBidi" w:cstheme="majorBidi"/>
        </w:rPr>
        <w:t xml:space="preserve"> is from the sons of </w:t>
      </w:r>
      <w:proofErr w:type="spellStart"/>
      <w:r>
        <w:rPr>
          <w:rFonts w:asciiTheme="majorBidi" w:hAnsiTheme="majorBidi" w:cstheme="majorBidi"/>
          <w:i/>
        </w:rPr>
        <w:t>Yavan</w:t>
      </w:r>
      <w:proofErr w:type="spellEnd"/>
      <w:r>
        <w:rPr>
          <w:rFonts w:asciiTheme="majorBidi" w:hAnsiTheme="majorBidi" w:cstheme="majorBidi"/>
        </w:rPr>
        <w:t xml:space="preserve">; so… we are in the </w:t>
      </w:r>
      <w:proofErr w:type="spellStart"/>
      <w:r>
        <w:rPr>
          <w:rFonts w:asciiTheme="majorBidi" w:hAnsiTheme="majorBidi" w:cstheme="majorBidi"/>
          <w:i/>
        </w:rPr>
        <w:t>Galut</w:t>
      </w:r>
      <w:proofErr w:type="spellEnd"/>
      <w:r>
        <w:rPr>
          <w:rFonts w:asciiTheme="majorBidi" w:hAnsiTheme="majorBidi" w:cstheme="majorBidi"/>
        </w:rPr>
        <w:t xml:space="preserve"> of</w:t>
      </w:r>
      <w:r>
        <w:rPr>
          <w:rFonts w:asciiTheme="majorBidi" w:hAnsiTheme="majorBidi" w:cstheme="majorBidi"/>
          <w:i/>
        </w:rPr>
        <w:t xml:space="preserve"> </w:t>
      </w:r>
      <w:proofErr w:type="spellStart"/>
      <w:r>
        <w:rPr>
          <w:rFonts w:asciiTheme="majorBidi" w:hAnsiTheme="majorBidi" w:cstheme="majorBidi"/>
          <w:i/>
        </w:rPr>
        <w:t>B’nei</w:t>
      </w:r>
      <w:proofErr w:type="spellEnd"/>
      <w:r>
        <w:rPr>
          <w:rFonts w:asciiTheme="majorBidi" w:hAnsiTheme="majorBidi" w:cstheme="majorBidi"/>
        </w:rPr>
        <w:t xml:space="preserve"> </w:t>
      </w:r>
      <w:proofErr w:type="spellStart"/>
      <w:r>
        <w:rPr>
          <w:rFonts w:asciiTheme="majorBidi" w:hAnsiTheme="majorBidi" w:cstheme="majorBidi"/>
          <w:i/>
        </w:rPr>
        <w:t>Yefet</w:t>
      </w:r>
      <w:proofErr w:type="spellEnd"/>
      <w:r>
        <w:rPr>
          <w:rFonts w:asciiTheme="majorBidi" w:hAnsiTheme="majorBidi" w:cstheme="majorBidi"/>
        </w:rPr>
        <w:t xml:space="preserve"> – not in </w:t>
      </w:r>
      <w:proofErr w:type="spellStart"/>
      <w:r>
        <w:rPr>
          <w:rFonts w:asciiTheme="majorBidi" w:hAnsiTheme="majorBidi" w:cstheme="majorBidi"/>
          <w:i/>
        </w:rPr>
        <w:t>Galut</w:t>
      </w:r>
      <w:proofErr w:type="spellEnd"/>
      <w:r>
        <w:rPr>
          <w:rFonts w:asciiTheme="majorBidi" w:hAnsiTheme="majorBidi" w:cstheme="majorBidi"/>
        </w:rPr>
        <w:t xml:space="preserve"> Edom” (Gen. 10:1).  He further claims independently that </w:t>
      </w:r>
      <w:proofErr w:type="spellStart"/>
      <w:r>
        <w:rPr>
          <w:rFonts w:asciiTheme="majorBidi" w:hAnsiTheme="majorBidi" w:cstheme="majorBidi"/>
        </w:rPr>
        <w:t>Ovadiah’s</w:t>
      </w:r>
      <w:proofErr w:type="spellEnd"/>
      <w:r>
        <w:rPr>
          <w:rFonts w:asciiTheme="majorBidi" w:hAnsiTheme="majorBidi" w:cstheme="majorBidi"/>
        </w:rPr>
        <w:t xml:space="preserve"> prophecy of Edom’s destruction was not messianic, as Edom had already been decimated in the aftermath of the destruction of the First Temple and was no longer in existence (</w:t>
      </w:r>
      <w:proofErr w:type="spellStart"/>
      <w:r>
        <w:rPr>
          <w:rFonts w:asciiTheme="majorBidi" w:hAnsiTheme="majorBidi" w:cstheme="majorBidi"/>
        </w:rPr>
        <w:t>Ovadiah</w:t>
      </w:r>
      <w:proofErr w:type="spellEnd"/>
      <w:r>
        <w:rPr>
          <w:rFonts w:asciiTheme="majorBidi" w:hAnsiTheme="majorBidi" w:cstheme="majorBidi"/>
        </w:rPr>
        <w:t xml:space="preserve"> 1:10).  (See</w:t>
      </w:r>
      <w:r w:rsidR="005D27FB">
        <w:rPr>
          <w:rFonts w:asciiTheme="majorBidi" w:hAnsiTheme="majorBidi" w:cstheme="majorBidi"/>
        </w:rPr>
        <w:t xml:space="preserve"> above,</w:t>
      </w:r>
      <w:r>
        <w:rPr>
          <w:rFonts w:asciiTheme="majorBidi" w:hAnsiTheme="majorBidi" w:cstheme="majorBidi"/>
        </w:rPr>
        <w:t xml:space="preserve"> n. 66.)</w:t>
      </w:r>
    </w:p>
  </w:footnote>
  <w:footnote w:id="74">
    <w:p w14:paraId="36D760B6" w14:textId="1074CD89" w:rsidR="00B057F3" w:rsidRDefault="00B057F3" w:rsidP="00505FAD">
      <w:pPr>
        <w:autoSpaceDE w:val="0"/>
        <w:autoSpaceDN w:val="0"/>
        <w:adjustRightInd w:val="0"/>
        <w:rPr>
          <w:rFonts w:asciiTheme="majorBidi" w:eastAsiaTheme="minorHAnsi" w:hAnsiTheme="majorBidi" w:cstheme="majorBidi"/>
          <w:sz w:val="20"/>
          <w:szCs w:val="20"/>
          <w:lang w:bidi="he-IL"/>
        </w:rPr>
      </w:pPr>
      <w:r>
        <w:rPr>
          <w:rStyle w:val="a6"/>
          <w:rFonts w:asciiTheme="majorBidi" w:hAnsiTheme="majorBidi" w:cstheme="majorBidi"/>
        </w:rPr>
        <w:footnoteRef/>
      </w:r>
      <w:r>
        <w:rPr>
          <w:rFonts w:asciiTheme="majorBidi" w:hAnsiTheme="majorBidi" w:cstheme="majorBidi"/>
          <w:sz w:val="20"/>
          <w:szCs w:val="20"/>
        </w:rPr>
        <w:t xml:space="preserve"> Ibn Ezra’s Long Commentary on Dan. 2:40 (</w:t>
      </w:r>
      <w:r>
        <w:rPr>
          <w:rFonts w:asciiTheme="majorBidi" w:eastAsiaTheme="minorHAnsi" w:hAnsiTheme="majorBidi" w:cstheme="majorBidi" w:hint="cs"/>
          <w:color w:val="000000"/>
          <w:sz w:val="20"/>
          <w:szCs w:val="20"/>
          <w:rtl/>
          <w:lang w:bidi="he-IL"/>
        </w:rPr>
        <w:t>ואיך תתחבר מלכות ישמעאל עם מלכות ארם ... ואין תורתם אחת</w:t>
      </w:r>
      <w:r>
        <w:rPr>
          <w:rFonts w:asciiTheme="majorBidi" w:hAnsiTheme="majorBidi" w:cstheme="majorBidi"/>
          <w:sz w:val="20"/>
          <w:szCs w:val="20"/>
        </w:rPr>
        <w:t>).</w:t>
      </w:r>
    </w:p>
  </w:footnote>
  <w:footnote w:id="75">
    <w:p w14:paraId="7FA5F05E" w14:textId="77777777" w:rsidR="00B057F3" w:rsidRDefault="00B057F3" w:rsidP="00505FAD">
      <w:pPr>
        <w:autoSpaceDE w:val="0"/>
        <w:autoSpaceDN w:val="0"/>
        <w:adjustRightInd w:val="0"/>
        <w:rPr>
          <w:rFonts w:asciiTheme="majorBidi" w:eastAsiaTheme="minorHAnsi" w:hAnsiTheme="majorBidi" w:cstheme="majorBidi"/>
          <w:sz w:val="20"/>
          <w:szCs w:val="20"/>
          <w:lang w:bidi="he-IL"/>
        </w:rPr>
      </w:pPr>
      <w:r>
        <w:rPr>
          <w:rStyle w:val="a6"/>
          <w:rFonts w:asciiTheme="majorBidi" w:hAnsiTheme="majorBidi" w:cstheme="majorBidi"/>
        </w:rPr>
        <w:footnoteRef/>
      </w:r>
      <w:r>
        <w:rPr>
          <w:rFonts w:asciiTheme="majorBidi" w:hAnsiTheme="majorBidi" w:cstheme="majorBidi"/>
          <w:sz w:val="20"/>
          <w:szCs w:val="20"/>
        </w:rPr>
        <w:t xml:space="preserve"> Dan. 2:40 </w:t>
      </w:r>
      <w:r>
        <w:rPr>
          <w:rFonts w:asciiTheme="majorBidi" w:eastAsiaTheme="minorHAnsi" w:hAnsiTheme="majorBidi" w:cstheme="majorBidi" w:hint="cs"/>
          <w:color w:val="000000"/>
          <w:sz w:val="20"/>
          <w:szCs w:val="20"/>
          <w:rtl/>
          <w:lang w:bidi="he-IL"/>
        </w:rPr>
        <w:t>שתי מלכויות, מלכות ארם שהוא מלכות יון ומלכות ישמעאל, ואלו השתים מלכויות ביום הזה</w:t>
      </w:r>
    </w:p>
  </w:footnote>
  <w:footnote w:id="76">
    <w:p w14:paraId="1C034694"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Ibid.</w:t>
      </w:r>
    </w:p>
  </w:footnote>
  <w:footnote w:id="77">
    <w:p w14:paraId="44B75C21" w14:textId="77777777" w:rsidR="00B057F3" w:rsidRDefault="00B057F3" w:rsidP="00505FAD">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Dan. 7:14. Ibn Ezra states:  The fourth beast’s obliteration is unlike the fate of the three earlier beasts, “[whose] dominion was taken away, yet [whose] lives were prolonged for a season and a time” (Dan. 7:11-12).</w:t>
      </w:r>
    </w:p>
  </w:footnote>
  <w:footnote w:id="78">
    <w:p w14:paraId="495638F3" w14:textId="644DB0BC" w:rsidR="00B057F3" w:rsidRDefault="00B057F3" w:rsidP="00CB1991">
      <w:pPr>
        <w:pStyle w:val="a3"/>
        <w:rPr>
          <w:rFonts w:asciiTheme="majorBidi" w:hAnsiTheme="majorBidi" w:cstheme="majorBidi"/>
        </w:rPr>
      </w:pPr>
      <w:r>
        <w:rPr>
          <w:rStyle w:val="a6"/>
          <w:rFonts w:asciiTheme="majorBidi" w:hAnsiTheme="majorBidi" w:cstheme="majorBidi"/>
        </w:rPr>
        <w:footnoteRef/>
      </w:r>
      <w:r>
        <w:rPr>
          <w:rFonts w:asciiTheme="majorBidi" w:hAnsiTheme="majorBidi" w:cstheme="majorBidi"/>
        </w:rPr>
        <w:t xml:space="preserve"> Ibn Ezra’s emphasis on futuristic Jewish vengeance against the Gentiles – Islam, in his paradigm</w:t>
      </w:r>
      <w:r w:rsidR="00CB1991">
        <w:rPr>
          <w:rFonts w:asciiTheme="majorBidi" w:hAnsiTheme="majorBidi" w:cstheme="majorBidi"/>
        </w:rPr>
        <w:t xml:space="preserve"> </w:t>
      </w:r>
      <w:r w:rsidR="00CB1991" w:rsidRPr="00CB1991">
        <w:rPr>
          <w:rFonts w:asciiTheme="majorBidi" w:hAnsiTheme="majorBidi" w:cstheme="majorBidi"/>
        </w:rPr>
        <w:t>–</w:t>
      </w:r>
      <w:r>
        <w:rPr>
          <w:rFonts w:asciiTheme="majorBidi" w:hAnsiTheme="majorBidi" w:cstheme="majorBidi"/>
        </w:rPr>
        <w:t xml:space="preserve"> counters Yuval’s claim of an absolute dichotomy between medieval Sephardic and Ashkenazic exegetes on this topic.  Yuval posits Ashkenazim characteristically believed in a “vengeful Redemption” (i.e.</w:t>
      </w:r>
      <w:r w:rsidR="00CB1991">
        <w:rPr>
          <w:rFonts w:asciiTheme="majorBidi" w:hAnsiTheme="majorBidi" w:cstheme="majorBidi"/>
        </w:rPr>
        <w:t>,</w:t>
      </w:r>
      <w:r>
        <w:rPr>
          <w:rFonts w:asciiTheme="majorBidi" w:hAnsiTheme="majorBidi" w:cstheme="majorBidi"/>
        </w:rPr>
        <w:t xml:space="preserve"> exclusively Jewish), while Sephardim supported a “conversionary Redemption</w:t>
      </w:r>
      <w:r w:rsidR="007500D8">
        <w:rPr>
          <w:rFonts w:asciiTheme="majorBidi" w:hAnsiTheme="majorBidi" w:cstheme="majorBidi"/>
        </w:rPr>
        <w:t>,</w:t>
      </w:r>
      <w:r>
        <w:rPr>
          <w:rFonts w:asciiTheme="majorBidi" w:hAnsiTheme="majorBidi" w:cstheme="majorBidi"/>
        </w:rPr>
        <w:t xml:space="preserve">” </w:t>
      </w:r>
      <w:proofErr w:type="spellStart"/>
      <w:r w:rsidR="007500D8">
        <w:rPr>
          <w:rFonts w:asciiTheme="majorBidi" w:hAnsiTheme="majorBidi" w:cstheme="majorBidi"/>
        </w:rPr>
        <w:t>i.e</w:t>
      </w:r>
      <w:proofErr w:type="spellEnd"/>
      <w:r w:rsidR="007500D8">
        <w:rPr>
          <w:rFonts w:asciiTheme="majorBidi" w:hAnsiTheme="majorBidi" w:cstheme="majorBidi"/>
        </w:rPr>
        <w:t xml:space="preserve">, </w:t>
      </w:r>
      <w:r>
        <w:rPr>
          <w:rFonts w:asciiTheme="majorBidi" w:hAnsiTheme="majorBidi" w:cstheme="majorBidi"/>
        </w:rPr>
        <w:t xml:space="preserve">a universalistic model (Yuval, </w:t>
      </w:r>
      <w:proofErr w:type="spellStart"/>
      <w:r>
        <w:rPr>
          <w:rFonts w:asciiTheme="majorBidi" w:hAnsiTheme="majorBidi" w:cstheme="majorBidi"/>
          <w:i/>
        </w:rPr>
        <w:t>Sh’nei</w:t>
      </w:r>
      <w:proofErr w:type="spellEnd"/>
      <w:r>
        <w:rPr>
          <w:rFonts w:asciiTheme="majorBidi" w:hAnsiTheme="majorBidi" w:cstheme="majorBidi"/>
          <w:i/>
        </w:rPr>
        <w:t xml:space="preserve"> Goyim be-</w:t>
      </w:r>
      <w:proofErr w:type="spellStart"/>
      <w:r>
        <w:rPr>
          <w:rFonts w:asciiTheme="majorBidi" w:hAnsiTheme="majorBidi" w:cstheme="majorBidi"/>
          <w:i/>
        </w:rPr>
        <w:t>Vitnech</w:t>
      </w:r>
      <w:proofErr w:type="spellEnd"/>
      <w:r>
        <w:rPr>
          <w:rFonts w:asciiTheme="majorBidi" w:hAnsiTheme="majorBidi" w:cstheme="majorBidi"/>
        </w:rPr>
        <w:t xml:space="preserve">, pp. 109-131).  He notes that Ibn Ezra interprets the term </w:t>
      </w:r>
      <w:r>
        <w:rPr>
          <w:rFonts w:asciiTheme="majorBidi" w:hAnsiTheme="majorBidi" w:cstheme="majorBidi"/>
          <w:i/>
        </w:rPr>
        <w:t>Edom</w:t>
      </w:r>
      <w:r>
        <w:rPr>
          <w:rFonts w:asciiTheme="majorBidi" w:hAnsiTheme="majorBidi" w:cstheme="majorBidi"/>
        </w:rPr>
        <w:t xml:space="preserve"> in numerous biblical passages prophesying messianic vengeance as referring to “biblical Edom and not Rome,” (</w:t>
      </w:r>
      <w:r w:rsidR="00CB1991">
        <w:rPr>
          <w:rFonts w:asciiTheme="majorBidi" w:hAnsiTheme="majorBidi" w:cstheme="majorBidi"/>
        </w:rPr>
        <w:t>ibid</w:t>
      </w:r>
      <w:r>
        <w:rPr>
          <w:rFonts w:asciiTheme="majorBidi" w:hAnsiTheme="majorBidi" w:cstheme="majorBidi"/>
        </w:rPr>
        <w:t>., p. 126).  However, Yuval’s conclusion that Ibn Ezra typified “the Sephardic view of conversionary Redemption, instead of [the Ashkenazic] stance of vengeful Redemption” is incorrect. Indeed, Ibn Ezra saw the theme of vengeance as an integral precursor of the Redemption; however, in his view, the vengeance was aimed at the religion of his native Spain (Islam), (e.g.</w:t>
      </w:r>
      <w:r w:rsidR="00CB1991">
        <w:rPr>
          <w:rFonts w:asciiTheme="majorBidi" w:hAnsiTheme="majorBidi" w:cstheme="majorBidi"/>
        </w:rPr>
        <w:t>,</w:t>
      </w:r>
      <w:r>
        <w:rPr>
          <w:rFonts w:asciiTheme="majorBidi" w:hAnsiTheme="majorBidi" w:cstheme="majorBidi"/>
        </w:rPr>
        <w:t xml:space="preserve"> Ibn Ezra on Dan. 12:1), rather than on the Christian world in which he ended up.  See also A. Grossman, “Redemption by conversion,” pp. 325-242, for his rejection of Yuval’s monolithic stance viz. medieval Ashkenazic sages.  Grossman illustrates that Ashkenazic rabbis, including </w:t>
      </w:r>
      <w:proofErr w:type="spellStart"/>
      <w:r>
        <w:rPr>
          <w:rFonts w:asciiTheme="majorBidi" w:hAnsiTheme="majorBidi" w:cstheme="majorBidi"/>
        </w:rPr>
        <w:t>Rabbenu</w:t>
      </w:r>
      <w:proofErr w:type="spellEnd"/>
      <w:r>
        <w:rPr>
          <w:rFonts w:asciiTheme="majorBidi" w:hAnsiTheme="majorBidi" w:cstheme="majorBidi"/>
        </w:rPr>
        <w:t xml:space="preserve"> Gershom and </w:t>
      </w:r>
      <w:proofErr w:type="spellStart"/>
      <w:r>
        <w:rPr>
          <w:rFonts w:asciiTheme="majorBidi" w:hAnsiTheme="majorBidi" w:cstheme="majorBidi"/>
        </w:rPr>
        <w:t>Rashi</w:t>
      </w:r>
      <w:proofErr w:type="spellEnd"/>
      <w:r>
        <w:rPr>
          <w:rFonts w:asciiTheme="majorBidi" w:hAnsiTheme="majorBidi" w:cstheme="majorBidi"/>
        </w:rPr>
        <w:t>, supported a “two-tiered system,” which incorporated the conversion of Gentiles after the period of vengeance.  He further shows that the theme of pre-messianic vengeance had ancient Jewish origins (biblical, Talmudic and apocalyptic) and was not an exclusively Ashkenazic</w:t>
      </w:r>
      <w:r w:rsidR="007500D8">
        <w:rPr>
          <w:rFonts w:asciiTheme="majorBidi" w:hAnsiTheme="majorBidi" w:cstheme="majorBidi"/>
        </w:rPr>
        <w:t xml:space="preserve">, </w:t>
      </w:r>
      <w:r>
        <w:rPr>
          <w:rFonts w:asciiTheme="majorBidi" w:hAnsiTheme="majorBidi" w:cstheme="majorBidi"/>
        </w:rPr>
        <w:t>anti-Christian notion.</w:t>
      </w:r>
    </w:p>
  </w:footnote>
  <w:footnote w:id="79">
    <w:p w14:paraId="0BD3AFC0" w14:textId="77777777" w:rsidR="00B057F3" w:rsidRDefault="00B057F3" w:rsidP="00505FAD">
      <w:pPr>
        <w:autoSpaceDE w:val="0"/>
        <w:autoSpaceDN w:val="0"/>
        <w:adjustRightInd w:val="0"/>
        <w:rPr>
          <w:rFonts w:asciiTheme="majorBidi" w:eastAsiaTheme="minorHAnsi" w:hAnsiTheme="majorBidi" w:cstheme="majorBidi"/>
          <w:sz w:val="20"/>
          <w:szCs w:val="20"/>
          <w:lang w:bidi="he-IL"/>
        </w:rPr>
      </w:pPr>
      <w:r>
        <w:rPr>
          <w:rStyle w:val="a6"/>
          <w:rFonts w:asciiTheme="majorBidi" w:hAnsiTheme="majorBidi" w:cstheme="majorBidi"/>
        </w:rPr>
        <w:footnoteRef/>
      </w:r>
      <w:r>
        <w:rPr>
          <w:rFonts w:asciiTheme="majorBidi" w:hAnsiTheme="majorBidi" w:cstheme="majorBidi"/>
          <w:sz w:val="20"/>
          <w:szCs w:val="20"/>
        </w:rPr>
        <w:t xml:space="preserve"> </w:t>
      </w:r>
      <w:proofErr w:type="spellStart"/>
      <w:r>
        <w:rPr>
          <w:rFonts w:asciiTheme="majorBidi" w:hAnsiTheme="majorBidi" w:cstheme="majorBidi"/>
          <w:sz w:val="20"/>
          <w:szCs w:val="20"/>
        </w:rPr>
        <w:t>Sela</w:t>
      </w:r>
      <w:proofErr w:type="spellEnd"/>
      <w:r>
        <w:rPr>
          <w:rFonts w:asciiTheme="majorBidi" w:hAnsiTheme="majorBidi" w:cstheme="majorBidi"/>
          <w:sz w:val="20"/>
          <w:szCs w:val="20"/>
        </w:rPr>
        <w:t xml:space="preserve"> and </w:t>
      </w:r>
      <w:proofErr w:type="spellStart"/>
      <w:r>
        <w:rPr>
          <w:rFonts w:asciiTheme="majorBidi" w:hAnsiTheme="majorBidi" w:cstheme="majorBidi"/>
          <w:sz w:val="20"/>
          <w:szCs w:val="20"/>
        </w:rPr>
        <w:t>Fruedenthal</w:t>
      </w:r>
      <w:proofErr w:type="spellEnd"/>
      <w:r>
        <w:rPr>
          <w:rFonts w:asciiTheme="majorBidi" w:hAnsiTheme="majorBidi" w:cstheme="majorBidi"/>
          <w:sz w:val="20"/>
          <w:szCs w:val="20"/>
        </w:rPr>
        <w:t xml:space="preserve">, “Abraham Ibn Ezra’s Scholarly Writings,” p. 18. See also A. Mondschein, ed., </w:t>
      </w:r>
      <w:r w:rsidRPr="00FB1CFF">
        <w:rPr>
          <w:rFonts w:asciiTheme="majorBidi" w:hAnsiTheme="majorBidi" w:cstheme="majorBidi"/>
          <w:i/>
          <w:iCs/>
          <w:sz w:val="20"/>
          <w:szCs w:val="20"/>
        </w:rPr>
        <w:t>Ibn Ezra’s Short Commentary on Daniel</w:t>
      </w:r>
      <w:r>
        <w:rPr>
          <w:rFonts w:asciiTheme="majorBidi" w:hAnsiTheme="majorBidi" w:cstheme="majorBidi"/>
          <w:sz w:val="20"/>
          <w:szCs w:val="20"/>
        </w:rPr>
        <w:t xml:space="preserve"> (Ramat Gan, 1977), Introduction, (</w:t>
      </w:r>
      <w:r>
        <w:rPr>
          <w:rFonts w:asciiTheme="majorBidi" w:eastAsiaTheme="minorHAnsi" w:hAnsiTheme="majorBidi" w:cstheme="majorBidi" w:hint="cs"/>
          <w:color w:val="000000"/>
          <w:sz w:val="20"/>
          <w:szCs w:val="20"/>
          <w:rtl/>
          <w:lang w:bidi="he-IL"/>
        </w:rPr>
        <w:t>כ</w:t>
      </w:r>
      <w:r>
        <w:rPr>
          <w:rFonts w:asciiTheme="majorBidi" w:hAnsiTheme="majorBidi" w:cstheme="majorBidi"/>
          <w:sz w:val="20"/>
          <w:szCs w:val="20"/>
        </w:rPr>
        <w:t>).</w:t>
      </w:r>
    </w:p>
  </w:footnote>
  <w:footnote w:id="80">
    <w:p w14:paraId="530A1AB0" w14:textId="5E9C0CA7" w:rsidR="00B057F3" w:rsidRDefault="00B057F3" w:rsidP="00505FAD">
      <w:pPr>
        <w:autoSpaceDE w:val="0"/>
        <w:autoSpaceDN w:val="0"/>
        <w:adjustRightInd w:val="0"/>
        <w:rPr>
          <w:rFonts w:ascii="David" w:eastAsiaTheme="minorHAnsi" w:hAnsi="David" w:cs="David"/>
          <w:lang w:bidi="he-IL"/>
        </w:rPr>
      </w:pPr>
      <w:r>
        <w:rPr>
          <w:rStyle w:val="a6"/>
          <w:rFonts w:asciiTheme="majorBidi" w:hAnsiTheme="majorBidi" w:cstheme="majorBidi"/>
          <w:sz w:val="20"/>
          <w:szCs w:val="20"/>
        </w:rPr>
        <w:footnoteRef/>
      </w:r>
      <w:r>
        <w:rPr>
          <w:rFonts w:asciiTheme="majorBidi" w:hAnsiTheme="majorBidi" w:cstheme="majorBidi"/>
          <w:sz w:val="20"/>
          <w:szCs w:val="20"/>
        </w:rPr>
        <w:t xml:space="preserve"> Ibn Ezra’s later </w:t>
      </w:r>
      <w:proofErr w:type="spellStart"/>
      <w:r>
        <w:rPr>
          <w:rFonts w:asciiTheme="majorBidi" w:hAnsiTheme="majorBidi" w:cstheme="majorBidi"/>
          <w:i/>
          <w:iCs/>
          <w:sz w:val="20"/>
          <w:szCs w:val="20"/>
        </w:rPr>
        <w:t>perush</w:t>
      </w:r>
      <w:proofErr w:type="spellEnd"/>
      <w:r>
        <w:rPr>
          <w:rFonts w:asciiTheme="majorBidi" w:hAnsiTheme="majorBidi" w:cstheme="majorBidi"/>
          <w:sz w:val="20"/>
          <w:szCs w:val="20"/>
        </w:rPr>
        <w:t xml:space="preserve"> is a running commentary on the entire book of Daniel, while his Short Commentary I is arranged topically and contains an introduction and five chapters: Nebuchadnezzar’s dream, and Daniel’s four prophecies.  Mondschein, Ibn Ezra’s Short Commentary on Daniel, Introduction, pp</w:t>
      </w:r>
      <w:r>
        <w:rPr>
          <w:rFonts w:asciiTheme="majorBidi" w:hAnsiTheme="majorBidi" w:cstheme="majorBidi"/>
        </w:rPr>
        <w:t xml:space="preserve">. </w:t>
      </w:r>
      <w:r>
        <w:rPr>
          <w:rFonts w:asciiTheme="majorBidi" w:hAnsiTheme="majorBidi" w:cstheme="majorBidi"/>
          <w:sz w:val="20"/>
          <w:szCs w:val="20"/>
        </w:rPr>
        <w:t>(</w:t>
      </w:r>
      <w:r>
        <w:rPr>
          <w:rFonts w:ascii="David" w:eastAsiaTheme="minorHAnsi" w:hAnsi="David" w:cs="David"/>
          <w:color w:val="000000"/>
          <w:sz w:val="20"/>
          <w:szCs w:val="20"/>
          <w:rtl/>
          <w:lang w:bidi="he-IL"/>
        </w:rPr>
        <w:t>י"ז, י"ח, כ</w:t>
      </w:r>
      <w:r>
        <w:rPr>
          <w:rFonts w:asciiTheme="majorBidi" w:hAnsiTheme="majorBidi" w:cstheme="majorBidi"/>
          <w:sz w:val="20"/>
          <w:szCs w:val="20"/>
        </w:rPr>
        <w:t>)</w:t>
      </w:r>
      <w:r w:rsidR="00CB1991">
        <w:rPr>
          <w:rFonts w:asciiTheme="majorBidi" w:hAnsiTheme="majorBidi" w:cstheme="majorBidi"/>
          <w:sz w:val="20"/>
          <w:szCs w:val="20"/>
        </w:rPr>
        <w:t>.</w:t>
      </w:r>
    </w:p>
  </w:footnote>
  <w:footnote w:id="81">
    <w:p w14:paraId="45AEA5C8" w14:textId="77777777" w:rsidR="00B057F3" w:rsidRDefault="00B057F3" w:rsidP="00505FAD">
      <w:pPr>
        <w:autoSpaceDE w:val="0"/>
        <w:autoSpaceDN w:val="0"/>
        <w:adjustRightInd w:val="0"/>
        <w:rPr>
          <w:rFonts w:asciiTheme="majorBidi" w:eastAsiaTheme="minorHAnsi" w:hAnsiTheme="majorBidi" w:cstheme="majorBidi"/>
          <w:sz w:val="20"/>
          <w:szCs w:val="20"/>
          <w:lang w:bidi="he-IL"/>
        </w:rPr>
      </w:pPr>
      <w:r>
        <w:rPr>
          <w:rStyle w:val="a6"/>
          <w:rFonts w:asciiTheme="majorBidi" w:hAnsiTheme="majorBidi" w:cstheme="majorBidi"/>
        </w:rPr>
        <w:footnoteRef/>
      </w:r>
      <w:r>
        <w:rPr>
          <w:rFonts w:asciiTheme="majorBidi" w:hAnsiTheme="majorBidi" w:cstheme="majorBidi"/>
          <w:sz w:val="20"/>
          <w:szCs w:val="20"/>
        </w:rPr>
        <w:t xml:space="preserve"> Mondschein, ibid., p. (</w:t>
      </w:r>
      <w:r>
        <w:rPr>
          <w:rFonts w:asciiTheme="majorBidi" w:eastAsiaTheme="minorHAnsi" w:hAnsiTheme="majorBidi" w:cstheme="majorBidi" w:hint="cs"/>
          <w:color w:val="000000"/>
          <w:sz w:val="20"/>
          <w:szCs w:val="20"/>
          <w:rtl/>
          <w:lang w:bidi="he-IL"/>
        </w:rPr>
        <w:t>כ"ח</w:t>
      </w:r>
      <w:r>
        <w:rPr>
          <w:rFonts w:asciiTheme="majorBidi" w:hAnsiTheme="majorBidi" w:cstheme="majorBid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E253F" w14:textId="77777777" w:rsidR="00B057F3" w:rsidRDefault="00B057F3" w:rsidP="00505FAD">
    <w:pPr>
      <w:pStyle w:val="a7"/>
      <w:rPr>
        <w:rFonts w:ascii="Arial" w:hAnsi="Arial" w:cs="Arial"/>
        <w:sz w:val="20"/>
        <w:szCs w:val="20"/>
      </w:rPr>
    </w:pPr>
    <w:r>
      <w:rPr>
        <w:rFonts w:ascii="Arial" w:hAnsi="Arial" w:cs="Arial"/>
        <w:sz w:val="20"/>
        <w:szCs w:val="20"/>
      </w:rPr>
      <w:t xml:space="preserve">Chaya Stein-Weiss </w:t>
    </w:r>
    <w:r>
      <w:rPr>
        <w:rFonts w:ascii="Arial" w:hAnsi="Arial" w:cs="Arial"/>
        <w:sz w:val="20"/>
        <w:szCs w:val="20"/>
      </w:rPr>
      <w:tab/>
      <w:t xml:space="preserve">R. Abraham Ibn Ezra’s Sojourn in </w:t>
    </w:r>
    <w:proofErr w:type="spellStart"/>
    <w:r>
      <w:rPr>
        <w:rFonts w:ascii="Arial" w:hAnsi="Arial" w:cs="Arial"/>
        <w:sz w:val="20"/>
        <w:szCs w:val="20"/>
      </w:rPr>
      <w:t>Ashkenaz</w:t>
    </w:r>
    <w:proofErr w:type="spellEnd"/>
    <w:r>
      <w:rPr>
        <w:rFonts w:ascii="Arial" w:hAnsi="Arial" w:cs="Arial"/>
        <w:sz w:val="20"/>
        <w:szCs w:val="20"/>
      </w:rPr>
      <w:t xml:space="preserve">: </w:t>
    </w:r>
    <w:r>
      <w:rPr>
        <w:rFonts w:ascii="Arial" w:hAnsi="Arial" w:cs="Arial"/>
        <w:sz w:val="20"/>
        <w:szCs w:val="20"/>
      </w:rPr>
      <w:tab/>
      <w:t>May 11, 2020</w:t>
    </w:r>
  </w:p>
  <w:p w14:paraId="42A7C278" w14:textId="77777777" w:rsidR="00B057F3" w:rsidRPr="00505FAD" w:rsidRDefault="00B057F3" w:rsidP="00505FAD">
    <w:pPr>
      <w:pStyle w:val="a7"/>
      <w:rPr>
        <w:sz w:val="18"/>
        <w:szCs w:val="18"/>
      </w:rPr>
    </w:pPr>
    <w:r>
      <w:rPr>
        <w:rFonts w:ascii="Arial" w:hAnsi="Arial" w:cs="Arial"/>
        <w:sz w:val="20"/>
        <w:szCs w:val="20"/>
      </w:rPr>
      <w:tab/>
      <w:t xml:space="preserve">Melting Pot or Multi-Cultural Experience?          </w:t>
    </w:r>
    <w:r>
      <w:rPr>
        <w:rFonts w:ascii="Arial" w:hAnsi="Arial" w:cs="Arial"/>
        <w:sz w:val="20"/>
        <w:szCs w:val="20"/>
      </w:rPr>
      <w:tab/>
    </w:r>
    <w:r w:rsidRPr="00505FAD">
      <w:rPr>
        <w:rFonts w:ascii="Arial" w:hAnsi="Arial" w:cs="Arial"/>
        <w:sz w:val="18"/>
        <w:szCs w:val="18"/>
      </w:rPr>
      <w:t xml:space="preserve">For </w:t>
    </w:r>
    <w:proofErr w:type="spellStart"/>
    <w:r w:rsidRPr="00505FAD">
      <w:rPr>
        <w:rFonts w:ascii="Arial" w:hAnsi="Arial" w:cs="Arial"/>
        <w:sz w:val="18"/>
        <w:szCs w:val="18"/>
      </w:rPr>
      <w:t>Megadim</w:t>
    </w:r>
    <w:proofErr w:type="spellEnd"/>
    <w:r w:rsidRPr="00505FAD">
      <w:rPr>
        <w:rFonts w:ascii="Arial" w:hAnsi="Arial" w:cs="Arial"/>
        <w:sz w:val="18"/>
        <w:szCs w:val="18"/>
      </w:rPr>
      <w:t xml:space="preserve"> Journal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C3190"/>
    <w:multiLevelType w:val="hybridMultilevel"/>
    <w:tmpl w:val="69B25E4A"/>
    <w:lvl w:ilvl="0" w:tplc="D53288C0">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99463BC"/>
    <w:multiLevelType w:val="hybridMultilevel"/>
    <w:tmpl w:val="EBDA8D1C"/>
    <w:lvl w:ilvl="0" w:tplc="0409000F">
      <w:start w:val="1"/>
      <w:numFmt w:val="decimal"/>
      <w:lvlText w:val="%1."/>
      <w:lvlJc w:val="left"/>
      <w:pPr>
        <w:ind w:left="1554" w:hanging="360"/>
      </w:pPr>
    </w:lvl>
    <w:lvl w:ilvl="1" w:tplc="04090019">
      <w:start w:val="1"/>
      <w:numFmt w:val="lowerLetter"/>
      <w:lvlText w:val="%2."/>
      <w:lvlJc w:val="left"/>
      <w:pPr>
        <w:ind w:left="2274" w:hanging="360"/>
      </w:pPr>
    </w:lvl>
    <w:lvl w:ilvl="2" w:tplc="0409001B">
      <w:start w:val="1"/>
      <w:numFmt w:val="lowerRoman"/>
      <w:lvlText w:val="%3."/>
      <w:lvlJc w:val="right"/>
      <w:pPr>
        <w:ind w:left="2994" w:hanging="180"/>
      </w:pPr>
    </w:lvl>
    <w:lvl w:ilvl="3" w:tplc="0409000F">
      <w:start w:val="1"/>
      <w:numFmt w:val="decimal"/>
      <w:lvlText w:val="%4."/>
      <w:lvlJc w:val="left"/>
      <w:pPr>
        <w:ind w:left="3714" w:hanging="360"/>
      </w:pPr>
    </w:lvl>
    <w:lvl w:ilvl="4" w:tplc="04090019">
      <w:start w:val="1"/>
      <w:numFmt w:val="lowerLetter"/>
      <w:lvlText w:val="%5."/>
      <w:lvlJc w:val="left"/>
      <w:pPr>
        <w:ind w:left="4434" w:hanging="360"/>
      </w:pPr>
    </w:lvl>
    <w:lvl w:ilvl="5" w:tplc="0409001B">
      <w:start w:val="1"/>
      <w:numFmt w:val="lowerRoman"/>
      <w:lvlText w:val="%6."/>
      <w:lvlJc w:val="right"/>
      <w:pPr>
        <w:ind w:left="5154" w:hanging="180"/>
      </w:pPr>
    </w:lvl>
    <w:lvl w:ilvl="6" w:tplc="0409000F">
      <w:start w:val="1"/>
      <w:numFmt w:val="decimal"/>
      <w:lvlText w:val="%7."/>
      <w:lvlJc w:val="left"/>
      <w:pPr>
        <w:ind w:left="5874" w:hanging="360"/>
      </w:pPr>
    </w:lvl>
    <w:lvl w:ilvl="7" w:tplc="04090019">
      <w:start w:val="1"/>
      <w:numFmt w:val="lowerLetter"/>
      <w:lvlText w:val="%8."/>
      <w:lvlJc w:val="left"/>
      <w:pPr>
        <w:ind w:left="6594" w:hanging="360"/>
      </w:pPr>
    </w:lvl>
    <w:lvl w:ilvl="8" w:tplc="0409001B">
      <w:start w:val="1"/>
      <w:numFmt w:val="lowerRoman"/>
      <w:lvlText w:val="%9."/>
      <w:lvlJc w:val="right"/>
      <w:pPr>
        <w:ind w:left="731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AD"/>
    <w:rsid w:val="00007191"/>
    <w:rsid w:val="00012203"/>
    <w:rsid w:val="0004186C"/>
    <w:rsid w:val="000532D1"/>
    <w:rsid w:val="000627FC"/>
    <w:rsid w:val="00071A58"/>
    <w:rsid w:val="00084D41"/>
    <w:rsid w:val="0009104C"/>
    <w:rsid w:val="0009260E"/>
    <w:rsid w:val="000D60D7"/>
    <w:rsid w:val="000D638E"/>
    <w:rsid w:val="000D7278"/>
    <w:rsid w:val="000E4194"/>
    <w:rsid w:val="000E5697"/>
    <w:rsid w:val="000F1F06"/>
    <w:rsid w:val="00104FC0"/>
    <w:rsid w:val="0011598A"/>
    <w:rsid w:val="00120CDD"/>
    <w:rsid w:val="00120E5B"/>
    <w:rsid w:val="00150304"/>
    <w:rsid w:val="001549DB"/>
    <w:rsid w:val="0015527A"/>
    <w:rsid w:val="001636F4"/>
    <w:rsid w:val="00181256"/>
    <w:rsid w:val="00182F58"/>
    <w:rsid w:val="00186070"/>
    <w:rsid w:val="00195808"/>
    <w:rsid w:val="001A795A"/>
    <w:rsid w:val="001D22CC"/>
    <w:rsid w:val="001F7532"/>
    <w:rsid w:val="002138A4"/>
    <w:rsid w:val="00220256"/>
    <w:rsid w:val="00230A45"/>
    <w:rsid w:val="0023359F"/>
    <w:rsid w:val="002374E1"/>
    <w:rsid w:val="00264BE2"/>
    <w:rsid w:val="00274337"/>
    <w:rsid w:val="00274B75"/>
    <w:rsid w:val="00281897"/>
    <w:rsid w:val="00282F59"/>
    <w:rsid w:val="00283421"/>
    <w:rsid w:val="002A6287"/>
    <w:rsid w:val="002B00B2"/>
    <w:rsid w:val="002B3483"/>
    <w:rsid w:val="002B6486"/>
    <w:rsid w:val="002B7B7B"/>
    <w:rsid w:val="002D5896"/>
    <w:rsid w:val="002F2B16"/>
    <w:rsid w:val="00303165"/>
    <w:rsid w:val="003077B6"/>
    <w:rsid w:val="00310A76"/>
    <w:rsid w:val="00324AB2"/>
    <w:rsid w:val="00331161"/>
    <w:rsid w:val="0038528E"/>
    <w:rsid w:val="003856A2"/>
    <w:rsid w:val="003862B7"/>
    <w:rsid w:val="00393E91"/>
    <w:rsid w:val="003971A4"/>
    <w:rsid w:val="003A5B54"/>
    <w:rsid w:val="003D092B"/>
    <w:rsid w:val="003E4F70"/>
    <w:rsid w:val="003F38AF"/>
    <w:rsid w:val="003F5133"/>
    <w:rsid w:val="003F68DE"/>
    <w:rsid w:val="00401FCD"/>
    <w:rsid w:val="0041033A"/>
    <w:rsid w:val="00411C76"/>
    <w:rsid w:val="0041489E"/>
    <w:rsid w:val="00422B14"/>
    <w:rsid w:val="00430066"/>
    <w:rsid w:val="00432466"/>
    <w:rsid w:val="00437E38"/>
    <w:rsid w:val="00465049"/>
    <w:rsid w:val="004965A1"/>
    <w:rsid w:val="004A3776"/>
    <w:rsid w:val="004C54BE"/>
    <w:rsid w:val="004F32E9"/>
    <w:rsid w:val="00502027"/>
    <w:rsid w:val="00505FAD"/>
    <w:rsid w:val="00526F15"/>
    <w:rsid w:val="0054399E"/>
    <w:rsid w:val="00544CB9"/>
    <w:rsid w:val="00555785"/>
    <w:rsid w:val="00571AD9"/>
    <w:rsid w:val="005761FF"/>
    <w:rsid w:val="00584B5D"/>
    <w:rsid w:val="005A06DC"/>
    <w:rsid w:val="005A236F"/>
    <w:rsid w:val="005D27FB"/>
    <w:rsid w:val="005D7A95"/>
    <w:rsid w:val="005F6257"/>
    <w:rsid w:val="00602E5D"/>
    <w:rsid w:val="00614E8C"/>
    <w:rsid w:val="006170F1"/>
    <w:rsid w:val="00633219"/>
    <w:rsid w:val="0064653C"/>
    <w:rsid w:val="006528DF"/>
    <w:rsid w:val="006729AB"/>
    <w:rsid w:val="00677D03"/>
    <w:rsid w:val="00680EA4"/>
    <w:rsid w:val="00691C94"/>
    <w:rsid w:val="00694266"/>
    <w:rsid w:val="006A5AE5"/>
    <w:rsid w:val="006A6D3A"/>
    <w:rsid w:val="006B1481"/>
    <w:rsid w:val="006E0831"/>
    <w:rsid w:val="006E29E6"/>
    <w:rsid w:val="006F6CB1"/>
    <w:rsid w:val="00712594"/>
    <w:rsid w:val="007152DC"/>
    <w:rsid w:val="00717441"/>
    <w:rsid w:val="007224FD"/>
    <w:rsid w:val="0073010F"/>
    <w:rsid w:val="007426F3"/>
    <w:rsid w:val="00744E81"/>
    <w:rsid w:val="00747464"/>
    <w:rsid w:val="007500D8"/>
    <w:rsid w:val="0075530A"/>
    <w:rsid w:val="00762821"/>
    <w:rsid w:val="007651FC"/>
    <w:rsid w:val="00777117"/>
    <w:rsid w:val="007A36C9"/>
    <w:rsid w:val="007A7491"/>
    <w:rsid w:val="007B430F"/>
    <w:rsid w:val="007C7E69"/>
    <w:rsid w:val="007D47E4"/>
    <w:rsid w:val="007D56C9"/>
    <w:rsid w:val="007E68C9"/>
    <w:rsid w:val="007F390D"/>
    <w:rsid w:val="007F599D"/>
    <w:rsid w:val="00804C72"/>
    <w:rsid w:val="008175D2"/>
    <w:rsid w:val="008347ED"/>
    <w:rsid w:val="00834D23"/>
    <w:rsid w:val="008466CB"/>
    <w:rsid w:val="0086083C"/>
    <w:rsid w:val="00860C69"/>
    <w:rsid w:val="00877C70"/>
    <w:rsid w:val="008846F3"/>
    <w:rsid w:val="008A47B4"/>
    <w:rsid w:val="008A56F0"/>
    <w:rsid w:val="008C2053"/>
    <w:rsid w:val="008E0648"/>
    <w:rsid w:val="008E6963"/>
    <w:rsid w:val="008F7AB7"/>
    <w:rsid w:val="009067D7"/>
    <w:rsid w:val="009135F8"/>
    <w:rsid w:val="00917EDF"/>
    <w:rsid w:val="009561E2"/>
    <w:rsid w:val="00960719"/>
    <w:rsid w:val="00966B2F"/>
    <w:rsid w:val="009C7F76"/>
    <w:rsid w:val="009F41DA"/>
    <w:rsid w:val="00A133FE"/>
    <w:rsid w:val="00A20EAD"/>
    <w:rsid w:val="00A2377B"/>
    <w:rsid w:val="00A76E3D"/>
    <w:rsid w:val="00A86232"/>
    <w:rsid w:val="00A97C7E"/>
    <w:rsid w:val="00AC1476"/>
    <w:rsid w:val="00AC72E0"/>
    <w:rsid w:val="00AF676F"/>
    <w:rsid w:val="00B057F3"/>
    <w:rsid w:val="00B369B3"/>
    <w:rsid w:val="00B47458"/>
    <w:rsid w:val="00B47B4B"/>
    <w:rsid w:val="00B54D5B"/>
    <w:rsid w:val="00BA16F5"/>
    <w:rsid w:val="00BA19BC"/>
    <w:rsid w:val="00BB3FB6"/>
    <w:rsid w:val="00BC26EF"/>
    <w:rsid w:val="00BC695E"/>
    <w:rsid w:val="00BD3D13"/>
    <w:rsid w:val="00BF20B9"/>
    <w:rsid w:val="00BF5C89"/>
    <w:rsid w:val="00C041F7"/>
    <w:rsid w:val="00C24009"/>
    <w:rsid w:val="00C469B5"/>
    <w:rsid w:val="00C663DA"/>
    <w:rsid w:val="00CB1991"/>
    <w:rsid w:val="00CB4BF4"/>
    <w:rsid w:val="00CB5429"/>
    <w:rsid w:val="00CC3DE9"/>
    <w:rsid w:val="00CE7292"/>
    <w:rsid w:val="00CF3A65"/>
    <w:rsid w:val="00D00A14"/>
    <w:rsid w:val="00D00EF3"/>
    <w:rsid w:val="00D15E6B"/>
    <w:rsid w:val="00D550C7"/>
    <w:rsid w:val="00D67935"/>
    <w:rsid w:val="00D70091"/>
    <w:rsid w:val="00D85FC7"/>
    <w:rsid w:val="00D90F64"/>
    <w:rsid w:val="00D9340B"/>
    <w:rsid w:val="00D934FA"/>
    <w:rsid w:val="00DA1BBF"/>
    <w:rsid w:val="00DB397D"/>
    <w:rsid w:val="00DC0A47"/>
    <w:rsid w:val="00DC7CD6"/>
    <w:rsid w:val="00DD174C"/>
    <w:rsid w:val="00DE25E2"/>
    <w:rsid w:val="00DE4C89"/>
    <w:rsid w:val="00E140E9"/>
    <w:rsid w:val="00E20864"/>
    <w:rsid w:val="00E36EC3"/>
    <w:rsid w:val="00E51200"/>
    <w:rsid w:val="00E72C51"/>
    <w:rsid w:val="00E80E70"/>
    <w:rsid w:val="00E96821"/>
    <w:rsid w:val="00EA779B"/>
    <w:rsid w:val="00EB0DF4"/>
    <w:rsid w:val="00EC79D7"/>
    <w:rsid w:val="00EC7DCA"/>
    <w:rsid w:val="00ED68E0"/>
    <w:rsid w:val="00EF3341"/>
    <w:rsid w:val="00EF6290"/>
    <w:rsid w:val="00F04219"/>
    <w:rsid w:val="00F05C5E"/>
    <w:rsid w:val="00F20EB0"/>
    <w:rsid w:val="00F33644"/>
    <w:rsid w:val="00F41CD0"/>
    <w:rsid w:val="00F602A4"/>
    <w:rsid w:val="00F62506"/>
    <w:rsid w:val="00F66A89"/>
    <w:rsid w:val="00F913E2"/>
    <w:rsid w:val="00FB02B5"/>
    <w:rsid w:val="00FB1CFF"/>
    <w:rsid w:val="00FC3B22"/>
    <w:rsid w:val="00FC6964"/>
    <w:rsid w:val="00FD5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FE45"/>
  <w15:chartTrackingRefBased/>
  <w15:docId w15:val="{B8ABF6C9-3BCA-4589-8706-AC5BC6D3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FAD"/>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05FAD"/>
    <w:rPr>
      <w:color w:val="0000FF"/>
      <w:u w:val="single"/>
    </w:rPr>
  </w:style>
  <w:style w:type="paragraph" w:styleId="a3">
    <w:name w:val="footnote text"/>
    <w:basedOn w:val="a"/>
    <w:link w:val="a4"/>
    <w:uiPriority w:val="99"/>
    <w:semiHidden/>
    <w:unhideWhenUsed/>
    <w:rsid w:val="00505FAD"/>
    <w:rPr>
      <w:sz w:val="20"/>
      <w:szCs w:val="20"/>
    </w:rPr>
  </w:style>
  <w:style w:type="character" w:customStyle="1" w:styleId="a4">
    <w:name w:val="טקסט הערת שוליים תו"/>
    <w:basedOn w:val="a0"/>
    <w:link w:val="a3"/>
    <w:uiPriority w:val="99"/>
    <w:semiHidden/>
    <w:rsid w:val="00505FAD"/>
    <w:rPr>
      <w:rFonts w:ascii="Times New Roman" w:eastAsia="Times New Roman" w:hAnsi="Times New Roman" w:cs="Times New Roman"/>
      <w:sz w:val="20"/>
      <w:szCs w:val="20"/>
    </w:rPr>
  </w:style>
  <w:style w:type="paragraph" w:styleId="a5">
    <w:name w:val="List Paragraph"/>
    <w:basedOn w:val="a"/>
    <w:uiPriority w:val="34"/>
    <w:qFormat/>
    <w:rsid w:val="00505FAD"/>
    <w:pPr>
      <w:ind w:left="720"/>
      <w:contextualSpacing/>
    </w:pPr>
  </w:style>
  <w:style w:type="character" w:styleId="a6">
    <w:name w:val="footnote reference"/>
    <w:semiHidden/>
    <w:unhideWhenUsed/>
    <w:rsid w:val="00505FAD"/>
    <w:rPr>
      <w:vertAlign w:val="superscript"/>
    </w:rPr>
  </w:style>
  <w:style w:type="paragraph" w:styleId="a7">
    <w:name w:val="header"/>
    <w:basedOn w:val="a"/>
    <w:link w:val="a8"/>
    <w:uiPriority w:val="99"/>
    <w:unhideWhenUsed/>
    <w:rsid w:val="00505FAD"/>
    <w:pPr>
      <w:tabs>
        <w:tab w:val="center" w:pos="4680"/>
        <w:tab w:val="right" w:pos="9360"/>
      </w:tabs>
    </w:pPr>
  </w:style>
  <w:style w:type="character" w:customStyle="1" w:styleId="a8">
    <w:name w:val="כותרת עליונה תו"/>
    <w:basedOn w:val="a0"/>
    <w:link w:val="a7"/>
    <w:uiPriority w:val="99"/>
    <w:rsid w:val="00505FAD"/>
    <w:rPr>
      <w:rFonts w:ascii="Times New Roman" w:eastAsia="Times New Roman" w:hAnsi="Times New Roman" w:cs="Times New Roman"/>
      <w:sz w:val="24"/>
      <w:szCs w:val="24"/>
    </w:rPr>
  </w:style>
  <w:style w:type="paragraph" w:styleId="a9">
    <w:name w:val="footer"/>
    <w:basedOn w:val="a"/>
    <w:link w:val="aa"/>
    <w:uiPriority w:val="99"/>
    <w:unhideWhenUsed/>
    <w:rsid w:val="00505FAD"/>
    <w:pPr>
      <w:tabs>
        <w:tab w:val="center" w:pos="4680"/>
        <w:tab w:val="right" w:pos="9360"/>
      </w:tabs>
    </w:pPr>
  </w:style>
  <w:style w:type="character" w:customStyle="1" w:styleId="aa">
    <w:name w:val="כותרת תחתונה תו"/>
    <w:basedOn w:val="a0"/>
    <w:link w:val="a9"/>
    <w:uiPriority w:val="99"/>
    <w:rsid w:val="00505FAD"/>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BC26EF"/>
    <w:rPr>
      <w:rFonts w:ascii="Segoe UI" w:hAnsi="Segoe UI" w:cs="Segoe UI"/>
      <w:sz w:val="18"/>
      <w:szCs w:val="18"/>
    </w:rPr>
  </w:style>
  <w:style w:type="character" w:customStyle="1" w:styleId="ac">
    <w:name w:val="טקסט בלונים תו"/>
    <w:basedOn w:val="a0"/>
    <w:link w:val="ab"/>
    <w:uiPriority w:val="99"/>
    <w:semiHidden/>
    <w:rsid w:val="00BC26EF"/>
    <w:rPr>
      <w:rFonts w:ascii="Segoe UI" w:eastAsia="Times New Roman" w:hAnsi="Segoe UI" w:cs="Segoe UI"/>
      <w:sz w:val="18"/>
      <w:szCs w:val="18"/>
    </w:rPr>
  </w:style>
  <w:style w:type="character" w:styleId="ad">
    <w:name w:val="annotation reference"/>
    <w:basedOn w:val="a0"/>
    <w:uiPriority w:val="99"/>
    <w:semiHidden/>
    <w:unhideWhenUsed/>
    <w:rsid w:val="00220256"/>
    <w:rPr>
      <w:sz w:val="16"/>
      <w:szCs w:val="16"/>
    </w:rPr>
  </w:style>
  <w:style w:type="paragraph" w:styleId="ae">
    <w:name w:val="annotation text"/>
    <w:basedOn w:val="a"/>
    <w:link w:val="af"/>
    <w:uiPriority w:val="99"/>
    <w:semiHidden/>
    <w:unhideWhenUsed/>
    <w:rsid w:val="00220256"/>
    <w:rPr>
      <w:sz w:val="20"/>
      <w:szCs w:val="20"/>
    </w:rPr>
  </w:style>
  <w:style w:type="character" w:customStyle="1" w:styleId="af">
    <w:name w:val="טקסט הערה תו"/>
    <w:basedOn w:val="a0"/>
    <w:link w:val="ae"/>
    <w:uiPriority w:val="99"/>
    <w:semiHidden/>
    <w:rsid w:val="00220256"/>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220256"/>
    <w:rPr>
      <w:b/>
      <w:bCs/>
    </w:rPr>
  </w:style>
  <w:style w:type="character" w:customStyle="1" w:styleId="af1">
    <w:name w:val="נושא הערה תו"/>
    <w:basedOn w:val="af"/>
    <w:link w:val="af0"/>
    <w:uiPriority w:val="99"/>
    <w:semiHidden/>
    <w:rsid w:val="00220256"/>
    <w:rPr>
      <w:rFonts w:ascii="Times New Roman" w:eastAsia="Times New Roman" w:hAnsi="Times New Roman" w:cs="Times New Roman"/>
      <w:b/>
      <w:bCs/>
      <w:sz w:val="20"/>
      <w:szCs w:val="20"/>
    </w:rPr>
  </w:style>
  <w:style w:type="paragraph" w:styleId="af2">
    <w:name w:val="Revision"/>
    <w:hidden/>
    <w:uiPriority w:val="99"/>
    <w:semiHidden/>
    <w:rsid w:val="00220256"/>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3D0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14657">
      <w:bodyDiv w:val="1"/>
      <w:marLeft w:val="0"/>
      <w:marRight w:val="0"/>
      <w:marTop w:val="0"/>
      <w:marBottom w:val="0"/>
      <w:divBdr>
        <w:top w:val="none" w:sz="0" w:space="0" w:color="auto"/>
        <w:left w:val="none" w:sz="0" w:space="0" w:color="auto"/>
        <w:bottom w:val="none" w:sz="0" w:space="0" w:color="auto"/>
        <w:right w:val="none" w:sz="0" w:space="0" w:color="auto"/>
      </w:divBdr>
    </w:div>
    <w:div w:id="204375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en/lecture-13-r-avraham-ibn-ezra-par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EE6FF-0203-44EF-9109-249D7409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8262</Words>
  <Characters>41311</Characters>
  <Application>Microsoft Office Word</Application>
  <DocSecurity>4</DocSecurity>
  <Lines>344</Lines>
  <Paragraphs>98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 Weiss</dc:creator>
  <cp:keywords/>
  <dc:description/>
  <cp:lastModifiedBy>ברזילי יואב</cp:lastModifiedBy>
  <cp:revision>2</cp:revision>
  <dcterms:created xsi:type="dcterms:W3CDTF">2021-03-21T14:04:00Z</dcterms:created>
  <dcterms:modified xsi:type="dcterms:W3CDTF">2021-03-21T14:04:00Z</dcterms:modified>
</cp:coreProperties>
</file>