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4D" w:rsidRDefault="0051334D" w:rsidP="0051334D">
      <w:pPr>
        <w:rPr>
          <w:rtl/>
        </w:rPr>
      </w:pPr>
      <w:r>
        <w:rPr>
          <w:rtl/>
        </w:rPr>
        <w:t>כתובות ט ע"א</w:t>
      </w:r>
    </w:p>
    <w:p w:rsidR="0051334D" w:rsidRDefault="0051334D" w:rsidP="0051334D">
      <w:pPr>
        <w:pStyle w:val="ab"/>
        <w:spacing w:before="120" w:after="240"/>
        <w:rPr>
          <w:rtl/>
        </w:rPr>
      </w:pPr>
      <w:r>
        <w:rPr>
          <w:rtl/>
        </w:rPr>
        <w:t>ספק ספיקא - ב</w:t>
      </w:r>
    </w:p>
    <w:p w:rsidR="0051334D" w:rsidRDefault="0051334D" w:rsidP="0051334D">
      <w:pPr>
        <w:pStyle w:val="2"/>
        <w:spacing w:line="360" w:lineRule="auto"/>
        <w:rPr>
          <w:rtl/>
        </w:rPr>
      </w:pPr>
      <w:r>
        <w:rPr>
          <w:rtl/>
        </w:rPr>
        <w:t>ספק-ספיקא להוציא ממון</w:t>
      </w:r>
    </w:p>
    <w:p w:rsidR="00DF2F38" w:rsidRDefault="00DF2F38" w:rsidP="007267BB">
      <w:pPr>
        <w:spacing w:line="360" w:lineRule="auto"/>
        <w:rPr>
          <w:rtl/>
        </w:rPr>
      </w:pPr>
      <w:r>
        <w:rPr>
          <w:rtl/>
        </w:rPr>
        <w:t>בשיעור הקודם, ראינו כמה דרכים לפרש דין פסק ספיקא. הרשב"א מסביר שספק ספיקא פועל מדין רוב.  אמנם לא רוב סטטיסטי, כי אם רוב תיאורטי על בסיס רוב אפשריות.  גם ראינו את שיטת הרא"ה המסביר דין ספק ספיקא על פי דין ספק דרבנן לקולא.</w:t>
      </w:r>
    </w:p>
    <w:p w:rsidR="0051334D" w:rsidRDefault="0051334D" w:rsidP="007267BB">
      <w:pPr>
        <w:spacing w:line="360" w:lineRule="auto"/>
        <w:rPr>
          <w:rtl/>
        </w:rPr>
      </w:pPr>
      <w:r>
        <w:rPr>
          <w:rtl/>
        </w:rPr>
        <w:t xml:space="preserve">ישנן כמה שיטות בראשונים שקשה להסבירן לפי התפיסות </w:t>
      </w:r>
      <w:r w:rsidR="007267BB">
        <w:rPr>
          <w:rtl/>
        </w:rPr>
        <w:t xml:space="preserve">האלו.  </w:t>
      </w:r>
      <w:r>
        <w:rPr>
          <w:rtl/>
        </w:rPr>
        <w:t xml:space="preserve">תוספות (ט: ד"ה אי) מתקשים בנאמנות הבעל להפסידה כתובתה בטענת פתח פתוח כדברי הגמרא.  תוספות מסבירים שביחס לכתובה, טענת הבעל אינה אלא ספק-ספיקא  הספק הראשון הוא בזה שהבעל לא יודע בודאות שכלתו לא היתה בתולה.  ואפילו תאמר </w:t>
      </w:r>
      <w:r w:rsidR="007267BB">
        <w:rPr>
          <w:rtl/>
        </w:rPr>
        <w:t>שאכן היתה בעלה</w:t>
      </w:r>
      <w:r>
        <w:rPr>
          <w:rtl/>
        </w:rPr>
        <w:t xml:space="preserve">, יש ספק שני אם נאנסה, </w:t>
      </w:r>
      <w:r w:rsidR="007267BB">
        <w:rPr>
          <w:rtl/>
        </w:rPr>
        <w:t xml:space="preserve">שהרי </w:t>
      </w:r>
      <w:r>
        <w:rPr>
          <w:rtl/>
        </w:rPr>
        <w:t xml:space="preserve">אם נאנסה </w:t>
      </w:r>
      <w:r w:rsidR="007267BB">
        <w:rPr>
          <w:rtl/>
        </w:rPr>
        <w:t>אין היא</w:t>
      </w:r>
      <w:r>
        <w:rPr>
          <w:rtl/>
        </w:rPr>
        <w:t xml:space="preserve"> מפסידה</w:t>
      </w:r>
      <w:r w:rsidR="007267BB">
        <w:rPr>
          <w:rtl/>
        </w:rPr>
        <w:t xml:space="preserve"> את</w:t>
      </w:r>
      <w:r>
        <w:rPr>
          <w:rtl/>
        </w:rPr>
        <w:t xml:space="preserve"> כתובתה.  ובהיות טענתו רק ספק-ספיקא, צריך לדחות את טענת הבעל ולא להפסידה כתובתה.  </w:t>
      </w:r>
    </w:p>
    <w:p w:rsidR="0051334D" w:rsidRDefault="0051334D" w:rsidP="0051334D">
      <w:pPr>
        <w:spacing w:line="360" w:lineRule="auto"/>
        <w:rPr>
          <w:rtl/>
        </w:rPr>
      </w:pPr>
      <w:r>
        <w:rPr>
          <w:rtl/>
        </w:rPr>
        <w:t>תוספות מוסיפים שאי</w:t>
      </w:r>
      <w:r w:rsidR="007267BB">
        <w:rPr>
          <w:rtl/>
        </w:rPr>
        <w:t>-אפשר לטעון שהאשה מפסידה כתובתה</w:t>
      </w:r>
      <w:r>
        <w:rPr>
          <w:rtl/>
        </w:rPr>
        <w:t xml:space="preserve"> גם במקרה של ספק-ספיקא, כי במקרה כזה נאמר "אוקי ממונא בחזקת מריה," ובהעדר הוכחה נשאיר את הממון בחזקתו.  משמעות הדבר הוא שאף שהכסף הוא בידי בעל, האשה יכולה לדרוש תשלום מלא של הכתובה על-סמך הספק-ספיקא לטובתה.  </w:t>
      </w:r>
    </w:p>
    <w:p w:rsidR="0051334D" w:rsidRDefault="0051334D" w:rsidP="007267BB">
      <w:pPr>
        <w:spacing w:line="360" w:lineRule="auto"/>
        <w:rPr>
          <w:rtl/>
        </w:rPr>
      </w:pPr>
      <w:r>
        <w:rPr>
          <w:rtl/>
        </w:rPr>
        <w:t xml:space="preserve">ברור שאי-אפשר להסביר את שיטת התוספות בקנה אחד עם שיטת הרא"ה שהסברנו בשיעור שעבר, שספק-ספיקא מועילה על-סמך "ספק דרבנן לקולא."  מדובר כאן בדיני ממונות, ושייך לכאן הכלל הגדול בדין של "המוציא מחבירו עליו הראיה."  אי-אפשר לדבר על "קולא" ו"וחומרא" בדיני ממונות, כי חומרא לבעל-דין אחד הינו קולא ליריבו.  </w:t>
      </w:r>
      <w:r w:rsidR="007267BB">
        <w:rPr>
          <w:rtl/>
        </w:rPr>
        <w:t>אפילו</w:t>
      </w:r>
      <w:r>
        <w:rPr>
          <w:rtl/>
        </w:rPr>
        <w:t xml:space="preserve"> אם מקבלים את גישת הרשב"א, שספק-ספיקא מבוסס על רוב, </w:t>
      </w:r>
      <w:r w:rsidR="007267BB">
        <w:rPr>
          <w:rtl/>
        </w:rPr>
        <w:t>עדיין</w:t>
      </w:r>
      <w:r>
        <w:rPr>
          <w:rtl/>
        </w:rPr>
        <w:t xml:space="preserve"> להבין את שיטת התוספות: </w:t>
      </w:r>
      <w:r w:rsidR="007267BB">
        <w:rPr>
          <w:rtl/>
        </w:rPr>
        <w:t xml:space="preserve">הרי </w:t>
      </w:r>
      <w:r>
        <w:rPr>
          <w:rtl/>
        </w:rPr>
        <w:t>אין הולכין בממון אחר הרוב – כלומר, בדיני ממונות לא מתחשבים ברוב.  השב שמעתתא, שהבין את ספק-ספיקא כמבוסס על רוב, אכן קורא אחרת את דברי התוספות.</w:t>
      </w:r>
    </w:p>
    <w:p w:rsidR="0051334D" w:rsidRDefault="0051334D" w:rsidP="0051334D">
      <w:pPr>
        <w:spacing w:line="360" w:lineRule="auto"/>
        <w:rPr>
          <w:rtl/>
        </w:rPr>
      </w:pPr>
    </w:p>
    <w:p w:rsidR="0051334D" w:rsidRDefault="0051334D" w:rsidP="007267BB">
      <w:pPr>
        <w:spacing w:line="360" w:lineRule="auto"/>
        <w:rPr>
          <w:rtl/>
        </w:rPr>
      </w:pPr>
      <w:r>
        <w:rPr>
          <w:rtl/>
        </w:rPr>
        <w:t>כדי להוציא ממון ממי שמוחזק בו, צריך להסביר ספק-ספיקא בצורה שבעזרתו אין שום שאלה לגבי חיוב התשלום</w:t>
      </w:r>
      <w:r w:rsidR="007267BB">
        <w:rPr>
          <w:rtl/>
        </w:rPr>
        <w:t>.</w:t>
      </w:r>
      <w:r>
        <w:rPr>
          <w:rtl/>
        </w:rPr>
        <w:t xml:space="preserve"> הרב ליכטנשטיין </w:t>
      </w:r>
      <w:r w:rsidR="007267BB">
        <w:rPr>
          <w:rtl/>
        </w:rPr>
        <w:t xml:space="preserve">אכן </w:t>
      </w:r>
      <w:r>
        <w:rPr>
          <w:rtl/>
        </w:rPr>
        <w:t xml:space="preserve">הסביר שבמקרה של ספק-ספיקא, אין שום "לידת הספק," כלומר </w:t>
      </w:r>
      <w:r w:rsidR="007267BB">
        <w:rPr>
          <w:rtl/>
        </w:rPr>
        <w:t xml:space="preserve">זה </w:t>
      </w:r>
      <w:r>
        <w:rPr>
          <w:rtl/>
        </w:rPr>
        <w:t xml:space="preserve">נחשב כאילו לא התעורר </w:t>
      </w:r>
      <w:r w:rsidR="007267BB">
        <w:rPr>
          <w:rtl/>
        </w:rPr>
        <w:t xml:space="preserve">שאלה כלל.  </w:t>
      </w:r>
      <w:r>
        <w:rPr>
          <w:rtl/>
        </w:rPr>
        <w:t xml:space="preserve">ביחס לשאלה האם הכלה נבעלה, או לפני, או אחרי האירוסין, אין שום איסור הכרחי שנולד מאף-אחד מהתשובות לשאלה, שהרי נשארת האפשרות שהיא נאנסה.  כמו-כן, כששואלים אם היא נבעלה באונס או ברצון, אין שום איסור הכרחי באף אחת מהתשובות לשאלה, שהרי אפילו אם נבעלה ברצון, ייתכן שנבעלה לפני האירוסין.  אם כן, אין שום ספק מסויים שמוביל לאיסור ושדורש פיתרון הלכתי.  במלים אחרות, גם רוב וגם </w:t>
      </w:r>
      <w:r>
        <w:rPr>
          <w:rtl/>
        </w:rPr>
        <w:t>חזקה הן פתרונות הלכתיים לספקות שמתעוררים.  אבל במקרה של</w:t>
      </w:r>
      <w:r w:rsidRPr="00B61DDF">
        <w:rPr>
          <w:rtl/>
        </w:rPr>
        <w:t xml:space="preserve"> </w:t>
      </w:r>
      <w:r>
        <w:rPr>
          <w:rtl/>
        </w:rPr>
        <w:t>ספק-ספיקא, השאלה אפילו לא עולה, ובכך לא דורשת שום פיתרון הלכתי.  לכן הבעל צריך לשלם את הכתובה במלואה, כי לא התעוררה שום שאלה לגבי חיוב זה.</w:t>
      </w:r>
    </w:p>
    <w:p w:rsidR="0051334D" w:rsidRDefault="0051334D" w:rsidP="0051334D">
      <w:pPr>
        <w:spacing w:line="360" w:lineRule="auto"/>
        <w:rPr>
          <w:rtl/>
        </w:rPr>
      </w:pPr>
    </w:p>
    <w:p w:rsidR="0051334D" w:rsidRDefault="0051334D" w:rsidP="0051334D">
      <w:pPr>
        <w:spacing w:line="360" w:lineRule="auto"/>
        <w:rPr>
          <w:rtl/>
        </w:rPr>
      </w:pPr>
      <w:r>
        <w:rPr>
          <w:rtl/>
        </w:rPr>
        <w:t>הגמרא בפסחים (י.) מביאה מחלוקת בין רבי אליעזר והחכמים לגבי ספק טומאה ברשות הרבים.  תוספות שם (ד"ה ספק ביאה) מביאים את דעותיהם של הר"י ורבינו תם שלכולי-עלמא מטמאים במקרה של ספק טומאה ברשות הרבים.  כל המחלוקת בין רבי אליעזר והחכמים היא במקרה של ספק-ספיקא.  אפילו רבי אליעזר שמטמא ספק טומאה ברשות הרבים מטהר במקרה של ספק-ספיקא ברשות הרבים.  לאור מה שהסברנו, אפשר לומר שבמקרה של ספק-ספיקא אין שום לידת הספק, ולכן אין שום טעם לטמא.  אבל במקרה רגיל של טומאה ברשות הרבים, פוסקים שספיקו טמא.</w:t>
      </w:r>
    </w:p>
    <w:p w:rsidR="0051334D" w:rsidRDefault="0051334D" w:rsidP="0051334D">
      <w:pPr>
        <w:spacing w:line="360" w:lineRule="auto"/>
        <w:rPr>
          <w:rtl/>
        </w:rPr>
      </w:pPr>
    </w:p>
    <w:p w:rsidR="0051334D" w:rsidRDefault="0051334D" w:rsidP="0048503B">
      <w:pPr>
        <w:spacing w:line="360" w:lineRule="auto"/>
        <w:rPr>
          <w:rtl/>
        </w:rPr>
      </w:pPr>
      <w:r>
        <w:rPr>
          <w:rtl/>
        </w:rPr>
        <w:t xml:space="preserve">סוגיה נוספת שבה מתירים ספק-ספיקא </w:t>
      </w:r>
      <w:r w:rsidR="0048503B">
        <w:rPr>
          <w:rtl/>
        </w:rPr>
        <w:t>אף אל פי שלא מתירים על פי רוב,</w:t>
      </w:r>
      <w:r>
        <w:rPr>
          <w:rtl/>
        </w:rPr>
        <w:t xml:space="preserve"> היא סוגיית "דבר שיש לו מתירין" (ביצה ג:).  במקרה של תערובת איסור והיתר, אם האיסור עתיד להיות מותר, לא מפעילים כללי ביטול, והתערובת אסורה עד שיותר האיסור.  הכלל של הגמרא היא שדבר שיש לו מתירין, אפילו באלף לא בטל.  רש"י שם (ד"ה אפילו) מסביר  שאף שמדאורייתא האיסור בטל ברוב, "אחמור [החמירו] רבנן הואיל ויש לו מתירין לאחר זמן, לא יאכלנו באיסור על ידי ביטול."  אבל, הרשב"א (תורת הבית, בית רביעי שער שני) מעיר שלדעת רבינו תם, במקרה של ספק-ספיקא, מתירים אפילו דבר שיש לו מתירין: "ומדברי רבינו יעקב ז"ל נלמוד דכל ספק-ספיקא, אפילו בדבר שיש לו מתירין, מותר לאלתר, דהא אוקימנא טעמא דברייתא דקתני נתערבה באלף כולן אסורות משום דהוה ליה דבר שיש לו מתירין, ואפילו הכי ודאי אסורה ספיקה מותר, וטעמא דכל שהוא בספק-ספיקא היתר גמור משוינן ליה, ואין צריך להמתין...."</w:t>
      </w:r>
    </w:p>
    <w:p w:rsidR="0051334D" w:rsidRDefault="0051334D" w:rsidP="0048503B">
      <w:pPr>
        <w:spacing w:line="360" w:lineRule="auto"/>
        <w:rPr>
          <w:rtl/>
        </w:rPr>
      </w:pPr>
      <w:r>
        <w:rPr>
          <w:rtl/>
        </w:rPr>
        <w:t xml:space="preserve">לפי הגישה שהצענו, דברי רבינו תם ברורים.  ההלכה של דבר שיש לו מתירין מונע פיתרון הספק ומורה שצריך לחכות עד שהספק יותר </w:t>
      </w:r>
      <w:r w:rsidR="0048503B">
        <w:rPr>
          <w:rtl/>
        </w:rPr>
        <w:t xml:space="preserve">באופן </w:t>
      </w:r>
      <w:r>
        <w:rPr>
          <w:rtl/>
        </w:rPr>
        <w:t>ודאי.  אבל עניין זה לא שייך במקרה של ספק-ספיקא, שהרי אין שום ספק הלכתי, ובכך לא נדרש שום פיתרון הלכתי לתערובת.</w:t>
      </w:r>
    </w:p>
    <w:p w:rsidR="0051334D" w:rsidRDefault="0051334D" w:rsidP="0051334D">
      <w:pPr>
        <w:spacing w:line="360" w:lineRule="auto"/>
        <w:rPr>
          <w:rtl/>
        </w:rPr>
      </w:pPr>
    </w:p>
    <w:p w:rsidR="0051334D" w:rsidRDefault="0048503B" w:rsidP="0049100C">
      <w:pPr>
        <w:adjustRightInd w:val="0"/>
        <w:spacing w:line="360" w:lineRule="auto"/>
        <w:rPr>
          <w:color w:val="000000"/>
          <w:rtl/>
        </w:rPr>
      </w:pPr>
      <w:r>
        <w:rPr>
          <w:rtl/>
        </w:rPr>
        <w:t xml:space="preserve">לחילופין, </w:t>
      </w:r>
      <w:r w:rsidR="0051334D">
        <w:rPr>
          <w:rtl/>
        </w:rPr>
        <w:t xml:space="preserve">אפשר להסביר את החילוק הזה לגבי דבר שיש לו מתירין, שבו לא סומכים על ביטול ברוב </w:t>
      </w:r>
      <w:r>
        <w:rPr>
          <w:rtl/>
        </w:rPr>
        <w:t>אבל</w:t>
      </w:r>
      <w:r w:rsidR="0051334D">
        <w:rPr>
          <w:rtl/>
        </w:rPr>
        <w:t xml:space="preserve"> סומכים על ספק-ספיקא, לאור הבדל בין המושגים.  כשאיסור בטל ברוב היתר, אפשר להסביר שהאיסור נהפך להיתר בהשפעת ההיתר הגובר עליו.  אבל ספק-ספיקא, אף שמבוסס על רוב, שונה ממושג ביטול; הספק-ספיקא מאפשר לנו להניח שהדבר הנידון נבע מהרוב, שהוא היתר, ולכן </w:t>
      </w:r>
      <w:r>
        <w:rPr>
          <w:rtl/>
        </w:rPr>
        <w:t xml:space="preserve">אין </w:t>
      </w:r>
      <w:r w:rsidR="0051334D">
        <w:rPr>
          <w:rtl/>
        </w:rPr>
        <w:t>כאן שום איסור כלל.  במקרה שאפשר לחכות לאיסור להפוך להית</w:t>
      </w:r>
      <w:r w:rsidR="003D31E1">
        <w:rPr>
          <w:rtl/>
        </w:rPr>
        <w:t>ר</w:t>
      </w:r>
      <w:r w:rsidR="0051334D">
        <w:rPr>
          <w:rtl/>
        </w:rPr>
        <w:t xml:space="preserve"> </w:t>
      </w:r>
      <w:r>
        <w:rPr>
          <w:rtl/>
        </w:rPr>
        <w:t>אנו נמנעים מלסמוך על</w:t>
      </w:r>
      <w:r w:rsidR="0051334D">
        <w:rPr>
          <w:rtl/>
        </w:rPr>
        <w:t xml:space="preserve"> </w:t>
      </w:r>
      <w:r w:rsidR="0051334D">
        <w:rPr>
          <w:rtl/>
        </w:rPr>
        <w:lastRenderedPageBreak/>
        <w:t>הביטול, אבל מניעה זאת לא שייכת למקרה של ספק-ספיקא.  חילוק זה נראה מוכרח לאור שיטתו המפורסמת של הר"ן (נדרים נב. ד"ה וקשיא להו), שמסביר שהדין של דבר שיש לו מתירין מבוסס על שיטת רבי יהודה שמין במינו אינו בטל.  לדעתו, ביטול מבוסס על הבדל עקרוני בין הרוב לבין המיעוט שמתבטל</w:t>
      </w:r>
      <w:r w:rsidR="0049100C">
        <w:rPr>
          <w:rtl/>
        </w:rPr>
        <w:t>.</w:t>
      </w:r>
      <w:r w:rsidR="0051334D">
        <w:rPr>
          <w:rtl/>
        </w:rPr>
        <w:t xml:space="preserve"> </w:t>
      </w:r>
      <w:r w:rsidR="0049100C">
        <w:rPr>
          <w:rtl/>
        </w:rPr>
        <w:t xml:space="preserve">הוא טוען שגם חכמים הסוברים שמין במינו בטל </w:t>
      </w:r>
      <w:r w:rsidR="0051334D">
        <w:rPr>
          <w:rtl/>
        </w:rPr>
        <w:t xml:space="preserve">מקבלים את העיקרון, </w:t>
      </w:r>
      <w:r w:rsidR="0049100C">
        <w:rPr>
          <w:rtl/>
        </w:rPr>
        <w:t xml:space="preserve"> אך </w:t>
      </w:r>
      <w:r w:rsidR="0051334D">
        <w:rPr>
          <w:rtl/>
        </w:rPr>
        <w:t>הם טוענים שאיסור שונה, במהותו, מהיתר, ולכן שייך ביטול באיסור והיתר מין במינו.  אבל דבר</w:t>
      </w:r>
      <w:r>
        <w:rPr>
          <w:rtl/>
        </w:rPr>
        <w:t xml:space="preserve"> שיש לו מתירין,</w:t>
      </w:r>
      <w:r w:rsidR="0051334D">
        <w:rPr>
          <w:rtl/>
        </w:rPr>
        <w:t xml:space="preserve"> שיותר בשלב מסוים לא מוגדר, עקרונית, כאיסור, ולכן לא שייך בו ביטול.  "</w:t>
      </w:r>
      <w:r w:rsidR="0051334D">
        <w:rPr>
          <w:color w:val="000000"/>
          <w:rtl/>
        </w:rPr>
        <w:t>וכך נראה לי בטעמו של דבר דחזינא לרבנן ולר' יהודה דאיפלגו במין במינו אי בטיל או לא...  וקסבר ר' יהודה דהיינו טעמא משום דמין במינו לא בטיל לפי שכל דבר שהוא דומה לחבירו אינו מחלישו ומבטלו אלא מעמידו ומחזקו ומשום הכי סבירא ליה לר' יהודה בכולהו איסורי דמין במינו לא בטיל ורבנן לא משמע להו הכי דמכל מקום מין במינו דאיסור והיתר אין דומין זה לזה כיון דחד אסור וחד שרי שאין ראוי לילך אחר דמיונן בעצם אלא אחר חילוקן באיסור והיתר....  ולפיכך כל שחלוקין באיסור והיתר אפי' מין במינו בטיל דהוה ליה כמין בשאינו מינו ומשום הכי אמרינן דבדבר שיש לו מתירין נטו רבנן משום חומרא לדרבי יהודה דכיון שאין דבר זה חלוק מן ההיתר לגמרי באיסור והיתר שהרי אף הוא סופו להיות ניתר כמוהו אמרינן שאינו בטל במינו דאי הכי הוה דמו טובא חדא שהן שוין במין ועוד שאינן חלוקים לגמרי באיסור והיתר."  לאור זה, אפשר, בנקל, לדחות את ההוכחה</w:t>
      </w:r>
      <w:r>
        <w:rPr>
          <w:color w:val="000000"/>
          <w:rtl/>
        </w:rPr>
        <w:t xml:space="preserve"> שהבאנו</w:t>
      </w:r>
      <w:r w:rsidR="0051334D">
        <w:rPr>
          <w:color w:val="000000"/>
          <w:rtl/>
        </w:rPr>
        <w:t xml:space="preserve"> משיטת רבינו תם</w:t>
      </w:r>
      <w:r>
        <w:rPr>
          <w:color w:val="000000"/>
          <w:rtl/>
        </w:rPr>
        <w:t xml:space="preserve"> לגבי הבנת דין ספיק ספיקא</w:t>
      </w:r>
      <w:r w:rsidR="0051334D">
        <w:rPr>
          <w:color w:val="000000"/>
          <w:rtl/>
        </w:rPr>
        <w:t>.  אף-על-פי-כן, כתב הרשב"א, בהסבר שיטת רבינו תם, "דכל שהוא בספק-ספיקא  היתר גמור משוינן ליה," שמשמעו, כפי שהזכרנו, שבמקרה של ספק-ספיקא אין לידת הספק כלל.</w:t>
      </w:r>
    </w:p>
    <w:p w:rsidR="0051334D" w:rsidRDefault="0051334D" w:rsidP="0051334D">
      <w:pPr>
        <w:adjustRightInd w:val="0"/>
        <w:spacing w:line="360" w:lineRule="auto"/>
        <w:rPr>
          <w:color w:val="000000"/>
          <w:rtl/>
        </w:rPr>
      </w:pPr>
    </w:p>
    <w:p w:rsidR="0051334D" w:rsidRDefault="0051334D" w:rsidP="0051334D">
      <w:pPr>
        <w:adjustRightInd w:val="0"/>
        <w:spacing w:line="360" w:lineRule="auto"/>
        <w:rPr>
          <w:color w:val="000000"/>
          <w:rtl/>
        </w:rPr>
      </w:pPr>
      <w:r>
        <w:rPr>
          <w:color w:val="000000"/>
          <w:rtl/>
        </w:rPr>
        <w:t>סיכום הדבר: לפי ההצעה השלישית , ספק-ספיקא לא דורש שום מקור כי איננו דרך לפיתרון ספיקות, אלא, במקרה של ספק-ספיקא, לא מתעוררת שום בעיה, ובכן אין שום דבר שדורש פיתרון.</w:t>
      </w:r>
    </w:p>
    <w:p w:rsidR="0051334D" w:rsidRDefault="0051334D" w:rsidP="0051334D">
      <w:pPr>
        <w:adjustRightInd w:val="0"/>
        <w:spacing w:line="360" w:lineRule="auto"/>
        <w:rPr>
          <w:color w:val="000000"/>
          <w:rtl/>
        </w:rPr>
      </w:pPr>
    </w:p>
    <w:p w:rsidR="0051334D" w:rsidRDefault="0051334D" w:rsidP="0051334D">
      <w:pPr>
        <w:adjustRightInd w:val="0"/>
        <w:spacing w:line="360" w:lineRule="auto"/>
        <w:rPr>
          <w:color w:val="000000"/>
          <w:rtl/>
        </w:rPr>
      </w:pPr>
      <w:r>
        <w:rPr>
          <w:color w:val="000000"/>
          <w:rtl/>
        </w:rPr>
        <w:t>מקורות לשיעור בשבוע הבא: מוחזקות ביחס לתשלום הכתובה</w:t>
      </w:r>
    </w:p>
    <w:p w:rsidR="0051334D" w:rsidRDefault="0051334D" w:rsidP="0051334D">
      <w:pPr>
        <w:numPr>
          <w:ilvl w:val="0"/>
          <w:numId w:val="27"/>
        </w:numPr>
        <w:adjustRightInd w:val="0"/>
        <w:spacing w:after="0" w:line="360" w:lineRule="auto"/>
        <w:jc w:val="left"/>
        <w:rPr>
          <w:color w:val="000000"/>
          <w:rtl/>
        </w:rPr>
      </w:pPr>
      <w:r>
        <w:rPr>
          <w:color w:val="000000"/>
          <w:rtl/>
        </w:rPr>
        <w:t>ט: "אמר רב יהודה אמר שמואל... אלא מדברי סופרים."</w:t>
      </w:r>
    </w:p>
    <w:p w:rsidR="0051334D" w:rsidRDefault="0051334D" w:rsidP="0051334D">
      <w:pPr>
        <w:numPr>
          <w:ilvl w:val="0"/>
          <w:numId w:val="27"/>
        </w:numPr>
        <w:adjustRightInd w:val="0"/>
        <w:spacing w:after="0" w:line="360" w:lineRule="auto"/>
        <w:jc w:val="left"/>
        <w:rPr>
          <w:color w:val="000000"/>
        </w:rPr>
      </w:pPr>
      <w:r>
        <w:rPr>
          <w:color w:val="000000"/>
          <w:rtl/>
        </w:rPr>
        <w:t>תוספות ד"ה אי למיתב (עד "בחזקת מריה"), ד"ה לא.</w:t>
      </w:r>
    </w:p>
    <w:p w:rsidR="0051334D" w:rsidRDefault="0051334D" w:rsidP="0051334D">
      <w:pPr>
        <w:numPr>
          <w:ilvl w:val="0"/>
          <w:numId w:val="27"/>
        </w:numPr>
        <w:adjustRightInd w:val="0"/>
        <w:spacing w:after="0" w:line="360" w:lineRule="auto"/>
        <w:jc w:val="left"/>
        <w:rPr>
          <w:color w:val="000000"/>
        </w:rPr>
      </w:pPr>
      <w:r>
        <w:rPr>
          <w:color w:val="000000"/>
          <w:rtl/>
        </w:rPr>
        <w:t>יב: "הנושא... ש"מ [יג.]"; טו: "האשה... לא אמר [טז.]"; עה. "היו בה... בתר חזקה דגופא [עה:]"; לו. "אילונית אין לה... לאלם הוא" – תוספות ד"ה החרשת (עד "לא איתרע").</w:t>
      </w:r>
    </w:p>
    <w:p w:rsidR="0051334D" w:rsidRDefault="0051334D" w:rsidP="0051334D">
      <w:pPr>
        <w:numPr>
          <w:ilvl w:val="0"/>
          <w:numId w:val="27"/>
        </w:numPr>
        <w:adjustRightInd w:val="0"/>
        <w:spacing w:after="0" w:line="360" w:lineRule="auto"/>
        <w:jc w:val="left"/>
        <w:rPr>
          <w:color w:val="000000"/>
        </w:rPr>
      </w:pPr>
      <w:r>
        <w:rPr>
          <w:color w:val="000000"/>
          <w:rtl/>
        </w:rPr>
        <w:t>תוספות רי"ד יב: "ור"י אומר. הלכה כר"ג ש"מ [יג.]"; שיטה מקובצת סוף פרק ראשון, "כתב הרב רבינו יהוסף הלוי... דהא ליכא למימר מיגו."</w:t>
      </w:r>
    </w:p>
    <w:p w:rsidR="0051334D" w:rsidRDefault="0051334D" w:rsidP="0051334D">
      <w:pPr>
        <w:numPr>
          <w:ilvl w:val="0"/>
          <w:numId w:val="27"/>
        </w:numPr>
        <w:adjustRightInd w:val="0"/>
        <w:spacing w:after="0" w:line="360" w:lineRule="auto"/>
        <w:jc w:val="left"/>
        <w:rPr>
          <w:color w:val="000000"/>
        </w:rPr>
      </w:pPr>
      <w:r>
        <w:rPr>
          <w:color w:val="000000"/>
          <w:rtl/>
        </w:rPr>
        <w:t>משנה סוטה כד. "מתו בעליהן.. לא נוטלות כתובתן"; כה. "מתו בעליהן... לאו כגבוי דמי [כה:]" – תוספות ד"ה בית הלל סברי.</w:t>
      </w:r>
    </w:p>
    <w:p w:rsidR="0051334D" w:rsidRDefault="0051334D" w:rsidP="0051334D">
      <w:pPr>
        <w:adjustRightInd w:val="0"/>
        <w:spacing w:line="360" w:lineRule="auto"/>
        <w:rPr>
          <w:color w:val="000000"/>
          <w:rtl/>
        </w:rPr>
      </w:pPr>
    </w:p>
    <w:p w:rsidR="0051334D" w:rsidRDefault="0051334D" w:rsidP="0051334D">
      <w:pPr>
        <w:adjustRightInd w:val="0"/>
        <w:spacing w:line="360" w:lineRule="auto"/>
        <w:rPr>
          <w:color w:val="000000"/>
          <w:rtl/>
        </w:rPr>
      </w:pPr>
      <w:r>
        <w:rPr>
          <w:color w:val="000000"/>
          <w:rtl/>
        </w:rPr>
        <w:t>שאלות:</w:t>
      </w:r>
    </w:p>
    <w:p w:rsidR="0051334D" w:rsidRDefault="0051334D" w:rsidP="0051334D">
      <w:pPr>
        <w:numPr>
          <w:ilvl w:val="0"/>
          <w:numId w:val="28"/>
        </w:numPr>
        <w:adjustRightInd w:val="0"/>
        <w:spacing w:after="0" w:line="360" w:lineRule="auto"/>
        <w:jc w:val="left"/>
        <w:rPr>
          <w:color w:val="000000"/>
          <w:rtl/>
        </w:rPr>
      </w:pPr>
      <w:r>
        <w:rPr>
          <w:color w:val="000000"/>
          <w:rtl/>
        </w:rPr>
        <w:t>איך מועיל ספק-ספיקא?</w:t>
      </w:r>
    </w:p>
    <w:p w:rsidR="0051334D" w:rsidRDefault="0051334D" w:rsidP="0051334D">
      <w:pPr>
        <w:numPr>
          <w:ilvl w:val="0"/>
          <w:numId w:val="28"/>
        </w:numPr>
        <w:adjustRightInd w:val="0"/>
        <w:spacing w:after="0" w:line="360" w:lineRule="auto"/>
        <w:jc w:val="left"/>
        <w:rPr>
          <w:color w:val="000000"/>
        </w:rPr>
      </w:pPr>
      <w:r>
        <w:rPr>
          <w:color w:val="000000"/>
          <w:rtl/>
        </w:rPr>
        <w:t>מה נחשב, לפי תוספות, רוב מדרבנן?</w:t>
      </w:r>
    </w:p>
    <w:p w:rsidR="0051334D" w:rsidRDefault="0051334D" w:rsidP="0051334D">
      <w:pPr>
        <w:numPr>
          <w:ilvl w:val="0"/>
          <w:numId w:val="28"/>
        </w:numPr>
        <w:adjustRightInd w:val="0"/>
        <w:spacing w:after="0" w:line="360" w:lineRule="auto"/>
        <w:jc w:val="left"/>
        <w:rPr>
          <w:color w:val="000000"/>
        </w:rPr>
      </w:pPr>
      <w:r>
        <w:rPr>
          <w:color w:val="000000"/>
          <w:rtl/>
        </w:rPr>
        <w:t>למה זה מועיל לגבי הלכות מסויימות ולא לגבי אחרות?</w:t>
      </w:r>
    </w:p>
    <w:p w:rsidR="0051334D" w:rsidRPr="003D5DE2" w:rsidRDefault="0051334D" w:rsidP="0051334D">
      <w:pPr>
        <w:numPr>
          <w:ilvl w:val="0"/>
          <w:numId w:val="28"/>
        </w:numPr>
        <w:adjustRightInd w:val="0"/>
        <w:spacing w:after="0" w:line="360" w:lineRule="auto"/>
        <w:jc w:val="left"/>
        <w:rPr>
          <w:color w:val="000000"/>
          <w:rtl/>
        </w:rPr>
      </w:pPr>
      <w:r>
        <w:rPr>
          <w:color w:val="000000"/>
          <w:rtl/>
        </w:rPr>
        <w:t>האם ספק-ספיקא מועיל להוציא ממון ממוחזק?</w:t>
      </w:r>
    </w:p>
    <w:p w:rsidR="00364D6A" w:rsidRDefault="00364D6A">
      <w:pPr>
        <w:rPr>
          <w:rtl/>
        </w:rPr>
      </w:pPr>
    </w:p>
    <w:p w:rsidR="007D1CF7" w:rsidRDefault="007D1CF7" w:rsidP="007D1CF7">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7D1CF7" w:rsidRPr="00F23F17" w:rsidTr="00457EA1">
        <w:tblPrEx>
          <w:tblCellMar>
            <w:top w:w="0" w:type="dxa"/>
            <w:bottom w:w="0" w:type="dxa"/>
          </w:tblCellMar>
        </w:tblPrEx>
        <w:tc>
          <w:tcPr>
            <w:tcW w:w="283" w:type="dxa"/>
            <w:tcBorders>
              <w:top w:val="nil"/>
              <w:left w:val="nil"/>
              <w:bottom w:val="nil"/>
              <w:right w:val="nil"/>
            </w:tcBorders>
          </w:tcPr>
          <w:p w:rsidR="007D1CF7" w:rsidRPr="00F23F17" w:rsidRDefault="007D1CF7" w:rsidP="00457EA1">
            <w:pPr>
              <w:pStyle w:val="ac"/>
              <w:rPr>
                <w:noProof w:val="0"/>
                <w:rtl/>
              </w:rPr>
            </w:pPr>
            <w:r w:rsidRPr="00F23F17">
              <w:rPr>
                <w:noProof w:val="0"/>
                <w:rtl/>
              </w:rPr>
              <w:t>*</w:t>
            </w:r>
          </w:p>
        </w:tc>
        <w:tc>
          <w:tcPr>
            <w:tcW w:w="4111" w:type="dxa"/>
            <w:tcBorders>
              <w:top w:val="nil"/>
              <w:left w:val="nil"/>
              <w:bottom w:val="nil"/>
              <w:right w:val="nil"/>
            </w:tcBorders>
          </w:tcPr>
          <w:p w:rsidR="007D1CF7" w:rsidRPr="00F23F17" w:rsidRDefault="007D1CF7" w:rsidP="00457EA1">
            <w:pPr>
              <w:pStyle w:val="ac"/>
              <w:rPr>
                <w:noProof w:val="0"/>
                <w:rtl/>
              </w:rPr>
            </w:pPr>
            <w:r w:rsidRPr="00F23F17">
              <w:rPr>
                <w:noProof w:val="0"/>
                <w:rtl/>
              </w:rPr>
              <w:t>**********************************************************</w:t>
            </w:r>
          </w:p>
        </w:tc>
        <w:tc>
          <w:tcPr>
            <w:tcW w:w="284" w:type="dxa"/>
            <w:tcBorders>
              <w:top w:val="nil"/>
              <w:left w:val="nil"/>
              <w:bottom w:val="nil"/>
              <w:right w:val="nil"/>
            </w:tcBorders>
          </w:tcPr>
          <w:p w:rsidR="007D1CF7" w:rsidRPr="00F23F17" w:rsidRDefault="007D1CF7" w:rsidP="00457EA1">
            <w:pPr>
              <w:pStyle w:val="ac"/>
              <w:rPr>
                <w:noProof w:val="0"/>
                <w:rtl/>
              </w:rPr>
            </w:pPr>
            <w:r w:rsidRPr="00F23F17">
              <w:rPr>
                <w:noProof w:val="0"/>
                <w:rtl/>
              </w:rPr>
              <w:t>*</w:t>
            </w:r>
          </w:p>
        </w:tc>
      </w:tr>
      <w:tr w:rsidR="007D1CF7" w:rsidRPr="00F23F17" w:rsidTr="00457EA1">
        <w:tblPrEx>
          <w:tblCellMar>
            <w:top w:w="0" w:type="dxa"/>
            <w:bottom w:w="0" w:type="dxa"/>
          </w:tblCellMar>
        </w:tblPrEx>
        <w:tc>
          <w:tcPr>
            <w:tcW w:w="283" w:type="dxa"/>
            <w:tcBorders>
              <w:top w:val="nil"/>
              <w:left w:val="nil"/>
              <w:bottom w:val="nil"/>
              <w:right w:val="nil"/>
            </w:tcBorders>
          </w:tcPr>
          <w:p w:rsidR="007D1CF7" w:rsidRPr="00F23F17" w:rsidRDefault="007D1CF7" w:rsidP="00457EA1">
            <w:pPr>
              <w:pStyle w:val="ac"/>
              <w:rPr>
                <w:noProof w:val="0"/>
                <w:rtl/>
              </w:rPr>
            </w:pPr>
            <w:r w:rsidRPr="00F23F17">
              <w:rPr>
                <w:noProof w:val="0"/>
                <w:rtl/>
              </w:rPr>
              <w:t>* * * * * * * * * *</w:t>
            </w:r>
          </w:p>
        </w:tc>
        <w:tc>
          <w:tcPr>
            <w:tcW w:w="4111" w:type="dxa"/>
            <w:tcBorders>
              <w:top w:val="nil"/>
              <w:left w:val="nil"/>
              <w:bottom w:val="nil"/>
              <w:right w:val="nil"/>
            </w:tcBorders>
          </w:tcPr>
          <w:p w:rsidR="007D1CF7" w:rsidRPr="00F23F17" w:rsidRDefault="007D1CF7" w:rsidP="00457EA1">
            <w:pPr>
              <w:pStyle w:val="ac"/>
              <w:rPr>
                <w:noProof w:val="0"/>
                <w:rtl/>
              </w:rPr>
            </w:pPr>
            <w:r w:rsidRPr="00F23F17">
              <w:rPr>
                <w:noProof w:val="0"/>
                <w:rtl/>
              </w:rPr>
              <w:t>כל הזכויות שמורות לישיבת הר עציון ולרב יאיר קאהן, תשס"ג</w:t>
            </w:r>
          </w:p>
          <w:p w:rsidR="007D1CF7" w:rsidRPr="00F23F17" w:rsidRDefault="007D1CF7" w:rsidP="00457EA1">
            <w:pPr>
              <w:pStyle w:val="ac"/>
              <w:rPr>
                <w:noProof w:val="0"/>
                <w:rtl/>
              </w:rPr>
            </w:pPr>
            <w:r w:rsidRPr="00F23F17">
              <w:rPr>
                <w:noProof w:val="0"/>
                <w:rtl/>
              </w:rPr>
              <w:t>*******************************************************</w:t>
            </w:r>
          </w:p>
          <w:p w:rsidR="007D1CF7" w:rsidRPr="00F23F17" w:rsidRDefault="007D1CF7" w:rsidP="00457EA1">
            <w:pPr>
              <w:pStyle w:val="ac"/>
              <w:rPr>
                <w:noProof w:val="0"/>
                <w:rtl/>
              </w:rPr>
            </w:pPr>
            <w:r w:rsidRPr="00F23F17">
              <w:rPr>
                <w:noProof w:val="0"/>
                <w:rtl/>
              </w:rPr>
              <w:t xml:space="preserve">בית המדרש הוירטואלי </w:t>
            </w:r>
          </w:p>
          <w:p w:rsidR="007D1CF7" w:rsidRPr="00F23F17" w:rsidRDefault="007D1CF7" w:rsidP="00457EA1">
            <w:pPr>
              <w:pStyle w:val="ac"/>
              <w:rPr>
                <w:noProof w:val="0"/>
                <w:rtl/>
              </w:rPr>
            </w:pPr>
            <w:r w:rsidRPr="00F23F17">
              <w:rPr>
                <w:noProof w:val="0"/>
                <w:rtl/>
              </w:rPr>
              <w:t xml:space="preserve">מיסודו של </w:t>
            </w:r>
          </w:p>
          <w:p w:rsidR="007D1CF7" w:rsidRPr="00F23F17" w:rsidRDefault="007D1CF7" w:rsidP="00457EA1">
            <w:pPr>
              <w:pStyle w:val="ac"/>
              <w:rPr>
                <w:noProof w:val="0"/>
                <w:rtl/>
              </w:rPr>
            </w:pPr>
            <w:r w:rsidRPr="00F23F17">
              <w:rPr>
                <w:noProof w:val="0"/>
              </w:rPr>
              <w:t>The Israel Koschitzky Virtual Beit Midrash</w:t>
            </w:r>
          </w:p>
          <w:p w:rsidR="007D1CF7" w:rsidRPr="00F23F17" w:rsidRDefault="007D1CF7" w:rsidP="0032066B">
            <w:pPr>
              <w:pStyle w:val="ac"/>
              <w:rPr>
                <w:noProof w:val="0"/>
              </w:rPr>
            </w:pPr>
            <w:r w:rsidRPr="00F23F17">
              <w:rPr>
                <w:noProof w:val="0"/>
                <w:rtl/>
              </w:rPr>
              <w:t>האתר בעברית:</w:t>
            </w:r>
            <w:r w:rsidRPr="00F23F17">
              <w:rPr>
                <w:noProof w:val="0"/>
                <w:rtl/>
              </w:rPr>
              <w:tab/>
            </w:r>
            <w:r w:rsidRPr="00F23F17">
              <w:t>http://www.</w:t>
            </w:r>
            <w:r w:rsidR="0032066B" w:rsidRPr="00F23F17">
              <w:t>etzion.org.il/he</w:t>
            </w:r>
          </w:p>
          <w:p w:rsidR="007D1CF7" w:rsidRPr="00F23F17" w:rsidRDefault="007D1CF7" w:rsidP="0032066B">
            <w:pPr>
              <w:pStyle w:val="ac"/>
              <w:rPr>
                <w:noProof w:val="0"/>
                <w:rtl/>
              </w:rPr>
            </w:pPr>
            <w:r w:rsidRPr="00F23F17">
              <w:rPr>
                <w:noProof w:val="0"/>
                <w:rtl/>
              </w:rPr>
              <w:t>האתר באנגלית:</w:t>
            </w:r>
            <w:r w:rsidRPr="00F23F17">
              <w:rPr>
                <w:noProof w:val="0"/>
                <w:rtl/>
              </w:rPr>
              <w:tab/>
            </w:r>
            <w:r w:rsidRPr="00F23F17">
              <w:t>http://www.</w:t>
            </w:r>
            <w:r w:rsidR="0032066B" w:rsidRPr="00F23F17">
              <w:t>etzion.org.il/en</w:t>
            </w:r>
            <w:bookmarkStart w:id="0" w:name="_GoBack"/>
            <w:bookmarkEnd w:id="0"/>
          </w:p>
          <w:p w:rsidR="007D1CF7" w:rsidRPr="00F23F17" w:rsidRDefault="007D1CF7" w:rsidP="00457EA1">
            <w:pPr>
              <w:pStyle w:val="ac"/>
              <w:rPr>
                <w:noProof w:val="0"/>
                <w:rtl/>
              </w:rPr>
            </w:pPr>
          </w:p>
          <w:p w:rsidR="007D1CF7" w:rsidRPr="00F23F17" w:rsidRDefault="007D1CF7" w:rsidP="00457EA1">
            <w:pPr>
              <w:pStyle w:val="ac"/>
              <w:rPr>
                <w:noProof w:val="0"/>
                <w:rtl/>
              </w:rPr>
            </w:pPr>
            <w:r w:rsidRPr="00F23F17">
              <w:rPr>
                <w:noProof w:val="0"/>
                <w:rtl/>
              </w:rPr>
              <w:t xml:space="preserve">משרדי בית המדרש הוירטואלי: 02-9937300 שלוחה 5 </w:t>
            </w:r>
          </w:p>
          <w:p w:rsidR="007D1CF7" w:rsidRPr="00F23F17" w:rsidRDefault="007D1CF7" w:rsidP="00457EA1">
            <w:pPr>
              <w:pStyle w:val="ac"/>
              <w:rPr>
                <w:noProof w:val="0"/>
                <w:rtl/>
              </w:rPr>
            </w:pPr>
            <w:r w:rsidRPr="00F23F17">
              <w:rPr>
                <w:noProof w:val="0"/>
                <w:rtl/>
              </w:rPr>
              <w:t xml:space="preserve">דואל: </w:t>
            </w:r>
            <w:r w:rsidRPr="00F23F17">
              <w:t>office@etzion.org.il</w:t>
            </w:r>
          </w:p>
        </w:tc>
        <w:tc>
          <w:tcPr>
            <w:tcW w:w="284" w:type="dxa"/>
            <w:tcBorders>
              <w:top w:val="nil"/>
              <w:left w:val="nil"/>
              <w:bottom w:val="nil"/>
              <w:right w:val="nil"/>
            </w:tcBorders>
          </w:tcPr>
          <w:p w:rsidR="007D1CF7" w:rsidRPr="00F23F17" w:rsidRDefault="007D1CF7" w:rsidP="00457EA1">
            <w:pPr>
              <w:pStyle w:val="ac"/>
              <w:rPr>
                <w:noProof w:val="0"/>
                <w:rtl/>
              </w:rPr>
            </w:pPr>
            <w:r w:rsidRPr="00F23F17">
              <w:rPr>
                <w:noProof w:val="0"/>
                <w:rtl/>
              </w:rPr>
              <w:t xml:space="preserve">* * * * * * * * * * </w:t>
            </w:r>
          </w:p>
        </w:tc>
      </w:tr>
      <w:tr w:rsidR="007D1CF7" w:rsidRPr="00F23F17" w:rsidTr="00457EA1">
        <w:tblPrEx>
          <w:tblCellMar>
            <w:top w:w="0" w:type="dxa"/>
            <w:bottom w:w="0" w:type="dxa"/>
          </w:tblCellMar>
        </w:tblPrEx>
        <w:tc>
          <w:tcPr>
            <w:tcW w:w="283" w:type="dxa"/>
            <w:tcBorders>
              <w:top w:val="nil"/>
              <w:left w:val="nil"/>
              <w:bottom w:val="nil"/>
              <w:right w:val="nil"/>
            </w:tcBorders>
          </w:tcPr>
          <w:p w:rsidR="007D1CF7" w:rsidRPr="00F23F17" w:rsidRDefault="007D1CF7" w:rsidP="00457EA1">
            <w:pPr>
              <w:pStyle w:val="ac"/>
              <w:rPr>
                <w:noProof w:val="0"/>
                <w:rtl/>
              </w:rPr>
            </w:pPr>
            <w:r w:rsidRPr="00F23F17">
              <w:rPr>
                <w:noProof w:val="0"/>
                <w:rtl/>
              </w:rPr>
              <w:t>*</w:t>
            </w:r>
          </w:p>
        </w:tc>
        <w:tc>
          <w:tcPr>
            <w:tcW w:w="4111" w:type="dxa"/>
            <w:tcBorders>
              <w:top w:val="nil"/>
              <w:left w:val="nil"/>
              <w:bottom w:val="nil"/>
              <w:right w:val="nil"/>
            </w:tcBorders>
          </w:tcPr>
          <w:p w:rsidR="007D1CF7" w:rsidRPr="00F23F17" w:rsidRDefault="007D1CF7" w:rsidP="00457EA1">
            <w:pPr>
              <w:pStyle w:val="ac"/>
              <w:rPr>
                <w:noProof w:val="0"/>
                <w:rtl/>
              </w:rPr>
            </w:pPr>
            <w:r w:rsidRPr="00F23F17">
              <w:rPr>
                <w:noProof w:val="0"/>
                <w:rtl/>
              </w:rPr>
              <w:t>**********************************************************</w:t>
            </w:r>
          </w:p>
        </w:tc>
        <w:tc>
          <w:tcPr>
            <w:tcW w:w="284" w:type="dxa"/>
            <w:tcBorders>
              <w:top w:val="nil"/>
              <w:left w:val="nil"/>
              <w:bottom w:val="nil"/>
              <w:right w:val="nil"/>
            </w:tcBorders>
          </w:tcPr>
          <w:p w:rsidR="007D1CF7" w:rsidRPr="00F23F17" w:rsidRDefault="007D1CF7" w:rsidP="00457EA1">
            <w:pPr>
              <w:pStyle w:val="ac"/>
              <w:rPr>
                <w:noProof w:val="0"/>
                <w:rtl/>
              </w:rPr>
            </w:pPr>
            <w:r w:rsidRPr="00F23F17">
              <w:rPr>
                <w:noProof w:val="0"/>
                <w:rtl/>
              </w:rPr>
              <w:t>*</w:t>
            </w:r>
          </w:p>
        </w:tc>
      </w:tr>
    </w:tbl>
    <w:p w:rsidR="007D1CF7" w:rsidRDefault="007D1CF7" w:rsidP="007D1CF7">
      <w:pPr>
        <w:spacing w:after="0" w:line="240" w:lineRule="auto"/>
        <w:rPr>
          <w:sz w:val="4"/>
          <w:szCs w:val="4"/>
        </w:rPr>
      </w:pPr>
    </w:p>
    <w:p w:rsidR="00364D6A" w:rsidRDefault="00364D6A" w:rsidP="007D1CF7">
      <w:pPr>
        <w:rPr>
          <w:sz w:val="4"/>
          <w:szCs w:val="4"/>
        </w:rPr>
      </w:pPr>
    </w:p>
    <w:sectPr w:rsidR="00364D6A">
      <w:headerReference w:type="default" r:id="rId7"/>
      <w:headerReference w:type="first" r:id="rId8"/>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F17" w:rsidRDefault="00F23F17">
      <w:pPr>
        <w:spacing w:after="0" w:line="240" w:lineRule="auto"/>
      </w:pPr>
      <w:r>
        <w:separator/>
      </w:r>
    </w:p>
  </w:endnote>
  <w:endnote w:type="continuationSeparator" w:id="0">
    <w:p w:rsidR="00F23F17" w:rsidRDefault="00F2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altName w:val="Andale Mono IPA"/>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F17" w:rsidRDefault="00F23F17">
      <w:pPr>
        <w:spacing w:after="0" w:line="240" w:lineRule="auto"/>
      </w:pPr>
      <w:r>
        <w:separator/>
      </w:r>
    </w:p>
  </w:footnote>
  <w:footnote w:type="continuationSeparator" w:id="0">
    <w:p w:rsidR="00F23F17" w:rsidRDefault="00F23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6A" w:rsidRDefault="00364D6A">
    <w:pPr>
      <w:pStyle w:val="a6"/>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2066B">
      <w:rPr>
        <w:b/>
        <w:bCs/>
        <w:noProof/>
        <w:rtl/>
      </w:rPr>
      <w:t>2</w:t>
    </w:r>
    <w:r>
      <w:rPr>
        <w:b/>
        <w:bCs/>
        <w:rtl/>
      </w:rPr>
      <w:fldChar w:fldCharType="end"/>
    </w:r>
    <w:r>
      <w:rPr>
        <w:b/>
        <w:bCs/>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364D6A" w:rsidRPr="00F23F17">
      <w:tblPrEx>
        <w:tblCellMar>
          <w:top w:w="0" w:type="dxa"/>
          <w:bottom w:w="0" w:type="dxa"/>
        </w:tblCellMar>
      </w:tblPrEx>
      <w:tc>
        <w:tcPr>
          <w:tcW w:w="4927" w:type="dxa"/>
          <w:tcBorders>
            <w:top w:val="nil"/>
            <w:left w:val="nil"/>
            <w:bottom w:val="double" w:sz="4" w:space="0" w:color="auto"/>
            <w:right w:val="nil"/>
          </w:tcBorders>
        </w:tcPr>
        <w:p w:rsidR="00364D6A" w:rsidRPr="00F23F17" w:rsidRDefault="00364D6A">
          <w:pPr>
            <w:pStyle w:val="a6"/>
            <w:tabs>
              <w:tab w:val="clear" w:pos="4153"/>
              <w:tab w:val="clear" w:pos="8306"/>
              <w:tab w:val="center" w:pos="4818"/>
              <w:tab w:val="right" w:pos="8220"/>
            </w:tabs>
            <w:spacing w:after="0"/>
            <w:rPr>
              <w:rtl/>
            </w:rPr>
          </w:pPr>
          <w:r w:rsidRPr="00F23F17">
            <w:rPr>
              <w:rtl/>
            </w:rPr>
            <w:t>בית המדרש הוירטואלי (</w:t>
          </w:r>
          <w:r w:rsidRPr="00F23F17">
            <w:t>V.B.M</w:t>
          </w:r>
          <w:r w:rsidRPr="00F23F17">
            <w:rPr>
              <w:rtl/>
            </w:rPr>
            <w:t>) שליד ישיבת הר עציון</w:t>
          </w:r>
        </w:p>
        <w:p w:rsidR="00364D6A" w:rsidRPr="00F23F17" w:rsidRDefault="00364D6A">
          <w:pPr>
            <w:pStyle w:val="a6"/>
            <w:tabs>
              <w:tab w:val="clear" w:pos="4153"/>
              <w:tab w:val="clear" w:pos="8306"/>
              <w:tab w:val="center" w:pos="4818"/>
              <w:tab w:val="right" w:pos="8220"/>
            </w:tabs>
            <w:spacing w:after="0"/>
            <w:rPr>
              <w:rtl/>
            </w:rPr>
          </w:pPr>
          <w:r w:rsidRPr="00F23F17">
            <w:rPr>
              <w:rtl/>
            </w:rPr>
            <w:t>שיעורים בגמרא (מסכת כתובות) מאת הרב יאיר קאהן</w:t>
          </w:r>
        </w:p>
      </w:tc>
      <w:tc>
        <w:tcPr>
          <w:tcW w:w="4927" w:type="dxa"/>
          <w:tcBorders>
            <w:top w:val="nil"/>
            <w:left w:val="nil"/>
            <w:bottom w:val="double" w:sz="4" w:space="0" w:color="auto"/>
            <w:right w:val="nil"/>
          </w:tcBorders>
          <w:vAlign w:val="center"/>
        </w:tcPr>
        <w:p w:rsidR="00364D6A" w:rsidRPr="00F23F17" w:rsidRDefault="00364D6A" w:rsidP="0032066B">
          <w:pPr>
            <w:pStyle w:val="a6"/>
            <w:tabs>
              <w:tab w:val="clear" w:pos="4153"/>
              <w:tab w:val="clear" w:pos="8306"/>
              <w:tab w:val="right" w:pos="8220"/>
            </w:tabs>
            <w:bidi w:val="0"/>
            <w:spacing w:after="0" w:line="240" w:lineRule="auto"/>
            <w:jc w:val="left"/>
            <w:rPr>
              <w:sz w:val="28"/>
              <w:szCs w:val="24"/>
            </w:rPr>
          </w:pPr>
          <w:r w:rsidRPr="00F23F17">
            <w:rPr>
              <w:b/>
              <w:bCs/>
              <w:sz w:val="28"/>
              <w:szCs w:val="24"/>
            </w:rPr>
            <w:t>www.</w:t>
          </w:r>
          <w:r w:rsidR="0032066B" w:rsidRPr="00F23F17">
            <w:rPr>
              <w:b/>
              <w:bCs/>
              <w:sz w:val="28"/>
              <w:szCs w:val="24"/>
            </w:rPr>
            <w:t>etzion.org.il/he</w:t>
          </w:r>
        </w:p>
      </w:tc>
    </w:tr>
  </w:tbl>
  <w:p w:rsidR="00364D6A" w:rsidRDefault="00364D6A">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1" w15:restartNumberingAfterBreak="0">
    <w:nsid w:val="0F4F785D"/>
    <w:multiLevelType w:val="singleLevel"/>
    <w:tmpl w:val="DA6C0DCC"/>
    <w:lvl w:ilvl="0">
      <w:start w:val="3"/>
      <w:numFmt w:val="hebrew1"/>
      <w:lvlText w:val="%1 "/>
      <w:lvlJc w:val="left"/>
      <w:pPr>
        <w:tabs>
          <w:tab w:val="num" w:pos="360"/>
        </w:tabs>
        <w:ind w:hanging="360"/>
      </w:pPr>
      <w:rPr>
        <w:rFonts w:cs="Narkisim" w:hint="cs"/>
        <w:b/>
        <w:sz w:val="24"/>
        <w:szCs w:val="20"/>
        <w:u w:val="single"/>
      </w:rPr>
    </w:lvl>
  </w:abstractNum>
  <w:abstractNum w:abstractNumId="2" w15:restartNumberingAfterBreak="0">
    <w:nsid w:val="12EB00E0"/>
    <w:multiLevelType w:val="singleLevel"/>
    <w:tmpl w:val="636ED04E"/>
    <w:lvl w:ilvl="0">
      <w:start w:val="1"/>
      <w:numFmt w:val="decimal"/>
      <w:lvlText w:val="%1."/>
      <w:lvlJc w:val="left"/>
      <w:pPr>
        <w:tabs>
          <w:tab w:val="num" w:pos="360"/>
        </w:tabs>
        <w:ind w:hanging="360"/>
      </w:pPr>
      <w:rPr>
        <w:rFonts w:cs="Miriam" w:hint="cs"/>
        <w:sz w:val="24"/>
      </w:rPr>
    </w:lvl>
  </w:abstractNum>
  <w:abstractNum w:abstractNumId="3" w15:restartNumberingAfterBreak="0">
    <w:nsid w:val="168F20BD"/>
    <w:multiLevelType w:val="hybridMultilevel"/>
    <w:tmpl w:val="698C8F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5" w15:restartNumberingAfterBreak="0">
    <w:nsid w:val="1B3B69AC"/>
    <w:multiLevelType w:val="singleLevel"/>
    <w:tmpl w:val="91247FF4"/>
    <w:lvl w:ilvl="0">
      <w:start w:val="1"/>
      <w:numFmt w:val="hebrew1"/>
      <w:lvlText w:val="%1."/>
      <w:lvlJc w:val="left"/>
      <w:pPr>
        <w:tabs>
          <w:tab w:val="num" w:pos="360"/>
        </w:tabs>
        <w:ind w:hanging="360"/>
      </w:pPr>
      <w:rPr>
        <w:rFonts w:cs="Narkisim" w:hint="cs"/>
        <w:sz w:val="24"/>
        <w:szCs w:val="20"/>
      </w:rPr>
    </w:lvl>
  </w:abstractNum>
  <w:abstractNum w:abstractNumId="6" w15:restartNumberingAfterBreak="0">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15:restartNumberingAfterBreak="0">
    <w:nsid w:val="26083BE4"/>
    <w:multiLevelType w:val="singleLevel"/>
    <w:tmpl w:val="9950FA82"/>
    <w:lvl w:ilvl="0">
      <w:start w:val="1"/>
      <w:numFmt w:val="hebrew1"/>
      <w:lvlText w:val="%1."/>
      <w:lvlJc w:val="left"/>
      <w:pPr>
        <w:tabs>
          <w:tab w:val="num" w:pos="722"/>
        </w:tabs>
        <w:ind w:hanging="495"/>
      </w:pPr>
      <w:rPr>
        <w:rFonts w:cs="Narkisim" w:hint="cs"/>
        <w:sz w:val="22"/>
        <w:szCs w:val="20"/>
      </w:rPr>
    </w:lvl>
  </w:abstractNum>
  <w:abstractNum w:abstractNumId="8" w15:restartNumberingAfterBreak="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9" w15:restartNumberingAfterBreak="0">
    <w:nsid w:val="2CFB61B2"/>
    <w:multiLevelType w:val="singleLevel"/>
    <w:tmpl w:val="6A0EF23A"/>
    <w:lvl w:ilvl="0">
      <w:start w:val="1"/>
      <w:numFmt w:val="decimal"/>
      <w:lvlText w:val="%1."/>
      <w:lvlJc w:val="left"/>
      <w:pPr>
        <w:tabs>
          <w:tab w:val="num" w:pos="360"/>
        </w:tabs>
        <w:ind w:hanging="360"/>
      </w:pPr>
      <w:rPr>
        <w:rFonts w:cs="Narkisim" w:hint="cs"/>
        <w:sz w:val="24"/>
      </w:rPr>
    </w:lvl>
  </w:abstractNum>
  <w:abstractNum w:abstractNumId="10" w15:restartNumberingAfterBreak="0">
    <w:nsid w:val="343806FC"/>
    <w:multiLevelType w:val="singleLevel"/>
    <w:tmpl w:val="5A501D24"/>
    <w:lvl w:ilvl="0">
      <w:start w:val="1"/>
      <w:numFmt w:val="hebrew1"/>
      <w:lvlText w:val="%1."/>
      <w:lvlJc w:val="left"/>
      <w:pPr>
        <w:tabs>
          <w:tab w:val="num" w:pos="722"/>
        </w:tabs>
        <w:ind w:hanging="495"/>
      </w:pPr>
      <w:rPr>
        <w:rFonts w:cs="Narkisim" w:hint="cs"/>
        <w:sz w:val="22"/>
        <w:szCs w:val="20"/>
      </w:rPr>
    </w:lvl>
  </w:abstractNum>
  <w:abstractNum w:abstractNumId="11" w15:restartNumberingAfterBreak="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2" w15:restartNumberingAfterBreak="0">
    <w:nsid w:val="3BBF58F1"/>
    <w:multiLevelType w:val="singleLevel"/>
    <w:tmpl w:val="040D0013"/>
    <w:lvl w:ilvl="0">
      <w:start w:val="1"/>
      <w:numFmt w:val="hebrew1"/>
      <w:lvlText w:val="%1."/>
      <w:lvlJc w:val="center"/>
      <w:pPr>
        <w:tabs>
          <w:tab w:val="num" w:pos="648"/>
        </w:tabs>
        <w:ind w:hanging="360"/>
      </w:pPr>
      <w:rPr>
        <w:rFonts w:cs="Narkisim"/>
        <w:sz w:val="2"/>
        <w:szCs w:val="20"/>
      </w:rPr>
    </w:lvl>
  </w:abstractNum>
  <w:abstractNum w:abstractNumId="13" w15:restartNumberingAfterBreak="0">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4" w15:restartNumberingAfterBreak="0">
    <w:nsid w:val="446524A5"/>
    <w:multiLevelType w:val="singleLevel"/>
    <w:tmpl w:val="09207BEA"/>
    <w:lvl w:ilvl="0">
      <w:start w:val="1"/>
      <w:numFmt w:val="hebrew1"/>
      <w:lvlText w:val="%1."/>
      <w:lvlJc w:val="center"/>
      <w:pPr>
        <w:tabs>
          <w:tab w:val="num" w:pos="360"/>
        </w:tabs>
      </w:pPr>
      <w:rPr>
        <w:rFonts w:cs="David" w:hint="cs"/>
        <w:bCs w:val="0"/>
        <w:iCs w:val="0"/>
        <w:color w:val="auto"/>
        <w:sz w:val="2"/>
        <w:szCs w:val="16"/>
      </w:rPr>
    </w:lvl>
  </w:abstractNum>
  <w:abstractNum w:abstractNumId="15" w15:restartNumberingAfterBreak="0">
    <w:nsid w:val="4550549F"/>
    <w:multiLevelType w:val="singleLevel"/>
    <w:tmpl w:val="4BBCB8CA"/>
    <w:lvl w:ilvl="0">
      <w:start w:val="1"/>
      <w:numFmt w:val="decimal"/>
      <w:lvlText w:val="%1."/>
      <w:lvlJc w:val="left"/>
      <w:pPr>
        <w:tabs>
          <w:tab w:val="num" w:pos="360"/>
        </w:tabs>
        <w:ind w:hanging="360"/>
      </w:pPr>
      <w:rPr>
        <w:rFonts w:cs="Narkisim" w:hint="cs"/>
        <w:sz w:val="24"/>
      </w:rPr>
    </w:lvl>
  </w:abstractNum>
  <w:abstractNum w:abstractNumId="16" w15:restartNumberingAfterBreak="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7" w15:restartNumberingAfterBreak="0">
    <w:nsid w:val="5D2F134F"/>
    <w:multiLevelType w:val="singleLevel"/>
    <w:tmpl w:val="C0DE8746"/>
    <w:lvl w:ilvl="0">
      <w:start w:val="1"/>
      <w:numFmt w:val="hebrew1"/>
      <w:lvlText w:val="%1."/>
      <w:lvlJc w:val="left"/>
      <w:pPr>
        <w:tabs>
          <w:tab w:val="num" w:pos="360"/>
        </w:tabs>
        <w:ind w:hanging="360"/>
      </w:pPr>
      <w:rPr>
        <w:rFonts w:cs="Narkisim" w:hint="cs"/>
        <w:sz w:val="24"/>
        <w:szCs w:val="20"/>
      </w:rPr>
    </w:lvl>
  </w:abstractNum>
  <w:abstractNum w:abstractNumId="18" w15:restartNumberingAfterBreak="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19" w15:restartNumberingAfterBreak="0">
    <w:nsid w:val="62133015"/>
    <w:multiLevelType w:val="singleLevel"/>
    <w:tmpl w:val="BBFEB616"/>
    <w:lvl w:ilvl="0">
      <w:start w:val="1"/>
      <w:numFmt w:val="hebrew1"/>
      <w:lvlText w:val="%1."/>
      <w:lvlJc w:val="left"/>
      <w:pPr>
        <w:tabs>
          <w:tab w:val="num" w:pos="360"/>
        </w:tabs>
        <w:ind w:hanging="360"/>
      </w:pPr>
      <w:rPr>
        <w:rFonts w:cs="Narkisim" w:hint="cs"/>
        <w:sz w:val="2"/>
        <w:szCs w:val="20"/>
      </w:rPr>
    </w:lvl>
  </w:abstractNum>
  <w:abstractNum w:abstractNumId="20" w15:restartNumberingAfterBreak="0">
    <w:nsid w:val="629D6F2B"/>
    <w:multiLevelType w:val="singleLevel"/>
    <w:tmpl w:val="13EE13D6"/>
    <w:lvl w:ilvl="0">
      <w:start w:val="1"/>
      <w:numFmt w:val="decimal"/>
      <w:lvlText w:val="%1."/>
      <w:lvlJc w:val="left"/>
      <w:pPr>
        <w:tabs>
          <w:tab w:val="num" w:pos="360"/>
        </w:tabs>
        <w:ind w:hanging="360"/>
      </w:pPr>
      <w:rPr>
        <w:rFonts w:cs="Miriam" w:hint="cs"/>
        <w:sz w:val="24"/>
      </w:rPr>
    </w:lvl>
  </w:abstractNum>
  <w:abstractNum w:abstractNumId="21" w15:restartNumberingAfterBreak="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15:restartNumberingAfterBreak="0">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15:restartNumberingAfterBreak="0">
    <w:nsid w:val="6AA45899"/>
    <w:multiLevelType w:val="hybridMultilevel"/>
    <w:tmpl w:val="5AD4F9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BC36226"/>
    <w:multiLevelType w:val="singleLevel"/>
    <w:tmpl w:val="449CA95E"/>
    <w:lvl w:ilvl="0">
      <w:start w:val="1"/>
      <w:numFmt w:val="decimal"/>
      <w:lvlText w:val="%1."/>
      <w:lvlJc w:val="right"/>
      <w:pPr>
        <w:tabs>
          <w:tab w:val="num" w:pos="397"/>
        </w:tabs>
        <w:ind w:hanging="113"/>
      </w:pPr>
      <w:rPr>
        <w:rFonts w:cs="David" w:hint="cs"/>
        <w:bCs/>
        <w:iCs w:val="0"/>
        <w:color w:val="auto"/>
        <w:sz w:val="22"/>
        <w:szCs w:val="22"/>
      </w:rPr>
    </w:lvl>
  </w:abstractNum>
  <w:abstractNum w:abstractNumId="25" w15:restartNumberingAfterBreak="0">
    <w:nsid w:val="7A6412F9"/>
    <w:multiLevelType w:val="singleLevel"/>
    <w:tmpl w:val="20AA8074"/>
    <w:lvl w:ilvl="0">
      <w:start w:val="1"/>
      <w:numFmt w:val="decimal"/>
      <w:lvlText w:val="%1."/>
      <w:lvlJc w:val="left"/>
      <w:pPr>
        <w:tabs>
          <w:tab w:val="num" w:pos="360"/>
        </w:tabs>
        <w:ind w:hanging="360"/>
      </w:pPr>
      <w:rPr>
        <w:rFonts w:cs="Narkisim" w:hint="cs"/>
        <w:sz w:val="24"/>
      </w:rPr>
    </w:lvl>
  </w:abstractNum>
  <w:abstractNum w:abstractNumId="26" w15:restartNumberingAfterBreak="0">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15:restartNumberingAfterBreak="0">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4"/>
  </w:num>
  <w:num w:numId="2">
    <w:abstractNumId w:val="18"/>
  </w:num>
  <w:num w:numId="3">
    <w:abstractNumId w:val="27"/>
  </w:num>
  <w:num w:numId="4">
    <w:abstractNumId w:val="13"/>
  </w:num>
  <w:num w:numId="5">
    <w:abstractNumId w:val="4"/>
  </w:num>
  <w:num w:numId="6">
    <w:abstractNumId w:val="21"/>
  </w:num>
  <w:num w:numId="7">
    <w:abstractNumId w:val="11"/>
  </w:num>
  <w:num w:numId="8">
    <w:abstractNumId w:val="26"/>
  </w:num>
  <w:num w:numId="9">
    <w:abstractNumId w:val="0"/>
  </w:num>
  <w:num w:numId="10">
    <w:abstractNumId w:val="6"/>
  </w:num>
  <w:num w:numId="11">
    <w:abstractNumId w:val="22"/>
  </w:num>
  <w:num w:numId="12">
    <w:abstractNumId w:val="8"/>
  </w:num>
  <w:num w:numId="13">
    <w:abstractNumId w:val="16"/>
  </w:num>
  <w:num w:numId="14">
    <w:abstractNumId w:val="14"/>
  </w:num>
  <w:num w:numId="15">
    <w:abstractNumId w:val="17"/>
  </w:num>
  <w:num w:numId="16">
    <w:abstractNumId w:val="7"/>
  </w:num>
  <w:num w:numId="17">
    <w:abstractNumId w:val="10"/>
  </w:num>
  <w:num w:numId="18">
    <w:abstractNumId w:val="12"/>
  </w:num>
  <w:num w:numId="19">
    <w:abstractNumId w:val="20"/>
  </w:num>
  <w:num w:numId="20">
    <w:abstractNumId w:val="2"/>
  </w:num>
  <w:num w:numId="21">
    <w:abstractNumId w:val="19"/>
  </w:num>
  <w:num w:numId="22">
    <w:abstractNumId w:val="5"/>
  </w:num>
  <w:num w:numId="23">
    <w:abstractNumId w:val="9"/>
  </w:num>
  <w:num w:numId="24">
    <w:abstractNumId w:val="1"/>
  </w:num>
  <w:num w:numId="25">
    <w:abstractNumId w:val="15"/>
  </w:num>
  <w:num w:numId="26">
    <w:abstractNumId w:val="25"/>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D6A"/>
    <w:rsid w:val="00246F89"/>
    <w:rsid w:val="0032066B"/>
    <w:rsid w:val="00364D6A"/>
    <w:rsid w:val="003D31E1"/>
    <w:rsid w:val="003D5DE2"/>
    <w:rsid w:val="00457EA1"/>
    <w:rsid w:val="0048503B"/>
    <w:rsid w:val="0049100C"/>
    <w:rsid w:val="0051334D"/>
    <w:rsid w:val="005734F1"/>
    <w:rsid w:val="007267BB"/>
    <w:rsid w:val="007D1CF7"/>
    <w:rsid w:val="00B61DDF"/>
    <w:rsid w:val="00B97BB3"/>
    <w:rsid w:val="00DF2F38"/>
    <w:rsid w:val="00F2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B0B72"/>
  <w14:defaultImageDpi w14:val="0"/>
  <w15:docId w15:val="{8AC37F63-9668-426F-A7A7-F05C23C9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80" w:line="280" w:lineRule="exact"/>
      <w:jc w:val="both"/>
    </w:pPr>
    <w:rPr>
      <w:rFonts w:ascii="Times New Roman" w:hAnsi="Times New Roman" w:cs="Narkisim"/>
    </w:rPr>
  </w:style>
  <w:style w:type="paragraph" w:styleId="1">
    <w:name w:val="heading 1"/>
    <w:basedOn w:val="a"/>
    <w:next w:val="a"/>
    <w:link w:val="10"/>
    <w:uiPriority w:val="99"/>
    <w:qFormat/>
    <w:pPr>
      <w:keepNext/>
      <w:outlineLvl w:val="0"/>
    </w:pPr>
    <w:rPr>
      <w:rFonts w:cs="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rFonts w:cs="Miriam"/>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Pr>
      <w:rFonts w:ascii="Cambria" w:eastAsia="Times New Roman" w:hAnsi="Cambria" w:cs="Times New Roman"/>
      <w:b/>
      <w:bCs/>
      <w:kern w:val="32"/>
      <w:sz w:val="32"/>
      <w:szCs w:val="32"/>
    </w:rPr>
  </w:style>
  <w:style w:type="character" w:customStyle="1" w:styleId="20">
    <w:name w:val="כותרת 2 תו"/>
    <w:link w:val="2"/>
    <w:uiPriority w:val="9"/>
    <w:semiHidden/>
    <w:locked/>
    <w:rPr>
      <w:rFonts w:ascii="Cambria" w:eastAsia="Times New Roman" w:hAnsi="Cambria" w:cs="Times New Roman"/>
      <w:b/>
      <w:bCs/>
      <w:i/>
      <w:iCs/>
      <w:sz w:val="28"/>
      <w:szCs w:val="28"/>
    </w:rPr>
  </w:style>
  <w:style w:type="character" w:customStyle="1" w:styleId="30">
    <w:name w:val="כותרת 3 תו"/>
    <w:link w:val="3"/>
    <w:uiPriority w:val="9"/>
    <w:semiHidden/>
    <w:locked/>
    <w:rPr>
      <w:rFonts w:ascii="Cambria" w:eastAsia="Times New Roman" w:hAnsi="Cambria" w:cs="Times New Roman"/>
      <w:b/>
      <w:bCs/>
      <w:sz w:val="26"/>
      <w:szCs w:val="26"/>
    </w:rPr>
  </w:style>
  <w:style w:type="character" w:customStyle="1" w:styleId="40">
    <w:name w:val="כותרת 4 תו"/>
    <w:link w:val="4"/>
    <w:uiPriority w:val="9"/>
    <w:semiHidden/>
    <w:locked/>
    <w:rPr>
      <w:rFonts w:cs="Times New Roman"/>
      <w:b/>
      <w:bCs/>
      <w:sz w:val="28"/>
      <w:szCs w:val="28"/>
    </w:rPr>
  </w:style>
  <w:style w:type="character" w:customStyle="1" w:styleId="50">
    <w:name w:val="כותרת 5 תו"/>
    <w:link w:val="5"/>
    <w:uiPriority w:val="9"/>
    <w:semiHidden/>
    <w:locked/>
    <w:rPr>
      <w:rFonts w:cs="Times New Roman"/>
      <w:b/>
      <w:bCs/>
      <w:i/>
      <w:iCs/>
      <w:sz w:val="26"/>
      <w:szCs w:val="26"/>
    </w:rPr>
  </w:style>
  <w:style w:type="paragraph" w:styleId="a3">
    <w:name w:val="footnote text"/>
    <w:basedOn w:val="a"/>
    <w:link w:val="a4"/>
    <w:uiPriority w:val="99"/>
    <w:pPr>
      <w:spacing w:line="240" w:lineRule="auto"/>
      <w:ind w:right="227" w:hanging="227"/>
    </w:pPr>
    <w:rPr>
      <w:position w:val="6"/>
      <w:szCs w:val="16"/>
    </w:rPr>
  </w:style>
  <w:style w:type="character" w:customStyle="1" w:styleId="a4">
    <w:name w:val="טקסט הערת שוליים תו"/>
    <w:link w:val="a3"/>
    <w:uiPriority w:val="99"/>
    <w:semiHidden/>
    <w:locked/>
    <w:rPr>
      <w:rFonts w:ascii="Times New Roman" w:hAnsi="Times New Roman" w:cs="Narkisim"/>
      <w:sz w:val="20"/>
      <w:szCs w:val="20"/>
      <w:lang w:bidi="he-IL"/>
    </w:rPr>
  </w:style>
  <w:style w:type="character" w:styleId="a5">
    <w:name w:val="footnote reference"/>
    <w:uiPriority w:val="99"/>
    <w:rPr>
      <w:rFonts w:cs="Narkisim"/>
      <w:position w:val="6"/>
      <w:sz w:val="16"/>
      <w:szCs w:val="16"/>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locked/>
    <w:rPr>
      <w:rFonts w:ascii="Times New Roman" w:hAnsi="Times New Roman" w:cs="Narkisim"/>
      <w:sz w:val="20"/>
      <w:szCs w:val="20"/>
      <w:lang w:bidi="he-IL"/>
    </w:rPr>
  </w:style>
  <w:style w:type="paragraph" w:customStyle="1" w:styleId="a8">
    <w:name w:val="פרשה"/>
    <w:basedOn w:val="1"/>
    <w:uiPriority w:val="99"/>
    <w:pPr>
      <w:spacing w:before="240" w:after="240" w:line="240" w:lineRule="auto"/>
      <w:jc w:val="center"/>
    </w:pPr>
    <w:rPr>
      <w:rFonts w:cs="Narkisim"/>
      <w:b/>
      <w:bCs/>
      <w:sz w:val="46"/>
      <w:szCs w:val="50"/>
    </w:rPr>
  </w:style>
  <w:style w:type="paragraph" w:styleId="a9">
    <w:name w:val="Quote"/>
    <w:basedOn w:val="a"/>
    <w:link w:val="aa"/>
    <w:uiPriority w:val="99"/>
    <w:pPr>
      <w:tabs>
        <w:tab w:val="right" w:pos="4620"/>
      </w:tabs>
      <w:ind w:right="567"/>
    </w:pPr>
  </w:style>
  <w:style w:type="character" w:customStyle="1" w:styleId="aa">
    <w:name w:val="ציטוט תו"/>
    <w:link w:val="a9"/>
    <w:uiPriority w:val="29"/>
    <w:rPr>
      <w:rFonts w:ascii="Times New Roman" w:hAnsi="Times New Roman" w:cs="Narkisim"/>
      <w:i/>
      <w:iCs/>
      <w:color w:val="404040"/>
      <w:sz w:val="20"/>
      <w:szCs w:val="20"/>
    </w:rPr>
  </w:style>
  <w:style w:type="paragraph" w:customStyle="1" w:styleId="ab">
    <w:name w:val="כותרת"/>
    <w:basedOn w:val="a"/>
    <w:pPr>
      <w:keepNext/>
      <w:spacing w:before="240" w:after="120" w:line="240" w:lineRule="auto"/>
      <w:jc w:val="center"/>
      <w:outlineLvl w:val="1"/>
    </w:pPr>
    <w:rPr>
      <w:b/>
      <w:bCs/>
      <w:sz w:val="42"/>
      <w:szCs w:val="44"/>
    </w:rPr>
  </w:style>
  <w:style w:type="paragraph" w:customStyle="1" w:styleId="21">
    <w:name w:val="כותרת2"/>
    <w:basedOn w:val="ab"/>
    <w:uiPriority w:val="99"/>
    <w:pPr>
      <w:spacing w:before="120" w:after="60"/>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d">
    <w:name w:val="footer"/>
    <w:basedOn w:val="a"/>
    <w:link w:val="ae"/>
    <w:uiPriority w:val="99"/>
    <w:pPr>
      <w:tabs>
        <w:tab w:val="center" w:pos="4153"/>
        <w:tab w:val="right" w:pos="8306"/>
      </w:tabs>
    </w:pPr>
  </w:style>
  <w:style w:type="character" w:customStyle="1" w:styleId="ae">
    <w:name w:val="כותרת תחתונה תו"/>
    <w:link w:val="ad"/>
    <w:uiPriority w:val="99"/>
    <w:semiHidden/>
    <w:locked/>
    <w:rPr>
      <w:rFonts w:ascii="Times New Roman" w:hAnsi="Times New Roman" w:cs="Narkisim"/>
      <w:sz w:val="20"/>
      <w:szCs w:val="20"/>
      <w:lang w:bidi="he-IL"/>
    </w:rPr>
  </w:style>
  <w:style w:type="paragraph" w:styleId="af">
    <w:name w:val="Body Text"/>
    <w:basedOn w:val="a"/>
    <w:link w:val="af0"/>
    <w:uiPriority w:val="99"/>
    <w:pPr>
      <w:spacing w:after="120" w:line="360" w:lineRule="auto"/>
    </w:pPr>
    <w:rPr>
      <w:rFonts w:cs="David"/>
      <w:sz w:val="24"/>
      <w:szCs w:val="24"/>
    </w:rPr>
  </w:style>
  <w:style w:type="character" w:customStyle="1" w:styleId="af0">
    <w:name w:val="גוף טקסט תו"/>
    <w:link w:val="af"/>
    <w:uiPriority w:val="99"/>
    <w:semiHidden/>
    <w:locked/>
    <w:rPr>
      <w:rFonts w:ascii="Times New Roman" w:hAnsi="Times New Roman" w:cs="Narkisim"/>
      <w:sz w:val="20"/>
      <w:szCs w:val="20"/>
      <w:lang w:bidi="he-IL"/>
    </w:rPr>
  </w:style>
  <w:style w:type="paragraph" w:styleId="22">
    <w:name w:val="Body Text 2"/>
    <w:basedOn w:val="a"/>
    <w:link w:val="23"/>
    <w:uiPriority w:val="99"/>
    <w:pPr>
      <w:spacing w:after="0" w:line="240" w:lineRule="auto"/>
      <w:jc w:val="left"/>
    </w:pPr>
    <w:rPr>
      <w:color w:val="000000"/>
      <w:sz w:val="32"/>
      <w:szCs w:val="24"/>
    </w:rPr>
  </w:style>
  <w:style w:type="character" w:customStyle="1" w:styleId="23">
    <w:name w:val="גוף טקסט 2 תו"/>
    <w:link w:val="22"/>
    <w:uiPriority w:val="99"/>
    <w:semiHidden/>
    <w:locked/>
    <w:rPr>
      <w:rFonts w:ascii="Times New Roman" w:hAnsi="Times New Roman" w:cs="Narkisim"/>
      <w:sz w:val="20"/>
      <w:szCs w:val="20"/>
      <w:lang w:bidi="he-IL"/>
    </w:rPr>
  </w:style>
  <w:style w:type="paragraph" w:customStyle="1" w:styleId="31">
    <w:name w:val="כותרת3"/>
    <w:basedOn w:val="a"/>
    <w:uiPriority w:val="99"/>
    <w:pPr>
      <w:spacing w:before="120"/>
    </w:pPr>
    <w:rPr>
      <w:rFonts w:cs="Arial"/>
      <w:b/>
      <w:bCs/>
    </w:rPr>
  </w:style>
  <w:style w:type="paragraph" w:styleId="32">
    <w:name w:val="Body Text 3"/>
    <w:basedOn w:val="a"/>
    <w:link w:val="33"/>
    <w:uiPriority w:val="99"/>
    <w:pPr>
      <w:spacing w:after="0" w:line="360" w:lineRule="auto"/>
    </w:pPr>
    <w:rPr>
      <w:rFonts w:cs="David"/>
      <w:szCs w:val="22"/>
    </w:rPr>
  </w:style>
  <w:style w:type="character" w:customStyle="1" w:styleId="33">
    <w:name w:val="גוף טקסט 3 תו"/>
    <w:link w:val="32"/>
    <w:uiPriority w:val="99"/>
    <w:semiHidden/>
    <w:locked/>
    <w:rPr>
      <w:rFonts w:ascii="Times New Roman" w:hAnsi="Times New Roman" w:cs="Narkisim"/>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פרשת שבוע.dot</Template>
  <TotalTime>0</TotalTime>
  <Pages>2</Pages>
  <Words>1181</Words>
  <Characters>5908</Characters>
  <Application>Microsoft Office Word</Application>
  <DocSecurity>0</DocSecurity>
  <Lines>49</Lines>
  <Paragraphs>14</Paragraphs>
  <ScaleCrop>false</ScaleCrop>
  <HeadingPairs>
    <vt:vector size="4" baseType="variant">
      <vt:variant>
        <vt:lpstr>שם</vt:lpstr>
      </vt:variant>
      <vt:variant>
        <vt:i4>1</vt:i4>
      </vt:variant>
      <vt:variant>
        <vt:lpstr>כותרות</vt:lpstr>
      </vt:variant>
      <vt:variant>
        <vt:i4>2</vt:i4>
      </vt:variant>
    </vt:vector>
  </HeadingPairs>
  <TitlesOfParts>
    <vt:vector size="3" baseType="lpstr">
      <vt:lpstr>פרשת לך לך</vt:lpstr>
      <vt:lpstr>    ספק ספיקא - ב</vt:lpstr>
      <vt:lpstr>    ספק-ספיקא להוציא ממון</vt:lpstr>
    </vt:vector>
  </TitlesOfParts>
  <Company>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User</cp:lastModifiedBy>
  <cp:revision>2</cp:revision>
  <cp:lastPrinted>2001-10-24T11:13:00Z</cp:lastPrinted>
  <dcterms:created xsi:type="dcterms:W3CDTF">2022-12-28T08:03:00Z</dcterms:created>
  <dcterms:modified xsi:type="dcterms:W3CDTF">2022-12-28T08:03:00Z</dcterms:modified>
</cp:coreProperties>
</file>