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5515" w14:textId="77777777" w:rsidR="00554419" w:rsidRPr="00755724" w:rsidRDefault="00554419" w:rsidP="00601C01">
      <w:pPr>
        <w:tabs>
          <w:tab w:val="center" w:pos="4818"/>
          <w:tab w:val="right" w:pos="8220"/>
        </w:tabs>
        <w:spacing w:after="0"/>
        <w:jc w:val="center"/>
        <w:rPr>
          <w:b/>
          <w:bCs/>
          <w:sz w:val="24"/>
          <w:szCs w:val="24"/>
        </w:rPr>
      </w:pPr>
      <w:r w:rsidRPr="00755724">
        <w:rPr>
          <w:b/>
          <w:bCs/>
          <w:sz w:val="24"/>
          <w:szCs w:val="24"/>
          <w:rtl/>
        </w:rPr>
        <w:t xml:space="preserve">בית המדרש הווירטואלי </w:t>
      </w:r>
      <w:r w:rsidRPr="00755724">
        <w:rPr>
          <w:b/>
          <w:bCs/>
          <w:sz w:val="24"/>
          <w:szCs w:val="24"/>
        </w:rPr>
        <w:t>(V.B.M)</w:t>
      </w:r>
      <w:r w:rsidRPr="00755724">
        <w:rPr>
          <w:b/>
          <w:bCs/>
          <w:sz w:val="24"/>
          <w:szCs w:val="24"/>
          <w:rtl/>
        </w:rPr>
        <w:t xml:space="preserve"> </w:t>
      </w:r>
      <w:r w:rsidRPr="00755724">
        <w:rPr>
          <w:rFonts w:hint="cs"/>
          <w:b/>
          <w:bCs/>
          <w:sz w:val="24"/>
          <w:szCs w:val="24"/>
          <w:rtl/>
        </w:rPr>
        <w:t xml:space="preserve">ע"ש ישראל קושיצקי </w:t>
      </w:r>
      <w:r w:rsidRPr="00755724">
        <w:rPr>
          <w:b/>
          <w:bCs/>
          <w:sz w:val="24"/>
          <w:szCs w:val="24"/>
          <w:rtl/>
        </w:rPr>
        <w:t>שליד ישיבת הר עציון</w:t>
      </w:r>
    </w:p>
    <w:p w14:paraId="2526CF63" w14:textId="77777777" w:rsidR="00554419" w:rsidRPr="00755724" w:rsidRDefault="00554419" w:rsidP="00601C01">
      <w:pPr>
        <w:spacing w:after="0" w:line="240" w:lineRule="auto"/>
        <w:jc w:val="center"/>
        <w:rPr>
          <w:rStyle w:val="views-field-name"/>
          <w:b/>
          <w:bCs/>
          <w:sz w:val="24"/>
          <w:szCs w:val="24"/>
          <w:shd w:val="clear" w:color="auto" w:fill="FFFFFF"/>
        </w:rPr>
      </w:pPr>
      <w:r w:rsidRPr="00755724">
        <w:rPr>
          <w:rStyle w:val="views-field-name"/>
          <w:rFonts w:hint="cs"/>
          <w:b/>
          <w:bCs/>
          <w:sz w:val="24"/>
          <w:szCs w:val="24"/>
          <w:shd w:val="clear" w:color="auto" w:fill="FFFFFF"/>
          <w:rtl/>
        </w:rPr>
        <w:t>שיעורים ב</w:t>
      </w:r>
      <w:hyperlink r:id="rId8" w:history="1">
        <w:r w:rsidRPr="00755724">
          <w:rPr>
            <w:rStyle w:val="Hyperlink"/>
            <w:b/>
            <w:bCs/>
            <w:sz w:val="24"/>
            <w:szCs w:val="24"/>
            <w:rtl/>
          </w:rPr>
          <w:t>דרכיה: אישה והלכה</w:t>
        </w:r>
      </w:hyperlink>
    </w:p>
    <w:p w14:paraId="5CEECAC0" w14:textId="77777777" w:rsidR="00554419" w:rsidRPr="00755724" w:rsidRDefault="00554419" w:rsidP="00601C01">
      <w:pPr>
        <w:jc w:val="center"/>
        <w:rPr>
          <w:rStyle w:val="views-field-field-author"/>
          <w:color w:val="000000"/>
          <w:sz w:val="24"/>
          <w:szCs w:val="24"/>
          <w:shd w:val="clear" w:color="auto" w:fill="FFFFFF"/>
          <w:rtl/>
        </w:rPr>
      </w:pPr>
      <w:r w:rsidRPr="00755724">
        <w:rPr>
          <w:rStyle w:val="views-field-field-author"/>
          <w:color w:val="000000"/>
          <w:sz w:val="24"/>
          <w:szCs w:val="24"/>
          <w:shd w:val="clear" w:color="auto" w:fill="FFFFFF"/>
          <w:rtl/>
        </w:rPr>
        <w:t>צוות דרכיה, לורי נוביק</w:t>
      </w:r>
    </w:p>
    <w:p w14:paraId="4683DB77" w14:textId="77777777" w:rsidR="00554419" w:rsidRDefault="00554419" w:rsidP="00601C01">
      <w:pPr>
        <w:jc w:val="center"/>
      </w:pPr>
    </w:p>
    <w:p w14:paraId="6D1834BB" w14:textId="0B42F6A8" w:rsidR="00FF420A" w:rsidRPr="008A346C" w:rsidRDefault="00000000" w:rsidP="00601C01">
      <w:pPr>
        <w:pStyle w:val="ListParagraph"/>
        <w:numPr>
          <w:ilvl w:val="0"/>
          <w:numId w:val="2"/>
        </w:numPr>
        <w:ind w:left="0" w:firstLine="0"/>
        <w:jc w:val="center"/>
      </w:pPr>
      <w:hyperlink r:id="rId9" w:history="1">
        <w:r w:rsidR="00FF420A" w:rsidRPr="000639E5">
          <w:rPr>
            <w:rStyle w:val="Hyperlink"/>
            <w:rtl/>
          </w:rPr>
          <w:t>לחצו כאן</w:t>
        </w:r>
      </w:hyperlink>
      <w:r w:rsidR="00FF420A" w:rsidRPr="008A346C">
        <w:rPr>
          <w:rtl/>
        </w:rPr>
        <w:t xml:space="preserve"> כדי לראות גרסה מעודכנת של השיעור עם </w:t>
      </w:r>
      <w:r w:rsidR="00FF420A" w:rsidRPr="008A346C">
        <w:rPr>
          <w:rFonts w:hint="cs"/>
          <w:rtl/>
        </w:rPr>
        <w:t>כלי למידה נוספים</w:t>
      </w:r>
      <w:r w:rsidR="00FF420A" w:rsidRPr="008A346C">
        <w:rPr>
          <w:rtl/>
        </w:rPr>
        <w:t xml:space="preserve"> באתר דרכיה</w:t>
      </w:r>
      <w:r w:rsidR="00FF420A" w:rsidRPr="008A346C">
        <w:t>.</w:t>
      </w:r>
    </w:p>
    <w:p w14:paraId="54ABD767" w14:textId="1C896DBF" w:rsidR="00FF420A" w:rsidRPr="008A346C" w:rsidRDefault="00000000" w:rsidP="00601C01">
      <w:pPr>
        <w:pStyle w:val="ListParagraph"/>
        <w:numPr>
          <w:ilvl w:val="0"/>
          <w:numId w:val="2"/>
        </w:numPr>
        <w:ind w:left="0" w:firstLine="0"/>
        <w:jc w:val="center"/>
      </w:pPr>
      <w:hyperlink r:id="rId10" w:history="1">
        <w:r w:rsidR="00F8535E" w:rsidRPr="00751108">
          <w:rPr>
            <w:rStyle w:val="Hyperlink"/>
            <w:color w:val="0070C0"/>
            <w:rtl/>
          </w:rPr>
          <w:t>הרשמו כאן</w:t>
        </w:r>
      </w:hyperlink>
      <w:r w:rsidR="00F8535E" w:rsidRPr="00BF5853">
        <w:rPr>
          <w:rtl/>
        </w:rPr>
        <w:t xml:space="preserve"> לניוזלטר כדי לקבל עוד עדכונים ותכנים ממיזם דרכיה</w:t>
      </w:r>
      <w:r w:rsidR="00FF420A" w:rsidRPr="008A346C">
        <w:t>.</w:t>
      </w:r>
    </w:p>
    <w:p w14:paraId="5F7372CB" w14:textId="5524B8D6" w:rsidR="00FF420A" w:rsidRPr="008A346C" w:rsidRDefault="00F8535E" w:rsidP="00601C01">
      <w:pPr>
        <w:pStyle w:val="ListParagraph"/>
        <w:numPr>
          <w:ilvl w:val="0"/>
          <w:numId w:val="2"/>
        </w:numPr>
        <w:ind w:left="0" w:firstLine="0"/>
        <w:jc w:val="center"/>
        <w:rPr>
          <w:rtl/>
        </w:rPr>
      </w:pPr>
      <w:r w:rsidRPr="001F574A">
        <w:rPr>
          <w:rtl/>
        </w:rPr>
        <w:t xml:space="preserve">נשמח לקבל הערות והארות </w:t>
      </w:r>
      <w:hyperlink r:id="rId11" w:history="1">
        <w:r w:rsidRPr="00F95E80">
          <w:rPr>
            <w:rStyle w:val="Hyperlink"/>
            <w:color w:val="0070C0"/>
            <w:rtl/>
          </w:rPr>
          <w:t>כאן</w:t>
        </w:r>
      </w:hyperlink>
      <w:r w:rsidR="00FF420A" w:rsidRPr="008A346C">
        <w:t>.</w:t>
      </w:r>
    </w:p>
    <w:p w14:paraId="18456098" w14:textId="76EAE7CC" w:rsidR="00074E9A" w:rsidRPr="008A346C" w:rsidRDefault="00074E9A" w:rsidP="00554419">
      <w:pPr>
        <w:pStyle w:val="ArticleTitle"/>
        <w:jc w:val="both"/>
        <w:rPr>
          <w:rtl/>
        </w:rPr>
      </w:pPr>
      <w:r w:rsidRPr="008A346C">
        <w:rPr>
          <w:rtl/>
        </w:rPr>
        <w:t>הוצא</w:t>
      </w:r>
      <w:r w:rsidR="00EE5B47" w:rsidRPr="008A346C">
        <w:rPr>
          <w:rtl/>
        </w:rPr>
        <w:t>ה</w:t>
      </w:r>
      <w:r w:rsidRPr="008A346C">
        <w:rPr>
          <w:rtl/>
        </w:rPr>
        <w:t xml:space="preserve"> ידי חוב</w:t>
      </w:r>
      <w:r w:rsidR="00EE5B47" w:rsidRPr="008A346C">
        <w:rPr>
          <w:rtl/>
        </w:rPr>
        <w:t>ה</w:t>
      </w:r>
      <w:r w:rsidR="0085774C" w:rsidRPr="008A346C">
        <w:rPr>
          <w:rtl/>
        </w:rPr>
        <w:t xml:space="preserve"> </w:t>
      </w:r>
      <w:r w:rsidRPr="008A346C">
        <w:rPr>
          <w:rtl/>
        </w:rPr>
        <w:t>הלכה למעשה</w:t>
      </w:r>
    </w:p>
    <w:p w14:paraId="7D38D113" w14:textId="00A92494" w:rsidR="008C422F" w:rsidRPr="008A346C" w:rsidRDefault="00074E9A" w:rsidP="00554419">
      <w:pPr>
        <w:pStyle w:val="BriefAbstract"/>
        <w:jc w:val="both"/>
        <w:rPr>
          <w:rtl/>
        </w:rPr>
      </w:pPr>
      <w:r w:rsidRPr="008A346C">
        <w:rPr>
          <w:rtl/>
        </w:rPr>
        <w:t xml:space="preserve">מתי </w:t>
      </w:r>
      <w:r w:rsidR="004A2052" w:rsidRPr="008A346C">
        <w:rPr>
          <w:rtl/>
        </w:rPr>
        <w:t>ר</w:t>
      </w:r>
      <w:r w:rsidR="00952A77" w:rsidRPr="008A346C">
        <w:rPr>
          <w:rtl/>
        </w:rPr>
        <w:t>צ</w:t>
      </w:r>
      <w:r w:rsidR="004A2052" w:rsidRPr="008A346C">
        <w:rPr>
          <w:rtl/>
        </w:rPr>
        <w:t>וי ש</w:t>
      </w:r>
      <w:r w:rsidRPr="008A346C">
        <w:rPr>
          <w:rtl/>
        </w:rPr>
        <w:t xml:space="preserve">אישה </w:t>
      </w:r>
      <w:r w:rsidR="004A2052" w:rsidRPr="008A346C">
        <w:rPr>
          <w:rtl/>
        </w:rPr>
        <w:t>ת</w:t>
      </w:r>
      <w:r w:rsidRPr="008A346C">
        <w:rPr>
          <w:rtl/>
        </w:rPr>
        <w:t>וציא גבר ידי חובתו?</w:t>
      </w:r>
      <w:r w:rsidR="008C422F" w:rsidRPr="008A346C">
        <w:rPr>
          <w:rtl/>
        </w:rPr>
        <w:t xml:space="preserve"> </w:t>
      </w:r>
    </w:p>
    <w:p w14:paraId="400E7AAE" w14:textId="77777777" w:rsidR="008A346C" w:rsidRPr="008A346C" w:rsidRDefault="008A346C" w:rsidP="00554419">
      <w:pPr>
        <w:jc w:val="both"/>
        <w:rPr>
          <w:rtl/>
        </w:rPr>
      </w:pPr>
      <w:r w:rsidRPr="008A346C">
        <w:rPr>
          <w:rFonts w:hint="cs"/>
          <w:rtl/>
        </w:rPr>
        <w:t>מאת לורי נוביק</w:t>
      </w:r>
      <w:r w:rsidRPr="008A346C">
        <w:t xml:space="preserve"> | </w:t>
      </w:r>
      <w:r w:rsidRPr="008A346C">
        <w:rPr>
          <w:rFonts w:hint="cs"/>
          <w:rtl/>
        </w:rPr>
        <w:t>עריכה: הרב עזרא ביק, אילנה אלצפן, ושיינע גולדברג</w:t>
      </w:r>
    </w:p>
    <w:p w14:paraId="44AC89E7" w14:textId="000E1E11" w:rsidR="00952A77" w:rsidRPr="008A346C" w:rsidRDefault="008A346C" w:rsidP="00554419">
      <w:pPr>
        <w:jc w:val="both"/>
        <w:rPr>
          <w:rtl/>
        </w:rPr>
      </w:pPr>
      <w:r w:rsidRPr="008A346C">
        <w:rPr>
          <w:rFonts w:hint="cs"/>
          <w:rtl/>
        </w:rPr>
        <w:t>תרגום בעברית: רחל וינשטיין | עריכה בעברית: חניטל אופן ועדיה בלנק</w:t>
      </w:r>
    </w:p>
    <w:p w14:paraId="15479989" w14:textId="7AD1DFBB" w:rsidR="00EA662D" w:rsidRPr="008A346C" w:rsidRDefault="008C422F" w:rsidP="00554419">
      <w:pPr>
        <w:pStyle w:val="Heading1"/>
        <w:jc w:val="both"/>
        <w:rPr>
          <w:rtl/>
        </w:rPr>
      </w:pPr>
      <w:r w:rsidRPr="008A346C">
        <w:rPr>
          <w:rtl/>
        </w:rPr>
        <w:t xml:space="preserve">אפשרי לעומת רצוי </w:t>
      </w:r>
    </w:p>
    <w:p w14:paraId="3D465889" w14:textId="24BCB9C6" w:rsidR="00CA3C8F" w:rsidRPr="008A346C" w:rsidRDefault="008C422F" w:rsidP="00554419">
      <w:pPr>
        <w:jc w:val="both"/>
        <w:rPr>
          <w:rtl/>
        </w:rPr>
      </w:pPr>
      <w:r w:rsidRPr="008A346C">
        <w:rPr>
          <w:rtl/>
        </w:rPr>
        <w:t xml:space="preserve">על בסיס מה שלמדנו, </w:t>
      </w:r>
      <w:r w:rsidR="00DB0D55" w:rsidRPr="008A346C">
        <w:rPr>
          <w:rtl/>
        </w:rPr>
        <w:t xml:space="preserve">נראה כי אין </w:t>
      </w:r>
      <w:r w:rsidR="00CC42F4" w:rsidRPr="008A346C">
        <w:rPr>
          <w:rFonts w:hint="eastAsia"/>
          <w:rtl/>
        </w:rPr>
        <w:t>מניעה</w:t>
      </w:r>
      <w:r w:rsidR="00DB0D55" w:rsidRPr="008A346C">
        <w:rPr>
          <w:rtl/>
        </w:rPr>
        <w:t xml:space="preserve"> </w:t>
      </w:r>
      <w:r w:rsidR="008212BE" w:rsidRPr="008A346C">
        <w:rPr>
          <w:rtl/>
        </w:rPr>
        <w:t>הלכתית</w:t>
      </w:r>
      <w:r w:rsidR="00230779" w:rsidRPr="008A346C">
        <w:rPr>
          <w:rtl/>
        </w:rPr>
        <w:t xml:space="preserve"> ש</w:t>
      </w:r>
      <w:r w:rsidR="00D676C9" w:rsidRPr="008A346C">
        <w:rPr>
          <w:rtl/>
        </w:rPr>
        <w:t xml:space="preserve">אישה </w:t>
      </w:r>
      <w:r w:rsidR="00230779" w:rsidRPr="008A346C">
        <w:rPr>
          <w:rtl/>
        </w:rPr>
        <w:t>ת</w:t>
      </w:r>
      <w:r w:rsidR="00D676C9" w:rsidRPr="008A346C">
        <w:rPr>
          <w:rtl/>
        </w:rPr>
        <w:t xml:space="preserve">וציא גבר ידי חובתו במקרה שהיא מחויבת </w:t>
      </w:r>
      <w:r w:rsidR="003969DF" w:rsidRPr="008A346C">
        <w:rPr>
          <w:rFonts w:hint="eastAsia"/>
          <w:rtl/>
        </w:rPr>
        <w:t>במצווה</w:t>
      </w:r>
      <w:r w:rsidR="003969DF" w:rsidRPr="008A346C">
        <w:rPr>
          <w:rtl/>
        </w:rPr>
        <w:t xml:space="preserve"> </w:t>
      </w:r>
      <w:r w:rsidR="00D676C9" w:rsidRPr="008A346C">
        <w:rPr>
          <w:rtl/>
        </w:rPr>
        <w:t xml:space="preserve">באותה רמה או </w:t>
      </w:r>
      <w:r w:rsidR="00952A77" w:rsidRPr="008A346C">
        <w:rPr>
          <w:rtl/>
        </w:rPr>
        <w:t xml:space="preserve">ברמה </w:t>
      </w:r>
      <w:r w:rsidR="00D676C9" w:rsidRPr="008A346C">
        <w:rPr>
          <w:rtl/>
        </w:rPr>
        <w:t xml:space="preserve">גבוהה יותר. </w:t>
      </w:r>
    </w:p>
    <w:p w14:paraId="55A3787B" w14:textId="4DAA0228" w:rsidR="004A23C8" w:rsidRPr="008A346C" w:rsidRDefault="00D676C9" w:rsidP="00554419">
      <w:pPr>
        <w:jc w:val="both"/>
        <w:rPr>
          <w:rtl/>
        </w:rPr>
      </w:pPr>
      <w:r w:rsidRPr="008A346C">
        <w:rPr>
          <w:rtl/>
        </w:rPr>
        <w:t xml:space="preserve">חלק </w:t>
      </w:r>
      <w:r w:rsidR="00952A77" w:rsidRPr="008A346C">
        <w:rPr>
          <w:rtl/>
        </w:rPr>
        <w:t xml:space="preserve">מהפוסקים אינם </w:t>
      </w:r>
      <w:r w:rsidRPr="008A346C">
        <w:rPr>
          <w:rtl/>
        </w:rPr>
        <w:t>מביע</w:t>
      </w:r>
      <w:r w:rsidR="00952A77" w:rsidRPr="008A346C">
        <w:rPr>
          <w:rtl/>
        </w:rPr>
        <w:t xml:space="preserve">ים </w:t>
      </w:r>
      <w:r w:rsidRPr="008A346C">
        <w:rPr>
          <w:rtl/>
        </w:rPr>
        <w:t xml:space="preserve">הסתייגות מאישה המוציאה גבר ידי חובה כאשר </w:t>
      </w:r>
      <w:r w:rsidR="00952A77" w:rsidRPr="008A346C">
        <w:rPr>
          <w:rtl/>
        </w:rPr>
        <w:t xml:space="preserve">גם </w:t>
      </w:r>
      <w:r w:rsidRPr="008A346C">
        <w:rPr>
          <w:rtl/>
        </w:rPr>
        <w:t xml:space="preserve">היא </w:t>
      </w:r>
      <w:r w:rsidR="00952A77" w:rsidRPr="008A346C">
        <w:rPr>
          <w:rtl/>
        </w:rPr>
        <w:t>חייבת</w:t>
      </w:r>
      <w:r w:rsidRPr="008A346C">
        <w:rPr>
          <w:rtl/>
        </w:rPr>
        <w:t xml:space="preserve">. רש"י, לדוגמה, כותב </w:t>
      </w:r>
      <w:r w:rsidR="00952A77" w:rsidRPr="008A346C">
        <w:rPr>
          <w:rtl/>
        </w:rPr>
        <w:t xml:space="preserve">בפשטות </w:t>
      </w:r>
      <w:r w:rsidRPr="008A346C">
        <w:rPr>
          <w:rtl/>
        </w:rPr>
        <w:t>שנשים יכולות להוציא גברים ידי חובת קריאת מגילה</w:t>
      </w:r>
      <w:r w:rsidR="00952A77" w:rsidRPr="008A346C">
        <w:rPr>
          <w:rtl/>
        </w:rPr>
        <w:t>:</w:t>
      </w:r>
      <w:r w:rsidR="004A23C8" w:rsidRPr="008A346C">
        <w:rPr>
          <w:rStyle w:val="FootnoteReference"/>
          <w:rtl/>
        </w:rPr>
        <w:footnoteReference w:id="1"/>
      </w:r>
    </w:p>
    <w:p w14:paraId="7B51E6BD" w14:textId="00C5E98E" w:rsidR="004A23C8" w:rsidRPr="008A346C" w:rsidRDefault="004A23C8" w:rsidP="00554419">
      <w:pPr>
        <w:pStyle w:val="SourceTitle"/>
        <w:jc w:val="both"/>
        <w:rPr>
          <w:color w:val="auto"/>
        </w:rPr>
      </w:pPr>
      <w:r w:rsidRPr="008A346C">
        <w:rPr>
          <w:color w:val="auto"/>
          <w:rtl/>
        </w:rPr>
        <w:t>רש”י ערכין ג ע"א </w:t>
      </w:r>
    </w:p>
    <w:p w14:paraId="100DDB9F" w14:textId="48208FDD" w:rsidR="004A23C8" w:rsidRPr="008A346C" w:rsidRDefault="004A23C8" w:rsidP="00554419">
      <w:pPr>
        <w:pStyle w:val="SourceText"/>
        <w:jc w:val="both"/>
        <w:rPr>
          <w:color w:val="auto"/>
          <w:rtl/>
        </w:rPr>
      </w:pPr>
      <w:r w:rsidRPr="008A346C">
        <w:rPr>
          <w:color w:val="auto"/>
          <w:rtl/>
        </w:rPr>
        <w:t>לאתויי [=לרבות] נשים – שחייבות במקרא מגילה וכשרות לקרותה ולהוציא זכרים ידי חובתם.</w:t>
      </w:r>
    </w:p>
    <w:p w14:paraId="7EAF1915" w14:textId="0A2BCE70" w:rsidR="004A23C8" w:rsidRPr="008A346C" w:rsidRDefault="004A23C8" w:rsidP="00554419">
      <w:pPr>
        <w:jc w:val="both"/>
        <w:rPr>
          <w:rtl/>
        </w:rPr>
      </w:pPr>
      <w:r w:rsidRPr="008A346C">
        <w:rPr>
          <w:rtl/>
        </w:rPr>
        <w:t>ספר הכלבו (שנכתב בסוף תקופת הראשונים) כותב בשמו של הר"ש, אחד מבעלי התוספות, שאישה יכולה להוציא גבר ידי חובת קידוש:</w:t>
      </w:r>
    </w:p>
    <w:p w14:paraId="1E622EEC" w14:textId="77777777" w:rsidR="004A23C8" w:rsidRPr="008A346C" w:rsidRDefault="004A23C8" w:rsidP="00554419">
      <w:pPr>
        <w:pStyle w:val="SourceTitle"/>
        <w:jc w:val="both"/>
        <w:rPr>
          <w:color w:val="auto"/>
        </w:rPr>
      </w:pPr>
      <w:r w:rsidRPr="008A346C">
        <w:rPr>
          <w:color w:val="auto"/>
          <w:rtl/>
        </w:rPr>
        <w:t>ספר כלבו סימן לא </w:t>
      </w:r>
    </w:p>
    <w:p w14:paraId="37AEC39D" w14:textId="0EE7E57E" w:rsidR="004A23C8" w:rsidRPr="008A346C" w:rsidRDefault="004A23C8" w:rsidP="00554419">
      <w:pPr>
        <w:pStyle w:val="SourceText"/>
        <w:jc w:val="both"/>
        <w:rPr>
          <w:color w:val="auto"/>
          <w:rtl/>
        </w:rPr>
      </w:pPr>
      <w:r w:rsidRPr="008A346C">
        <w:rPr>
          <w:color w:val="auto"/>
          <w:rtl/>
        </w:rPr>
        <w:t>ואשה היודעת לקדש מקדשת ואם לאו מקדשין לה, וביאר הר”ש ז”ל ואפילו להוציא אחרים ידי חובתם שאינן יודעין לקדש...</w:t>
      </w:r>
    </w:p>
    <w:p w14:paraId="46933A7F" w14:textId="70F08462" w:rsidR="004A23C8" w:rsidRPr="008A346C" w:rsidRDefault="004A23C8" w:rsidP="00554419">
      <w:pPr>
        <w:jc w:val="both"/>
      </w:pPr>
      <w:r w:rsidRPr="008A346C">
        <w:rPr>
          <w:rtl/>
        </w:rPr>
        <w:t>אין בדבריו שום אזכור למגבלות על אישה שמקדשת בשבת עבור גברים. בכל זאת הכלבו מזכיר בשם הר"ש את עיקרון עזרה הדדית, וייתכן שהוא מניח שאישה בדרך כלל לא תוביל במצבים של "ברוב עם הדרת מלך".</w:t>
      </w:r>
    </w:p>
    <w:p w14:paraId="1937F986" w14:textId="1C3E9462" w:rsidR="004A23C8" w:rsidRPr="008A346C" w:rsidRDefault="004A23C8" w:rsidP="00554419">
      <w:pPr>
        <w:jc w:val="both"/>
        <w:rPr>
          <w:rtl/>
        </w:rPr>
      </w:pPr>
      <w:r w:rsidRPr="008A346C">
        <w:rPr>
          <w:rtl/>
        </w:rPr>
        <w:t>בפועל נראה שנשים אינן מוציאות גברים ידי חובת מצוות ואינן מברכות עבור גברים לעיתים קרובות. מדוע זה המצב?</w:t>
      </w:r>
    </w:p>
    <w:p w14:paraId="136C45ED" w14:textId="77777777" w:rsidR="004A23C8" w:rsidRPr="008A346C" w:rsidRDefault="004A23C8" w:rsidP="00554419">
      <w:pPr>
        <w:jc w:val="both"/>
        <w:rPr>
          <w:rtl/>
        </w:rPr>
      </w:pPr>
    </w:p>
    <w:p w14:paraId="3BC34A13" w14:textId="77777777" w:rsidR="004A23C8" w:rsidRPr="008A346C" w:rsidRDefault="004A23C8" w:rsidP="00554419">
      <w:pPr>
        <w:pStyle w:val="Heading1"/>
        <w:jc w:val="both"/>
        <w:rPr>
          <w:rtl/>
        </w:rPr>
      </w:pPr>
      <w:r w:rsidRPr="008A346C">
        <w:rPr>
          <w:rtl/>
        </w:rPr>
        <w:t xml:space="preserve">הסתייגויות בגמרא </w:t>
      </w:r>
    </w:p>
    <w:p w14:paraId="4DFD7E7D" w14:textId="49113ED1" w:rsidR="004A23C8" w:rsidRPr="008A346C" w:rsidRDefault="004A23C8" w:rsidP="00554419">
      <w:pPr>
        <w:jc w:val="both"/>
        <w:rPr>
          <w:rtl/>
        </w:rPr>
      </w:pPr>
      <w:r w:rsidRPr="008A346C">
        <w:rPr>
          <w:rtl/>
        </w:rPr>
        <w:t>קטע מן הגמרא העוסק באישה שמברכת ברכת המזון בעבור בעלה עשוי לשפוך אור על שאלה זו:</w:t>
      </w:r>
    </w:p>
    <w:p w14:paraId="10EA551C" w14:textId="35A3BDC1" w:rsidR="004A23C8" w:rsidRPr="008A346C" w:rsidRDefault="004A23C8" w:rsidP="00554419">
      <w:pPr>
        <w:pStyle w:val="SourceTitle"/>
        <w:jc w:val="both"/>
        <w:rPr>
          <w:color w:val="auto"/>
        </w:rPr>
      </w:pPr>
      <w:r w:rsidRPr="008A346C">
        <w:rPr>
          <w:color w:val="auto"/>
          <w:rtl/>
        </w:rPr>
        <w:t>תלמוד בבלי ברכות כ ע"ב</w:t>
      </w:r>
    </w:p>
    <w:p w14:paraId="08CFC288" w14:textId="64AE487A" w:rsidR="004A23C8" w:rsidRPr="008A346C" w:rsidRDefault="004A23C8" w:rsidP="00554419">
      <w:pPr>
        <w:pStyle w:val="SourceText"/>
        <w:jc w:val="both"/>
        <w:rPr>
          <w:color w:val="auto"/>
          <w:rtl/>
        </w:rPr>
      </w:pPr>
      <w:r w:rsidRPr="008A346C">
        <w:rPr>
          <w:color w:val="auto"/>
          <w:rtl/>
        </w:rPr>
        <w:t>…ואשה מברכת לבעלה, אבל אמרו חכמים: תבא מארה [=קללה] לאדם שאשתו ובניו מברכין לו.</w:t>
      </w:r>
    </w:p>
    <w:p w14:paraId="25668717" w14:textId="18A70A06" w:rsidR="004A23C8" w:rsidRPr="008A346C" w:rsidRDefault="004A23C8" w:rsidP="00554419">
      <w:pPr>
        <w:jc w:val="both"/>
        <w:rPr>
          <w:rtl/>
        </w:rPr>
      </w:pPr>
      <w:r w:rsidRPr="008A346C">
        <w:rPr>
          <w:rtl/>
        </w:rPr>
        <w:lastRenderedPageBreak/>
        <w:t>קטע זה פותח בקביעה כי אישה יכולה בהחלט להוציא את בעלה ידי חובה בברכה. עם זאת, המשך הגמרא</w:t>
      </w:r>
      <w:r w:rsidRPr="008A346C">
        <w:rPr>
          <w:rFonts w:hint="cs"/>
          <w:rtl/>
        </w:rPr>
        <w:t xml:space="preserve"> </w:t>
      </w:r>
      <w:r w:rsidRPr="008A346C">
        <w:rPr>
          <w:rtl/>
        </w:rPr>
        <w:t>מרתיע מ</w:t>
      </w:r>
      <w:r w:rsidRPr="008A346C">
        <w:rPr>
          <w:rFonts w:hint="cs"/>
          <w:rtl/>
        </w:rPr>
        <w:t>יישום</w:t>
      </w:r>
      <w:r w:rsidRPr="008A346C">
        <w:rPr>
          <w:rtl/>
        </w:rPr>
        <w:t xml:space="preserve"> הלכה זו, מבלי להסביר מדוע. </w:t>
      </w:r>
    </w:p>
    <w:p w14:paraId="69595339" w14:textId="0B2E9059" w:rsidR="004A23C8" w:rsidRPr="008A346C" w:rsidRDefault="004A23C8" w:rsidP="00554419">
      <w:pPr>
        <w:jc w:val="both"/>
        <w:rPr>
          <w:rtl/>
        </w:rPr>
      </w:pPr>
      <w:r w:rsidRPr="008A346C">
        <w:rPr>
          <w:rtl/>
        </w:rPr>
        <w:t>נשים לב שהקללה מגיעה לבעל, ולא לאישה. מה עשה הבעל שגרם לו להיות מקולל? הגאונים הבינו שהמקרה בגמרא הוא כזה שבו הבעל לא יודע לברך את ברכת המזון בעצמו. הקללה מגיעה לו מכיוון שלא למד את ברכת המזון כפי שהיה צריך:</w:t>
      </w:r>
    </w:p>
    <w:p w14:paraId="22DA91B1" w14:textId="77777777" w:rsidR="004A23C8" w:rsidRPr="008A346C" w:rsidRDefault="004A23C8" w:rsidP="00554419">
      <w:pPr>
        <w:pStyle w:val="SourceTitle"/>
        <w:jc w:val="both"/>
        <w:rPr>
          <w:color w:val="auto"/>
        </w:rPr>
      </w:pPr>
      <w:r w:rsidRPr="008A346C">
        <w:rPr>
          <w:color w:val="auto"/>
          <w:rtl/>
        </w:rPr>
        <w:t>תשובות הגאונים החדשות – עמנואל (אופק) סימן קפט </w:t>
      </w:r>
    </w:p>
    <w:p w14:paraId="361400ED" w14:textId="77777777" w:rsidR="004A23C8" w:rsidRPr="008A346C" w:rsidRDefault="004A23C8" w:rsidP="00554419">
      <w:pPr>
        <w:pStyle w:val="SourceText"/>
        <w:jc w:val="both"/>
        <w:rPr>
          <w:color w:val="auto"/>
          <w:rtl/>
        </w:rPr>
      </w:pPr>
      <w:r w:rsidRPr="008A346C">
        <w:rPr>
          <w:color w:val="auto"/>
          <w:rtl/>
        </w:rPr>
        <w:t>כשאמרו חכמים תבא מאירה למי שפשע ולא למד, שפעם שהוא אוכל ואין שם בנו שמברך לו נמצא בטל מן הברכה, אבל מי שהוא למד ופעמים שהוא זקן או חולה ונותן רשות לבנו או לאחד מבני ביתו לברך הרשות בידו, ש’שלוחו של אדם כמותו’ ואין לו מארה…</w:t>
      </w:r>
    </w:p>
    <w:p w14:paraId="387464D5" w14:textId="70B9F12D" w:rsidR="004A23C8" w:rsidRPr="008A346C" w:rsidRDefault="004A23C8" w:rsidP="00554419">
      <w:pPr>
        <w:jc w:val="both"/>
        <w:rPr>
          <w:rtl/>
        </w:rPr>
      </w:pPr>
      <w:r w:rsidRPr="008A346C">
        <w:rPr>
          <w:rtl/>
        </w:rPr>
        <w:t>תשובה זו מצביעה על כך שאדם יכול לבקש מאחר להוציא אותו ידי חובת מצווה מסיבות שונות ומגוונות,</w:t>
      </w:r>
      <w:r w:rsidRPr="008A346C">
        <w:rPr>
          <w:rStyle w:val="FootnoteReference"/>
          <w:rtl/>
        </w:rPr>
        <w:footnoteReference w:id="2"/>
      </w:r>
      <w:r w:rsidRPr="008A346C">
        <w:rPr>
          <w:rtl/>
        </w:rPr>
        <w:t xml:space="preserve"> ואין הבחנה בין גברים ונשים כשלעצמם. לדעתם הגמרא לא מעבירה ביקורת על אישה המוציאה גבר ידי חובת מצוות שבדיבור במצב שבו הוא למד לברך בעצמו, אך מתקשה לעשות זאת כתוצאה מגיל מבוגר או ממחלה. </w:t>
      </w:r>
    </w:p>
    <w:p w14:paraId="644D05F6" w14:textId="77777777" w:rsidR="004A23C8" w:rsidRPr="008A346C" w:rsidRDefault="004A23C8" w:rsidP="00554419">
      <w:pPr>
        <w:jc w:val="both"/>
        <w:rPr>
          <w:rtl/>
        </w:rPr>
      </w:pPr>
    </w:p>
    <w:p w14:paraId="79EA8C40" w14:textId="77777777" w:rsidR="004A23C8" w:rsidRPr="008A346C" w:rsidRDefault="004A23C8" w:rsidP="00554419">
      <w:pPr>
        <w:pStyle w:val="Heading1"/>
        <w:jc w:val="both"/>
        <w:rPr>
          <w:rtl/>
        </w:rPr>
      </w:pPr>
      <w:r w:rsidRPr="008A346C">
        <w:rPr>
          <w:rtl/>
        </w:rPr>
        <w:t>התנגדות</w:t>
      </w:r>
    </w:p>
    <w:p w14:paraId="361363F1" w14:textId="47910D52" w:rsidR="004A23C8" w:rsidRPr="008A346C" w:rsidRDefault="004A23C8" w:rsidP="00554419">
      <w:pPr>
        <w:jc w:val="both"/>
        <w:rPr>
          <w:rtl/>
        </w:rPr>
      </w:pPr>
      <w:r w:rsidRPr="008A346C">
        <w:rPr>
          <w:rFonts w:hint="eastAsia"/>
          <w:rtl/>
        </w:rPr>
        <w:t>קיימת</w:t>
      </w:r>
      <w:r w:rsidRPr="008A346C">
        <w:rPr>
          <w:rtl/>
        </w:rPr>
        <w:t xml:space="preserve"> דעה המתנגדת להוצאת גברים ידי חובה על ידי נשים משמו של הר"י הזקן. ספר האגודה (שאותו כתב רבי אלכסנדרי הכהן, פרנקפורט, המאה ה-14) כותב כי הר"י פוסק נגד התופעה, גם כאשר רמת החיוב של הגבר ושל האישה זהה:</w:t>
      </w:r>
    </w:p>
    <w:p w14:paraId="20EDF596" w14:textId="77777777" w:rsidR="004A23C8" w:rsidRPr="008A346C" w:rsidRDefault="004A23C8" w:rsidP="00554419">
      <w:pPr>
        <w:pStyle w:val="SourceTitle"/>
        <w:jc w:val="both"/>
        <w:rPr>
          <w:color w:val="auto"/>
        </w:rPr>
      </w:pPr>
      <w:r w:rsidRPr="008A346C">
        <w:rPr>
          <w:color w:val="auto"/>
          <w:rtl/>
        </w:rPr>
        <w:t>האגודה מסכת סוכה פרק ג </w:t>
      </w:r>
    </w:p>
    <w:p w14:paraId="63F33795" w14:textId="77777777" w:rsidR="004A23C8" w:rsidRPr="008A346C" w:rsidRDefault="004A23C8" w:rsidP="00554419">
      <w:pPr>
        <w:pStyle w:val="SourceText"/>
        <w:jc w:val="both"/>
        <w:rPr>
          <w:color w:val="auto"/>
          <w:rtl/>
        </w:rPr>
      </w:pPr>
      <w:r w:rsidRPr="008A346C">
        <w:rPr>
          <w:color w:val="auto"/>
          <w:rtl/>
        </w:rPr>
        <w:t>פר”י [=פירש ר”י] נשים אין מוציאין אנשים דאכלו שיעור דאורייתא וכן אין מוציאין אנשים ממגילה אף על פי שהן חייבות כאנשים וכן לענין קידוש היום אף על פי שהן חייבות כדאמרינן פרק מי שמתו [כ’ ע”ב]. אבל נראה לי דנשים מוציאות נשים בין לברכת מזון בין לקידוש ומגילה…</w:t>
      </w:r>
    </w:p>
    <w:p w14:paraId="04A842E6" w14:textId="5E6C46AE" w:rsidR="004A23C8" w:rsidRPr="008A346C" w:rsidRDefault="004A23C8" w:rsidP="00554419">
      <w:pPr>
        <w:jc w:val="both"/>
        <w:rPr>
          <w:rtl/>
        </w:rPr>
      </w:pPr>
      <w:r w:rsidRPr="008A346C">
        <w:rPr>
          <w:rtl/>
        </w:rPr>
        <w:t xml:space="preserve">האגודה אינו מספק כלל הסבר לפסקו של הר"י. אמנם האגודה בעצמו כן מתיר לנשים להוציא גברים ידי חובה, מבלי לכתוב מה הר"י היה אומר בנידון. </w:t>
      </w:r>
    </w:p>
    <w:p w14:paraId="461B1705" w14:textId="77777777" w:rsidR="004A23C8" w:rsidRPr="008A346C" w:rsidRDefault="004A23C8" w:rsidP="00554419">
      <w:pPr>
        <w:jc w:val="both"/>
      </w:pPr>
    </w:p>
    <w:p w14:paraId="184EEDC4" w14:textId="77777777" w:rsidR="004A23C8" w:rsidRPr="008A346C" w:rsidRDefault="004A23C8" w:rsidP="00554419">
      <w:pPr>
        <w:pStyle w:val="Heading1"/>
        <w:jc w:val="both"/>
        <w:rPr>
          <w:rtl/>
        </w:rPr>
      </w:pPr>
      <w:r w:rsidRPr="008A346C">
        <w:rPr>
          <w:rtl/>
        </w:rPr>
        <w:t>הסתייגויות</w:t>
      </w:r>
    </w:p>
    <w:p w14:paraId="4CCF3A4E" w14:textId="016CAC58" w:rsidR="004A23C8" w:rsidRPr="008A346C" w:rsidRDefault="004A23C8" w:rsidP="00554419">
      <w:pPr>
        <w:pStyle w:val="Subq"/>
        <w:jc w:val="both"/>
        <w:rPr>
          <w:rtl/>
        </w:rPr>
      </w:pPr>
      <w:r w:rsidRPr="008A346C">
        <w:rPr>
          <w:rtl/>
        </w:rPr>
        <w:t>ממה חוששים כאשר אישה מוציאה גבר ידי חובה?</w:t>
      </w:r>
    </w:p>
    <w:p w14:paraId="667C9ED6" w14:textId="03353FBE" w:rsidR="004A23C8" w:rsidRPr="008A346C" w:rsidRDefault="004A23C8" w:rsidP="00554419">
      <w:pPr>
        <w:jc w:val="both"/>
        <w:rPr>
          <w:rtl/>
        </w:rPr>
      </w:pPr>
      <w:r w:rsidRPr="008A346C">
        <w:rPr>
          <w:rtl/>
        </w:rPr>
        <w:t xml:space="preserve">הסתייגות אחת </w:t>
      </w:r>
      <w:r w:rsidRPr="008A346C">
        <w:rPr>
          <w:rFonts w:hint="eastAsia"/>
          <w:rtl/>
        </w:rPr>
        <w:t>נובעת</w:t>
      </w:r>
      <w:r w:rsidRPr="008A346C">
        <w:rPr>
          <w:rtl/>
        </w:rPr>
        <w:t xml:space="preserve"> מ</w:t>
      </w:r>
      <w:r w:rsidRPr="008A346C">
        <w:rPr>
          <w:rFonts w:hint="eastAsia"/>
          <w:rtl/>
        </w:rPr>
        <w:t>עמדה</w:t>
      </w:r>
      <w:r w:rsidRPr="008A346C">
        <w:rPr>
          <w:rtl/>
        </w:rPr>
        <w:t xml:space="preserve"> </w:t>
      </w:r>
      <w:r w:rsidRPr="008A346C">
        <w:rPr>
          <w:rFonts w:hint="eastAsia"/>
          <w:rtl/>
        </w:rPr>
        <w:t>שלא</w:t>
      </w:r>
      <w:r w:rsidRPr="008A346C">
        <w:rPr>
          <w:rtl/>
        </w:rPr>
        <w:t xml:space="preserve"> </w:t>
      </w:r>
      <w:r w:rsidRPr="008A346C">
        <w:rPr>
          <w:rFonts w:hint="eastAsia"/>
          <w:rtl/>
        </w:rPr>
        <w:t>ראוי</w:t>
      </w:r>
      <w:r w:rsidRPr="008A346C">
        <w:rPr>
          <w:rtl/>
        </w:rPr>
        <w:t xml:space="preserve"> שגבר </w:t>
      </w:r>
      <w:r w:rsidRPr="008A346C">
        <w:rPr>
          <w:rFonts w:hint="eastAsia"/>
          <w:rtl/>
        </w:rPr>
        <w:t>י</w:t>
      </w:r>
      <w:r w:rsidRPr="008A346C">
        <w:rPr>
          <w:rFonts w:hint="cs"/>
          <w:rtl/>
        </w:rPr>
        <w:t>י</w:t>
      </w:r>
      <w:r w:rsidRPr="008A346C">
        <w:rPr>
          <w:rtl/>
        </w:rPr>
        <w:t>עזר באישה כדי לצאת ידי חובתו. ספר אוהל מועד (פוסק מהמאה ה-14) פוסק שמבחינה טכנית אישה יכולה להוציא גבר ידי חובת קידוש, איך אין לעשות זאת בפועל, אפילו אם הוא בעלה:</w:t>
      </w:r>
    </w:p>
    <w:p w14:paraId="55E6703A" w14:textId="77777777" w:rsidR="004A23C8" w:rsidRPr="008A346C" w:rsidRDefault="004A23C8" w:rsidP="00554419">
      <w:pPr>
        <w:pStyle w:val="SourceTitle"/>
        <w:jc w:val="both"/>
        <w:rPr>
          <w:color w:val="auto"/>
        </w:rPr>
      </w:pPr>
      <w:r w:rsidRPr="008A346C">
        <w:rPr>
          <w:color w:val="auto"/>
          <w:rtl/>
        </w:rPr>
        <w:t>ספר אהל מועד שער קידוש והבדלה דרך א </w:t>
      </w:r>
    </w:p>
    <w:p w14:paraId="046C3DE9" w14:textId="77777777" w:rsidR="004A23C8" w:rsidRPr="008A346C" w:rsidRDefault="004A23C8" w:rsidP="00554419">
      <w:pPr>
        <w:pStyle w:val="SourceText"/>
        <w:jc w:val="both"/>
        <w:rPr>
          <w:color w:val="auto"/>
          <w:rtl/>
        </w:rPr>
      </w:pPr>
      <w:r w:rsidRPr="008A346C">
        <w:rPr>
          <w:color w:val="auto"/>
          <w:rtl/>
        </w:rPr>
        <w:lastRenderedPageBreak/>
        <w:t>נשים חייבות בקידוש היום לפיכך אשה מוציאה לבעלה אלא שמגונה הוא.</w:t>
      </w:r>
    </w:p>
    <w:p w14:paraId="478FC925" w14:textId="21B2429D" w:rsidR="004A23C8" w:rsidRPr="008A346C" w:rsidRDefault="004A23C8" w:rsidP="00554419">
      <w:pPr>
        <w:jc w:val="both"/>
        <w:rPr>
          <w:rtl/>
        </w:rPr>
      </w:pPr>
      <w:r w:rsidRPr="008A346C">
        <w:rPr>
          <w:rFonts w:ascii="Arial" w:hAnsi="Arial" w:cs="Arial"/>
          <w:shd w:val="clear" w:color="auto" w:fill="FFFFFF"/>
        </w:rPr>
        <w:t> </w:t>
      </w:r>
      <w:r w:rsidRPr="008A346C">
        <w:rPr>
          <w:rFonts w:ascii="Arial" w:hAnsi="Arial" w:cs="Arial"/>
          <w:shd w:val="clear" w:color="auto" w:fill="FFFFFF"/>
          <w:rtl/>
        </w:rPr>
        <w:t>קשה לדעת בבירור מה מקור פסיקתו של האוהל מועד. מתוך הדגש בדבריו על הבעל ניתן לשער כי לדעתו בהקשר הזוגי הבעל הוא שאמור לעשות קידוש ולא האישה. אפשרות נוספת היא שהוא מתבסס על הגמרא העוסקת באישה שמברכת לבעלה והוא משנה את מילות הגמרא מ"מְאֵירָה" ל"מגונה", והסתייגותו נובעת מההנחה שהבעל לא למד כיצד לקדש בעצמו</w:t>
      </w:r>
      <w:r w:rsidRPr="008A346C">
        <w:rPr>
          <w:rtl/>
        </w:rPr>
        <w:t>.</w:t>
      </w:r>
      <w:r w:rsidRPr="008A346C">
        <w:rPr>
          <w:rStyle w:val="FootnoteReference"/>
          <w:rtl/>
        </w:rPr>
        <w:footnoteReference w:id="3"/>
      </w:r>
    </w:p>
    <w:p w14:paraId="72245E70" w14:textId="0B6D5988" w:rsidR="004A23C8" w:rsidRPr="008A346C" w:rsidRDefault="004A23C8" w:rsidP="00554419">
      <w:pPr>
        <w:jc w:val="both"/>
        <w:rPr>
          <w:rtl/>
        </w:rPr>
      </w:pPr>
      <w:r w:rsidRPr="008A346C">
        <w:rPr>
          <w:rtl/>
        </w:rPr>
        <w:t>לאורך הדיון בשאלה מדוע אישה לא יכולה להוציא קבוצה של גברים</w:t>
      </w:r>
      <w:r w:rsidRPr="008A346C">
        <w:rPr>
          <w:rStyle w:val="FootnoteReference"/>
          <w:rtl/>
        </w:rPr>
        <w:footnoteReference w:id="4"/>
      </w:r>
      <w:r w:rsidRPr="008A346C">
        <w:rPr>
          <w:rtl/>
        </w:rPr>
        <w:t xml:space="preserve"> ידי חובת ברכת המזון, התוספות מציגים הסתייגות משל עצמם, בעלת השלכות על מצוות אחרות:</w:t>
      </w:r>
      <w:r w:rsidRPr="008A346C">
        <w:rPr>
          <w:rStyle w:val="FootnoteReference"/>
          <w:rtl/>
        </w:rPr>
        <w:footnoteReference w:id="5"/>
      </w:r>
    </w:p>
    <w:p w14:paraId="7847F242" w14:textId="7D1079D7" w:rsidR="004A23C8" w:rsidRPr="008A346C" w:rsidRDefault="004A23C8" w:rsidP="00554419">
      <w:pPr>
        <w:pStyle w:val="SourceTitle"/>
        <w:jc w:val="both"/>
        <w:rPr>
          <w:color w:val="auto"/>
        </w:rPr>
      </w:pPr>
      <w:r w:rsidRPr="008A346C">
        <w:rPr>
          <w:color w:val="auto"/>
          <w:rtl/>
        </w:rPr>
        <w:t>תוספות סוכה לח ע"ב, ד”ה באמת </w:t>
      </w:r>
    </w:p>
    <w:p w14:paraId="7B25CCAD" w14:textId="3B945866" w:rsidR="004A23C8" w:rsidRPr="008A346C" w:rsidRDefault="004A23C8" w:rsidP="00554419">
      <w:pPr>
        <w:pStyle w:val="SourceText"/>
        <w:jc w:val="both"/>
        <w:rPr>
          <w:color w:val="auto"/>
          <w:rtl/>
        </w:rPr>
      </w:pPr>
      <w:r w:rsidRPr="008A346C">
        <w:rPr>
          <w:color w:val="auto"/>
          <w:rtl/>
        </w:rPr>
        <w:t>ובתוספתא קתני גבי ברכת המזון דאין אשה ועבד וקטן מוציאין את הרבים ידי חובתן… אין מוציאות [=קבוצת גברים ידי חובתם]… משום דרבים, זילא בהו מלתא, דהרי מגילה, דנשים חייבות בה, ופירש בה”ג [=בעל הלכות גדולות] דאין נשים מוציאות את הרבים ידי חובתן במגילה.</w:t>
      </w:r>
    </w:p>
    <w:p w14:paraId="742A0F0B" w14:textId="0FD18778" w:rsidR="004A23C8" w:rsidRPr="008A346C" w:rsidRDefault="004A23C8" w:rsidP="00554419">
      <w:pPr>
        <w:jc w:val="both"/>
        <w:rPr>
          <w:rtl/>
        </w:rPr>
      </w:pPr>
      <w:r w:rsidRPr="008A346C">
        <w:rPr>
          <w:rtl/>
        </w:rPr>
        <w:t>דברים אלו עשויים להיות מאתגרים לקריאה. הבה ננסה להבין אותם.</w:t>
      </w:r>
    </w:p>
    <w:p w14:paraId="0C8FFF20" w14:textId="57A54D90" w:rsidR="004A23C8" w:rsidRPr="008A346C" w:rsidRDefault="004A23C8" w:rsidP="00554419">
      <w:pPr>
        <w:jc w:val="both"/>
        <w:rPr>
          <w:rtl/>
        </w:rPr>
      </w:pPr>
      <w:r w:rsidRPr="008A346C">
        <w:rPr>
          <w:rtl/>
        </w:rPr>
        <w:t xml:space="preserve">על פי דעה זו, אישה יכולה להוציא גבר ידי חובה. </w:t>
      </w:r>
      <w:r w:rsidRPr="008A346C">
        <w:rPr>
          <w:rFonts w:hint="eastAsia"/>
          <w:rtl/>
        </w:rPr>
        <w:t>אך</w:t>
      </w:r>
      <w:r w:rsidRPr="008A346C">
        <w:rPr>
          <w:rtl/>
        </w:rPr>
        <w:t>במצבים "של רבים" היא לא, כיוון ש"זילא בהו מילתא", כלומר הדבר עלול לגרום לזילזול. ניתן לפרש את המילה "רבים" בכמה דרכים שונות, כאשר לכל אחת יש השלכות הלכתיות ייחודיות:</w:t>
      </w:r>
    </w:p>
    <w:p w14:paraId="0B3B3848" w14:textId="5B8D5139" w:rsidR="004A23C8" w:rsidRPr="008A346C" w:rsidRDefault="004A23C8" w:rsidP="00554419">
      <w:pPr>
        <w:jc w:val="both"/>
        <w:rPr>
          <w:rtl/>
        </w:rPr>
      </w:pPr>
      <w:r w:rsidRPr="008A346C">
        <w:rPr>
          <w:b/>
          <w:bCs/>
        </w:rPr>
        <w:t>I</w:t>
      </w:r>
      <w:r w:rsidRPr="008A346C">
        <w:rPr>
          <w:b/>
          <w:bCs/>
          <w:rtl/>
        </w:rPr>
        <w:t>. אנשים שאינם בני הבית.</w:t>
      </w:r>
      <w:r w:rsidRPr="008A346C">
        <w:rPr>
          <w:rtl/>
        </w:rPr>
        <w:t xml:space="preserve"> על פי פירוש זה, אישה לא יכולה להוציא ידי חובה גברים שאינם מבני ביתה. האליה רבה מציג גישה זו:</w:t>
      </w:r>
      <w:r w:rsidRPr="008A346C">
        <w:rPr>
          <w:rStyle w:val="FootnoteReference"/>
          <w:rtl/>
        </w:rPr>
        <w:footnoteReference w:id="6"/>
      </w:r>
    </w:p>
    <w:p w14:paraId="79EAEAD5" w14:textId="77777777" w:rsidR="004A23C8" w:rsidRPr="008A346C" w:rsidRDefault="004A23C8" w:rsidP="00554419">
      <w:pPr>
        <w:pStyle w:val="SourceTitle"/>
        <w:jc w:val="both"/>
        <w:rPr>
          <w:color w:val="auto"/>
        </w:rPr>
      </w:pPr>
      <w:r w:rsidRPr="008A346C">
        <w:rPr>
          <w:color w:val="auto"/>
          <w:rtl/>
        </w:rPr>
        <w:t>אליה רבה סימן רעא ג </w:t>
      </w:r>
    </w:p>
    <w:p w14:paraId="443FF4ED" w14:textId="5771CDF3" w:rsidR="004A23C8" w:rsidRPr="008A346C" w:rsidRDefault="004A23C8" w:rsidP="00554419">
      <w:pPr>
        <w:pStyle w:val="SourceText"/>
        <w:jc w:val="both"/>
        <w:rPr>
          <w:color w:val="auto"/>
          <w:rtl/>
        </w:rPr>
      </w:pPr>
      <w:r w:rsidRPr="008A346C">
        <w:rPr>
          <w:color w:val="auto"/>
          <w:rtl/>
        </w:rPr>
        <w:lastRenderedPageBreak/>
        <w:t>…שלא להוציא [=אישה] אנשים שאינם בני בית הזה, דהא כתבו תוס’ שם הכי גבי ברכת המזון דאין מוציאה רבים ידי חובתן… אנשים אחרים, דזילו בהו מילתא</w:t>
      </w:r>
    </w:p>
    <w:p w14:paraId="64A3F233" w14:textId="28E75449" w:rsidR="004A23C8" w:rsidRPr="008A346C" w:rsidRDefault="004A23C8" w:rsidP="00554419">
      <w:pPr>
        <w:jc w:val="both"/>
        <w:rPr>
          <w:rtl/>
        </w:rPr>
      </w:pPr>
      <w:r w:rsidRPr="008A346C">
        <w:rPr>
          <w:rtl/>
        </w:rPr>
        <w:t>חילוק זה בין בני הבית לאנשים אחרים יכול לשקף חשש להיבט הצניעות שהמצב מזמן. המשנה ברורה סובר שבאופן אידיאלי יש להחמיר לפי דעה זו, אך מכיר בכך שאין זו ההלכה הבסיסית:</w:t>
      </w:r>
    </w:p>
    <w:p w14:paraId="008F8106" w14:textId="3DAE9CC6" w:rsidR="004A23C8" w:rsidRPr="008A346C" w:rsidRDefault="004A23C8" w:rsidP="00554419">
      <w:pPr>
        <w:pStyle w:val="SourceTitle"/>
        <w:jc w:val="both"/>
        <w:rPr>
          <w:color w:val="auto"/>
        </w:rPr>
      </w:pPr>
      <w:r w:rsidRPr="008A346C">
        <w:rPr>
          <w:color w:val="auto"/>
          <w:rtl/>
        </w:rPr>
        <w:t>משנה ברורה רעא, ד </w:t>
      </w:r>
    </w:p>
    <w:p w14:paraId="1C556546" w14:textId="6EC12E18" w:rsidR="004A23C8" w:rsidRPr="008A346C" w:rsidRDefault="004A23C8" w:rsidP="00554419">
      <w:pPr>
        <w:pStyle w:val="SourceText"/>
        <w:jc w:val="both"/>
        <w:rPr>
          <w:color w:val="auto"/>
          <w:rtl/>
        </w:rPr>
      </w:pPr>
      <w:r w:rsidRPr="008A346C">
        <w:rPr>
          <w:color w:val="auto"/>
          <w:rtl/>
        </w:rPr>
        <w:t>ומוציאות את האנשים… ומ”מ [=ומכל מקום] יש להחמיר לכתחלה שלא תוציא אשה אנשים שאינם מבני ביתה דזילא מילתא [א”ר ודה”ח].</w:t>
      </w:r>
    </w:p>
    <w:p w14:paraId="131AFAB6" w14:textId="77777777" w:rsidR="004A23C8" w:rsidRPr="008A346C" w:rsidRDefault="004A23C8" w:rsidP="00554419">
      <w:pPr>
        <w:jc w:val="both"/>
        <w:rPr>
          <w:rtl/>
        </w:rPr>
      </w:pPr>
      <w:r w:rsidRPr="008A346C">
        <w:rPr>
          <w:rtl/>
        </w:rPr>
        <w:t xml:space="preserve">המשנה ברורה לא מתנגד לכך שאישה תוציא את בני ביתה ידי חובה. </w:t>
      </w:r>
    </w:p>
    <w:p w14:paraId="0D10D3A7" w14:textId="4CC3CCFB" w:rsidR="004A23C8" w:rsidRPr="008A346C" w:rsidRDefault="004A23C8" w:rsidP="00554419">
      <w:pPr>
        <w:jc w:val="both"/>
        <w:rPr>
          <w:rtl/>
        </w:rPr>
      </w:pPr>
      <w:r w:rsidRPr="008A346C">
        <w:rPr>
          <w:b/>
          <w:bCs/>
        </w:rPr>
        <w:t>II</w:t>
      </w:r>
      <w:r w:rsidRPr="008A346C">
        <w:rPr>
          <w:b/>
          <w:bCs/>
          <w:rtl/>
        </w:rPr>
        <w:t xml:space="preserve">. קבוצה ציבורית. </w:t>
      </w:r>
      <w:r w:rsidRPr="008A346C">
        <w:rPr>
          <w:rtl/>
        </w:rPr>
        <w:t xml:space="preserve">על פי פירוש זה, אישה יכולה להוציא גבר ידי חובה ללא היסוס, בין אם הוא חלק מבני ביתה ובין אם לא, אך אסור לה להוציא גברים ידי חובה בפומבי. </w:t>
      </w:r>
    </w:p>
    <w:p w14:paraId="599459FD" w14:textId="48D25A52" w:rsidR="004A23C8" w:rsidRPr="008A346C" w:rsidRDefault="004A23C8" w:rsidP="00554419">
      <w:pPr>
        <w:pStyle w:val="SourceTitle"/>
        <w:jc w:val="both"/>
        <w:rPr>
          <w:color w:val="auto"/>
        </w:rPr>
      </w:pPr>
      <w:r w:rsidRPr="008A346C">
        <w:rPr>
          <w:color w:val="auto"/>
          <w:rtl/>
        </w:rPr>
        <w:t>ערוך השלחן רעא, ה </w:t>
      </w:r>
    </w:p>
    <w:p w14:paraId="2B4D1677" w14:textId="48DFC6CB" w:rsidR="004A23C8" w:rsidRPr="008A346C" w:rsidRDefault="004A23C8" w:rsidP="00554419">
      <w:pPr>
        <w:pStyle w:val="SourceText"/>
        <w:jc w:val="both"/>
        <w:rPr>
          <w:color w:val="auto"/>
          <w:rtl/>
        </w:rPr>
      </w:pPr>
      <w:r w:rsidRPr="008A346C">
        <w:rPr>
          <w:color w:val="auto"/>
          <w:rtl/>
        </w:rPr>
        <w:t>ויש רוצים לומר שאינן מוציאות אנשים כמו במגילה לקמן סימן תרפט [רש”ל וב”ח] ואינו עיקר, דבשם כיון דברבים הוא זילא מילתא כמו שכתבו התוספות בסוכה, מה שאין כן בקידוש, וכן כתבו מפרשי השולחן ערוך [הט”ז והמג”א סק”ב].</w:t>
      </w:r>
    </w:p>
    <w:p w14:paraId="4763A367" w14:textId="4BDA2CC4" w:rsidR="004A23C8" w:rsidRPr="008A346C" w:rsidRDefault="004A23C8" w:rsidP="00554419">
      <w:pPr>
        <w:jc w:val="both"/>
        <w:rPr>
          <w:rtl/>
        </w:rPr>
      </w:pPr>
      <w:r w:rsidRPr="008A346C">
        <w:rPr>
          <w:rtl/>
        </w:rPr>
        <w:t xml:space="preserve">חוסר הכבוד כאן שוב עשוי לעלות חשש לצניעות בסיטואציה, במיוחד במצב שבו אישה מקבלת תפקיד ציבורי. אישה יכולה להוציא גבר ידי חובתו בקלות במסגרת פרטית כמו ביתה שלה, אך אסור לה לעשות זאת בהתקהלות ציבורית. </w:t>
      </w:r>
    </w:p>
    <w:p w14:paraId="54808DE5" w14:textId="27CF2D60" w:rsidR="004A23C8" w:rsidRPr="008A346C" w:rsidRDefault="004A23C8" w:rsidP="00554419">
      <w:pPr>
        <w:jc w:val="both"/>
        <w:rPr>
          <w:rtl/>
        </w:rPr>
      </w:pPr>
      <w:proofErr w:type="gramStart"/>
      <w:r w:rsidRPr="008A346C">
        <w:rPr>
          <w:b/>
          <w:bCs/>
        </w:rPr>
        <w:t>.III</w:t>
      </w:r>
      <w:proofErr w:type="gramEnd"/>
      <w:r w:rsidRPr="008A346C">
        <w:rPr>
          <w:b/>
          <w:bCs/>
          <w:rtl/>
        </w:rPr>
        <w:t xml:space="preserve"> מצווה קהילתית. </w:t>
      </w:r>
      <w:r w:rsidRPr="008A346C">
        <w:rPr>
          <w:rtl/>
        </w:rPr>
        <w:t xml:space="preserve">על פי פירוש זה, אישה יכולה להוציא גבר ידי חובה בין אם הוא חלק מבני ביתה ובין אם לא, גם אם הם בקבוצה ציבורית. אך היא אינה רשאית להוציא ידי חובה אפילו גבר אחד כאשר המצווה היא קהילתית במהותה, כלומר עליה להתקיים לכתחילה במניין עשרה (כמו קריאת מגילה) או בקבוצה קטנה יותר (כמו זימון). </w:t>
      </w:r>
    </w:p>
    <w:p w14:paraId="62D05E1C" w14:textId="0BCDA6E6" w:rsidR="004A23C8" w:rsidRPr="008A346C" w:rsidRDefault="004A23C8" w:rsidP="00554419">
      <w:pPr>
        <w:jc w:val="both"/>
        <w:rPr>
          <w:rtl/>
        </w:rPr>
      </w:pPr>
      <w:r w:rsidRPr="008A346C">
        <w:rPr>
          <w:rtl/>
        </w:rPr>
        <w:t>הרב ידידיה וייל (גרמניה, המאה ה-18) מעלה את האפשרות הזו:</w:t>
      </w:r>
      <w:r w:rsidRPr="008A346C">
        <w:rPr>
          <w:rStyle w:val="FootnoteReference"/>
          <w:rtl/>
        </w:rPr>
        <w:footnoteReference w:id="7"/>
      </w:r>
    </w:p>
    <w:p w14:paraId="6EB742CB" w14:textId="6B8869BE" w:rsidR="004A23C8" w:rsidRPr="008A346C" w:rsidRDefault="004A23C8" w:rsidP="00554419">
      <w:pPr>
        <w:pStyle w:val="SourceTitle"/>
        <w:jc w:val="both"/>
        <w:rPr>
          <w:color w:val="auto"/>
        </w:rPr>
      </w:pPr>
      <w:r w:rsidRPr="008A346C">
        <w:rPr>
          <w:color w:val="auto"/>
          <w:rtl/>
        </w:rPr>
        <w:t>גנזי המלך על הרמב”ם א', א </w:t>
      </w:r>
    </w:p>
    <w:p w14:paraId="078A51CC" w14:textId="77777777" w:rsidR="004A23C8" w:rsidRPr="008A346C" w:rsidRDefault="004A23C8" w:rsidP="00554419">
      <w:pPr>
        <w:pStyle w:val="SourceText"/>
        <w:jc w:val="both"/>
        <w:rPr>
          <w:color w:val="auto"/>
          <w:rtl/>
        </w:rPr>
      </w:pPr>
      <w:r w:rsidRPr="008A346C">
        <w:rPr>
          <w:color w:val="auto"/>
          <w:rtl/>
        </w:rPr>
        <w:t>דאין שייך לומר זילא מילתא דאישה תוציא רבים אלא היכא דמצותן ברבים…</w:t>
      </w:r>
    </w:p>
    <w:p w14:paraId="6070AFE3" w14:textId="520C7113" w:rsidR="004A23C8" w:rsidRPr="008A346C" w:rsidRDefault="004A23C8" w:rsidP="00554419">
      <w:pPr>
        <w:jc w:val="both"/>
        <w:rPr>
          <w:rtl/>
        </w:rPr>
      </w:pPr>
      <w:r w:rsidRPr="008A346C">
        <w:rPr>
          <w:rtl/>
        </w:rPr>
        <w:t>כאן, העניין העיקרי הוא נשים המובילות במצוות שהן קהילתיות במהותן, דבר שמצמצם את הבעייתיות של נשים בתפקיד ציבורי. הרב ד"ר אריה פריימר מספר שהרב אהרן ליכטנשטיין תמך בגישה זו:</w:t>
      </w:r>
      <w:r w:rsidRPr="008A346C">
        <w:rPr>
          <w:rStyle w:val="FootnoteReference"/>
          <w:rtl/>
        </w:rPr>
        <w:footnoteReference w:id="8"/>
      </w:r>
    </w:p>
    <w:p w14:paraId="5E187AD1" w14:textId="77777777" w:rsidR="004A23C8" w:rsidRPr="008A346C" w:rsidRDefault="004A23C8" w:rsidP="00554419">
      <w:pPr>
        <w:pStyle w:val="SourceTitle"/>
        <w:jc w:val="both"/>
        <w:rPr>
          <w:color w:val="auto"/>
          <w:rtl/>
        </w:rPr>
      </w:pPr>
      <w:r w:rsidRPr="008A346C">
        <w:rPr>
          <w:color w:val="auto"/>
          <w:rtl/>
        </w:rPr>
        <w:t>הרב ד"ר אריה פריימר, 'מנהיגות נשית במרחב הקהילתי'</w:t>
      </w:r>
    </w:p>
    <w:p w14:paraId="6C2C9E95" w14:textId="2E46F006" w:rsidR="004A23C8" w:rsidRPr="008A346C" w:rsidRDefault="004A23C8" w:rsidP="00554419">
      <w:pPr>
        <w:pStyle w:val="SourceText"/>
        <w:jc w:val="both"/>
        <w:rPr>
          <w:color w:val="auto"/>
          <w:rtl/>
        </w:rPr>
      </w:pPr>
      <w:r w:rsidRPr="008A346C">
        <w:rPr>
          <w:color w:val="auto"/>
          <w:rtl/>
        </w:rPr>
        <w:t xml:space="preserve">בדומה למקרה הקודם, היו מי שהעדיפו להתיר לנשים לקדש עבור מתפללי בית הכנסת בשבת בבוקר, בעוד שאחרים התנגדו לכך. הרב אהרון [ליכטנשטיין] חש שגם כאן יש פוסקים משני צדדי הנושא, אך הרגיש שיש יותר מקום להקל... בניגוד לקריאת התורה וקריאת מגילה, שהן מטבען מצוות ציבוריות המחייבות מניין [לפחות לכתחילה במקרה של קריאת מגילה], קידוש הוא מטבעו מצווה פרטית. מכאן שאין </w:t>
      </w:r>
      <w:r w:rsidRPr="008A346C">
        <w:rPr>
          <w:color w:val="auto"/>
          <w:rtl/>
        </w:rPr>
        <w:lastRenderedPageBreak/>
        <w:t>כבוד הציבור או זילא מילתא... הרב אהרון באופן אישי היה מעדיף שנשים לא יהיו מעורבות... [בגלל העמדות המחמירות]; עם זאת, הוא לא היה מביע ביקורת או נמנע מללכת למניין בו מקלים בנושא זה.</w:t>
      </w:r>
    </w:p>
    <w:p w14:paraId="06CCA13C" w14:textId="1454EA14" w:rsidR="004A23C8" w:rsidRPr="008A346C" w:rsidRDefault="004A23C8" w:rsidP="00554419">
      <w:pPr>
        <w:jc w:val="both"/>
        <w:rPr>
          <w:rtl/>
        </w:rPr>
      </w:pPr>
      <w:r w:rsidRPr="008A346C">
        <w:rPr>
          <w:rtl/>
        </w:rPr>
        <w:t>הרב ליכטנשטיין התיר לנשים להוציא גברים ידי חובה במצוות ציבוריות אם המצווה אינה קהילתית במהותה, אף שלא היה תומך נלהב ברעיון. היסוס זה בולט מאוד לאור העובדה שרבו, הגרי"ד סולבייצ'יק, לא פסק שיש למנוע מנשים לקדש בפומבי.</w:t>
      </w:r>
      <w:r w:rsidRPr="008A346C">
        <w:rPr>
          <w:rStyle w:val="FootnoteReference"/>
          <w:rtl/>
        </w:rPr>
        <w:footnoteReference w:id="9"/>
      </w:r>
    </w:p>
    <w:p w14:paraId="55C568E5" w14:textId="2BF5C6E5" w:rsidR="004A23C8" w:rsidRPr="008A346C" w:rsidRDefault="004A23C8" w:rsidP="00554419">
      <w:pPr>
        <w:pStyle w:val="SourceTitle"/>
        <w:jc w:val="both"/>
        <w:rPr>
          <w:color w:val="auto"/>
          <w:rtl/>
        </w:rPr>
      </w:pPr>
      <w:r w:rsidRPr="008A346C">
        <w:rPr>
          <w:color w:val="auto"/>
          <w:rtl/>
        </w:rPr>
        <w:t>הרב מיכאל ברוידא, "עוד בנושא נשים כמנהיגות בתפילה"</w:t>
      </w:r>
    </w:p>
    <w:p w14:paraId="326A093E" w14:textId="7F012652" w:rsidR="004A23C8" w:rsidRPr="008A346C" w:rsidRDefault="004A23C8" w:rsidP="00554419">
      <w:pPr>
        <w:pStyle w:val="SourceText"/>
        <w:jc w:val="both"/>
        <w:rPr>
          <w:color w:val="auto"/>
          <w:rtl/>
        </w:rPr>
      </w:pPr>
      <w:r w:rsidRPr="008A346C">
        <w:rPr>
          <w:color w:val="auto"/>
          <w:rtl/>
        </w:rPr>
        <w:t xml:space="preserve">הרב יוסף דוב סולובייצ'יק סיפר, בתשובה לשאלת הלכה למעשה, בהרצאה פומבית בישיבה יוניברסיטי ב-6 לנובמבר, 1984, שאישה יכולה – ללא היסוס – לקדש אפילו בפני קבוצה גדולה של אנשים (גברים ונשים) בכל מצב, וכי הדבר מותר לחלוטין (מותר לכתחילה), מאחר ואין חובת מניין במצווה זו ועל כן הקבוצה אינה נחשבת כ"ציבור" שיש לחשוש לכבודו. </w:t>
      </w:r>
    </w:p>
    <w:p w14:paraId="28F1537C" w14:textId="77777777" w:rsidR="004A23C8" w:rsidRPr="008A346C" w:rsidRDefault="004A23C8" w:rsidP="00554419">
      <w:pPr>
        <w:pStyle w:val="SourceText"/>
        <w:jc w:val="both"/>
        <w:rPr>
          <w:color w:val="auto"/>
          <w:rtl/>
        </w:rPr>
      </w:pPr>
    </w:p>
    <w:p w14:paraId="4D1C8C38" w14:textId="77777777" w:rsidR="004A23C8" w:rsidRPr="008A346C" w:rsidRDefault="004A23C8" w:rsidP="00554419">
      <w:pPr>
        <w:pStyle w:val="Heading1"/>
        <w:jc w:val="both"/>
        <w:rPr>
          <w:rtl/>
        </w:rPr>
      </w:pPr>
      <w:r w:rsidRPr="008A346C">
        <w:rPr>
          <w:rtl/>
        </w:rPr>
        <w:t>הלכה למעשה</w:t>
      </w:r>
    </w:p>
    <w:p w14:paraId="67101166" w14:textId="316D1761" w:rsidR="004A23C8" w:rsidRPr="008A346C" w:rsidRDefault="004A23C8" w:rsidP="00554419">
      <w:pPr>
        <w:jc w:val="both"/>
        <w:rPr>
          <w:rtl/>
        </w:rPr>
      </w:pPr>
      <w:r w:rsidRPr="008A346C">
        <w:rPr>
          <w:rtl/>
        </w:rPr>
        <w:t xml:space="preserve">למעט נקודת המבט המיוחסת לר"י, הפסיקות שהצגנו כאן סוברות שנשים יכולות להוציא גבר ידי אם הן מחויבות באותה רמה כמותו (או ברמה גבוהה יותר). ההסתייגויות מתמקדות בשאלה מה </w:t>
      </w:r>
      <w:r w:rsidRPr="008A346C">
        <w:rPr>
          <w:i/>
          <w:iCs/>
          <w:rtl/>
        </w:rPr>
        <w:t xml:space="preserve">רצוי </w:t>
      </w:r>
      <w:r w:rsidRPr="008A346C">
        <w:rPr>
          <w:rtl/>
        </w:rPr>
        <w:t xml:space="preserve">לעשות, ולא מה </w:t>
      </w:r>
      <w:r w:rsidRPr="008A346C">
        <w:rPr>
          <w:i/>
          <w:iCs/>
          <w:rtl/>
        </w:rPr>
        <w:t>אפשרי</w:t>
      </w:r>
      <w:r w:rsidRPr="008A346C">
        <w:rPr>
          <w:rtl/>
        </w:rPr>
        <w:t>.</w:t>
      </w:r>
    </w:p>
    <w:p w14:paraId="3F28A142" w14:textId="022C66EC" w:rsidR="004A23C8" w:rsidRPr="008A346C" w:rsidRDefault="004A23C8" w:rsidP="00554419">
      <w:pPr>
        <w:jc w:val="both"/>
        <w:rPr>
          <w:rtl/>
        </w:rPr>
      </w:pPr>
      <w:r w:rsidRPr="008A346C">
        <w:rPr>
          <w:rtl/>
        </w:rPr>
        <w:t>גישתו של השולחן ערוך בנוגע למה ש</w:t>
      </w:r>
      <w:r w:rsidRPr="008A346C">
        <w:rPr>
          <w:b/>
          <w:bCs/>
          <w:rtl/>
        </w:rPr>
        <w:t>רצוי</w:t>
      </w:r>
      <w:r w:rsidRPr="008A346C">
        <w:rPr>
          <w:rtl/>
        </w:rPr>
        <w:t xml:space="preserve"> לעשות שנויה במחלוקת. מצד אחד, הוא פוסק כמו הכלבו לגבי עניין הקידוש. </w:t>
      </w:r>
    </w:p>
    <w:p w14:paraId="17FC1E6C" w14:textId="7C751923" w:rsidR="004A23C8" w:rsidRPr="008A346C" w:rsidRDefault="004A23C8" w:rsidP="00554419">
      <w:pPr>
        <w:pStyle w:val="SourceTitle"/>
        <w:jc w:val="both"/>
        <w:rPr>
          <w:color w:val="auto"/>
        </w:rPr>
      </w:pPr>
      <w:r w:rsidRPr="008A346C">
        <w:rPr>
          <w:color w:val="auto"/>
          <w:rtl/>
        </w:rPr>
        <w:t>שולחן ערוך אורח חיים הלכות שבת סימן רעא, ב </w:t>
      </w:r>
    </w:p>
    <w:p w14:paraId="3E27E230" w14:textId="335256C5" w:rsidR="004A23C8" w:rsidRPr="008A346C" w:rsidRDefault="004A23C8" w:rsidP="00554419">
      <w:pPr>
        <w:pStyle w:val="SourceText"/>
        <w:jc w:val="both"/>
        <w:rPr>
          <w:color w:val="auto"/>
          <w:rtl/>
        </w:rPr>
      </w:pPr>
      <w:r w:rsidRPr="008A346C">
        <w:rPr>
          <w:color w:val="auto"/>
          <w:rtl/>
        </w:rPr>
        <w:t>נשים חייבות בקידוש… ומוציאות את האנשים הואיל וחייבות מן התורה כמותם.</w:t>
      </w:r>
    </w:p>
    <w:p w14:paraId="2DD07736" w14:textId="7EA81F86" w:rsidR="004A23C8" w:rsidRPr="008A346C" w:rsidRDefault="004A23C8" w:rsidP="00554419">
      <w:pPr>
        <w:jc w:val="both"/>
        <w:rPr>
          <w:rtl/>
        </w:rPr>
      </w:pPr>
      <w:r w:rsidRPr="008A346C">
        <w:rPr>
          <w:rtl/>
        </w:rPr>
        <w:t>לעומת זאת, בנוגע לקריאת מגילה הוא מציג דעה מגבילה יותר:</w:t>
      </w:r>
    </w:p>
    <w:p w14:paraId="33260144" w14:textId="77777777" w:rsidR="004A23C8" w:rsidRPr="008A346C" w:rsidRDefault="004A23C8" w:rsidP="00554419">
      <w:pPr>
        <w:pStyle w:val="SourceTitle"/>
        <w:jc w:val="both"/>
        <w:rPr>
          <w:color w:val="auto"/>
        </w:rPr>
      </w:pPr>
      <w:r w:rsidRPr="008A346C">
        <w:rPr>
          <w:color w:val="auto"/>
          <w:rtl/>
        </w:rPr>
        <w:t>שולחן ערוך אורח חיים הלכות מגילה ופורים סימן תרפט </w:t>
      </w:r>
    </w:p>
    <w:p w14:paraId="540B5AF4" w14:textId="12CE5B7B" w:rsidR="004A23C8" w:rsidRPr="008A346C" w:rsidRDefault="004A23C8" w:rsidP="00554419">
      <w:pPr>
        <w:pStyle w:val="SourceText"/>
        <w:jc w:val="both"/>
        <w:rPr>
          <w:color w:val="auto"/>
          <w:rtl/>
        </w:rPr>
      </w:pPr>
      <w:r w:rsidRPr="008A346C">
        <w:rPr>
          <w:color w:val="auto"/>
          <w:rtl/>
        </w:rPr>
        <w:t>וי”א [=ויש אומרים] שהנשים אינם מוציאות את האנשים</w:t>
      </w:r>
    </w:p>
    <w:p w14:paraId="3CEB355B" w14:textId="45F6E878" w:rsidR="004A23C8" w:rsidRPr="008A346C" w:rsidRDefault="004A23C8" w:rsidP="00554419">
      <w:pPr>
        <w:jc w:val="both"/>
        <w:rPr>
          <w:rtl/>
        </w:rPr>
      </w:pPr>
      <w:r w:rsidRPr="008A346C">
        <w:rPr>
          <w:rtl/>
        </w:rPr>
        <w:t xml:space="preserve">ניתן להסביר סתירה זו בכמה דרכים. ייתכן שהשוני קשור ברמות שונות של חיוב בקריאת מגילה </w:t>
      </w:r>
      <w:r w:rsidRPr="008A346C">
        <w:rPr>
          <w:rFonts w:hint="eastAsia"/>
          <w:rtl/>
        </w:rPr>
        <w:t>לגברים</w:t>
      </w:r>
      <w:r w:rsidRPr="008A346C">
        <w:rPr>
          <w:rtl/>
        </w:rPr>
        <w:t xml:space="preserve"> ולנשים (הט"ז).</w:t>
      </w:r>
      <w:r w:rsidRPr="008A346C">
        <w:rPr>
          <w:rStyle w:val="FootnoteReference"/>
          <w:rtl/>
        </w:rPr>
        <w:footnoteReference w:id="10"/>
      </w:r>
      <w:r w:rsidRPr="008A346C">
        <w:rPr>
          <w:rtl/>
        </w:rPr>
        <w:t xml:space="preserve"> אם זה אכן המצב, הפסיקה לגבי קידוש היא הפסיקה הקובעת בדרך כלל.</w:t>
      </w:r>
    </w:p>
    <w:p w14:paraId="53D77330" w14:textId="5A7F0966" w:rsidR="004A23C8" w:rsidRPr="008A346C" w:rsidRDefault="004A23C8" w:rsidP="00554419">
      <w:pPr>
        <w:jc w:val="both"/>
        <w:rPr>
          <w:rtl/>
        </w:rPr>
      </w:pPr>
      <w:r w:rsidRPr="008A346C">
        <w:rPr>
          <w:rtl/>
        </w:rPr>
        <w:lastRenderedPageBreak/>
        <w:t xml:space="preserve">אך </w:t>
      </w:r>
      <w:r w:rsidRPr="008A346C">
        <w:rPr>
          <w:rFonts w:hint="cs"/>
          <w:rtl/>
        </w:rPr>
        <w:t>י</w:t>
      </w:r>
      <w:r w:rsidRPr="008A346C">
        <w:rPr>
          <w:rFonts w:hint="eastAsia"/>
          <w:rtl/>
        </w:rPr>
        <w:t>יתכן</w:t>
      </w:r>
      <w:r w:rsidRPr="008A346C">
        <w:rPr>
          <w:rtl/>
        </w:rPr>
        <w:t xml:space="preserve"> שלדעתו החיוב של נשים בקריאת מגילה זהה לזה של גברים, והפסיקות אינן עקביות. במצב כזה עלינו לנהוג </w:t>
      </w:r>
      <w:r w:rsidRPr="008A346C">
        <w:rPr>
          <w:rFonts w:hint="eastAsia"/>
          <w:rtl/>
        </w:rPr>
        <w:t>כ</w:t>
      </w:r>
      <w:r w:rsidRPr="008A346C">
        <w:rPr>
          <w:rtl/>
        </w:rPr>
        <w:t xml:space="preserve">פסיקה </w:t>
      </w:r>
      <w:r w:rsidRPr="008A346C">
        <w:rPr>
          <w:rFonts w:hint="eastAsia"/>
          <w:rtl/>
        </w:rPr>
        <w:t>ה</w:t>
      </w:r>
      <w:r w:rsidRPr="008A346C">
        <w:rPr>
          <w:rtl/>
        </w:rPr>
        <w:t>מחמירה מבין השתיים (הב"ח).</w:t>
      </w:r>
      <w:r w:rsidRPr="008A346C">
        <w:rPr>
          <w:rStyle w:val="FootnoteReference"/>
          <w:rtl/>
        </w:rPr>
        <w:footnoteReference w:id="11"/>
      </w:r>
      <w:r w:rsidRPr="008A346C">
        <w:rPr>
          <w:rtl/>
        </w:rPr>
        <w:t xml:space="preserve"> </w:t>
      </w:r>
      <w:r w:rsidRPr="008A346C">
        <w:rPr>
          <w:rFonts w:hint="eastAsia"/>
          <w:rtl/>
        </w:rPr>
        <w:t>אפשרות</w:t>
      </w:r>
      <w:r w:rsidRPr="008A346C">
        <w:rPr>
          <w:rtl/>
        </w:rPr>
        <w:t xml:space="preserve"> </w:t>
      </w:r>
      <w:r w:rsidRPr="008A346C">
        <w:rPr>
          <w:rFonts w:hint="cs"/>
          <w:rtl/>
        </w:rPr>
        <w:t>נוספת</w:t>
      </w:r>
      <w:r w:rsidRPr="008A346C">
        <w:rPr>
          <w:rtl/>
        </w:rPr>
        <w:t xml:space="preserve"> היא שקריאת מגילה שונה מסיבה אחרת:</w:t>
      </w:r>
      <w:r w:rsidRPr="008A346C">
        <w:rPr>
          <w:rStyle w:val="FootnoteReference"/>
          <w:rtl/>
        </w:rPr>
        <w:footnoteReference w:id="12"/>
      </w:r>
      <w:r w:rsidRPr="008A346C">
        <w:rPr>
          <w:rtl/>
        </w:rPr>
        <w:t xml:space="preserve"> </w:t>
      </w:r>
      <w:r w:rsidRPr="008A346C">
        <w:rPr>
          <w:rFonts w:hint="eastAsia"/>
          <w:rtl/>
        </w:rPr>
        <w:t>מכי</w:t>
      </w:r>
      <w:r w:rsidRPr="008A346C">
        <w:rPr>
          <w:rFonts w:hint="cs"/>
          <w:rtl/>
        </w:rPr>
        <w:t>ו</w:t>
      </w:r>
      <w:r w:rsidRPr="008A346C">
        <w:rPr>
          <w:rFonts w:hint="eastAsia"/>
          <w:rtl/>
        </w:rPr>
        <w:t>ון</w:t>
      </w:r>
      <w:r w:rsidRPr="008A346C">
        <w:rPr>
          <w:rtl/>
        </w:rPr>
        <w:t xml:space="preserve"> שהיא נעשית בדרך כלל בפומבי, או משום שהיא קהילתית במהותה, ולכן במצוות או בנסיבות אחרות נשים </w:t>
      </w:r>
      <w:r w:rsidRPr="008A346C">
        <w:rPr>
          <w:rFonts w:hint="eastAsia"/>
          <w:rtl/>
        </w:rPr>
        <w:t>כן</w:t>
      </w:r>
      <w:r w:rsidRPr="008A346C">
        <w:rPr>
          <w:rtl/>
        </w:rPr>
        <w:t xml:space="preserve"> יכולות להוציא גברים ידי חובה.</w:t>
      </w:r>
    </w:p>
    <w:p w14:paraId="00C5A754" w14:textId="7BFC2704" w:rsidR="004A23C8" w:rsidRPr="008A346C" w:rsidRDefault="004A23C8" w:rsidP="00554419">
      <w:pPr>
        <w:jc w:val="both"/>
        <w:rPr>
          <w:rtl/>
        </w:rPr>
      </w:pPr>
      <w:r w:rsidRPr="008A346C">
        <w:rPr>
          <w:rtl/>
        </w:rPr>
        <w:t xml:space="preserve">אנו נותרים ללא פסיקה אחת מוחלטת להלכה למעשה. </w:t>
      </w:r>
    </w:p>
    <w:p w14:paraId="01E59049" w14:textId="67A38DD5" w:rsidR="004A23C8" w:rsidRPr="008A346C" w:rsidRDefault="004A23C8" w:rsidP="00554419">
      <w:pPr>
        <w:pStyle w:val="Heading1"/>
        <w:jc w:val="both"/>
        <w:rPr>
          <w:rtl/>
        </w:rPr>
      </w:pPr>
      <w:r w:rsidRPr="008A346C">
        <w:rPr>
          <w:rtl/>
        </w:rPr>
        <w:t>מחשבות לסיכום</w:t>
      </w:r>
    </w:p>
    <w:p w14:paraId="686EE8CB" w14:textId="0E35A6CA" w:rsidR="004A23C8" w:rsidRPr="008A346C" w:rsidRDefault="004A23C8" w:rsidP="00554419">
      <w:pPr>
        <w:jc w:val="both"/>
        <w:rPr>
          <w:rtl/>
        </w:rPr>
      </w:pPr>
      <w:r w:rsidRPr="008A346C">
        <w:rPr>
          <w:rtl/>
        </w:rPr>
        <w:t xml:space="preserve">באופן כללי, נשים יכולות לברך ברכת הנהנין עבור גברים ונשים או להוציא גברים ונשים ידי חובת מצוות שבדיבור כמו קידוש. נשים בוודאי יכולות להוציא נשים אחרות ידי חובה. </w:t>
      </w:r>
    </w:p>
    <w:p w14:paraId="71B7ECC2" w14:textId="4DE5607E" w:rsidR="004A23C8" w:rsidRPr="008A346C" w:rsidRDefault="004A23C8" w:rsidP="00554419">
      <w:pPr>
        <w:jc w:val="both"/>
        <w:rPr>
          <w:rtl/>
        </w:rPr>
      </w:pPr>
      <w:r w:rsidRPr="008A346C">
        <w:rPr>
          <w:rtl/>
        </w:rPr>
        <w:t xml:space="preserve">כשלאישה רמת חיוב זהה לזו של גבר, ואין מאפיינים ייחודיים למצווה אשר מונעים ממנה להוציא אותו ידי חובה, ביכולתה לעשות זאת. השאלות לגבי מתי והאם </w:t>
      </w:r>
      <w:r w:rsidRPr="008A346C">
        <w:rPr>
          <w:b/>
          <w:bCs/>
          <w:rtl/>
        </w:rPr>
        <w:t xml:space="preserve">רצוי </w:t>
      </w:r>
      <w:r w:rsidRPr="008A346C">
        <w:rPr>
          <w:rtl/>
        </w:rPr>
        <w:t xml:space="preserve">שתוציא גבר ידי חובתו נותרות ללא תשובה ברורה. </w:t>
      </w:r>
    </w:p>
    <w:p w14:paraId="5F35F14E" w14:textId="7AA7B5AF" w:rsidR="004A23C8" w:rsidRPr="008A346C" w:rsidRDefault="004A23C8" w:rsidP="00554419">
      <w:pPr>
        <w:jc w:val="both"/>
        <w:rPr>
          <w:rtl/>
        </w:rPr>
      </w:pPr>
      <w:r w:rsidRPr="008A346C">
        <w:rPr>
          <w:rtl/>
        </w:rPr>
        <w:t>כאשר ניצבים מול שאלות כאלה, פוסקים רבים לא יעודדו נשים להוציא גברים ידי חובה כדי להסתדר עם כל הדעות,</w:t>
      </w:r>
      <w:r w:rsidRPr="008A346C">
        <w:rPr>
          <w:rStyle w:val="FootnoteReference"/>
          <w:rtl/>
        </w:rPr>
        <w:footnoteReference w:id="13"/>
      </w:r>
      <w:r w:rsidRPr="008A346C">
        <w:rPr>
          <w:rtl/>
        </w:rPr>
        <w:t xml:space="preserve"> ופוסקים אחרים ינסו להתיר מה שניתן. הרב ליכטנשטיין הגדיר זאת היטב:</w:t>
      </w:r>
      <w:r w:rsidRPr="008A346C">
        <w:rPr>
          <w:rStyle w:val="FootnoteReference"/>
          <w:rtl/>
        </w:rPr>
        <w:footnoteReference w:id="14"/>
      </w:r>
    </w:p>
    <w:p w14:paraId="32EBAEFD" w14:textId="193A0514" w:rsidR="004A23C8" w:rsidRPr="008A346C" w:rsidRDefault="004A23C8" w:rsidP="00554419">
      <w:pPr>
        <w:pStyle w:val="SourceTitle"/>
        <w:jc w:val="both"/>
        <w:rPr>
          <w:color w:val="auto"/>
          <w:rtl/>
        </w:rPr>
      </w:pPr>
      <w:r w:rsidRPr="008A346C">
        <w:rPr>
          <w:color w:val="auto"/>
          <w:rtl/>
        </w:rPr>
        <w:t>הרב אהרן ליכטנשטיין, 'מנהיגות נשים', עמ' 34</w:t>
      </w:r>
    </w:p>
    <w:p w14:paraId="3A7D1BFF" w14:textId="27583DD8" w:rsidR="004A23C8" w:rsidRPr="008A346C" w:rsidRDefault="004A23C8" w:rsidP="00554419">
      <w:pPr>
        <w:pStyle w:val="SourceText"/>
        <w:jc w:val="both"/>
        <w:rPr>
          <w:color w:val="auto"/>
          <w:rtl/>
        </w:rPr>
      </w:pPr>
      <w:r w:rsidRPr="008A346C">
        <w:rPr>
          <w:color w:val="auto"/>
          <w:rtl/>
        </w:rPr>
        <w:t xml:space="preserve">בהקשר זה [=תפקידים ציבוריים של נשים] פוסקים רציניים ואחראיים, המחויבים ללא דופי ובעלי ידיעת תורה נרחבת, צריכים, אני מאמין, לתת משקל רב יותר ממה שניתן בדורות האחרונים להתרים המבוססים על לעשות נחת רוח לנשים, שהובאו בגמרא ובשולחן ערוך כבסיס להתיר את מה שאולי היה אסור לולא זאת. </w:t>
      </w:r>
    </w:p>
    <w:p w14:paraId="7BA0AF18" w14:textId="4687C389" w:rsidR="004A23C8" w:rsidRPr="008A346C" w:rsidRDefault="004A23C8" w:rsidP="00554419">
      <w:pPr>
        <w:jc w:val="both"/>
        <w:rPr>
          <w:rtl/>
        </w:rPr>
      </w:pPr>
      <w:r w:rsidRPr="008A346C">
        <w:rPr>
          <w:rtl/>
        </w:rPr>
        <w:t xml:space="preserve">על פי גישה זו, נוכל לומר כי יש לשקול בזהירות את היתרונות הפוטנציאליים הנלווים לכך שנשים יוציאו גברים ידי חובה כאשר ההלכה מתירה זאת. ככל שהמצווה או המסגרת שבה היא נעשית פרטית יותר, כך יש פחות סיבות להגבלות. </w:t>
      </w:r>
    </w:p>
    <w:p w14:paraId="60CA34ED" w14:textId="29169FBC" w:rsidR="004A23C8" w:rsidRPr="008A346C" w:rsidRDefault="004A23C8" w:rsidP="00554419">
      <w:pPr>
        <w:jc w:val="both"/>
        <w:rPr>
          <w:rtl/>
        </w:rPr>
      </w:pPr>
      <w:r w:rsidRPr="008A346C">
        <w:rPr>
          <w:rtl/>
        </w:rPr>
        <w:t xml:space="preserve">בסופו של דבר, העניין נתון להחלטת כל קהילה והנהגתה הלכתית. לדוגמה, ייתכן וגישה מתירה יותר תועיל באופן חיובי במסגרת של אוניברסיטה או קהילת רווקים ורווקות, כאשר ההבדל בין חיי הדת של גברים ונשים בולטים פחות בדרך כלל. </w:t>
      </w:r>
    </w:p>
    <w:p w14:paraId="1D8B4572" w14:textId="5FCC59B7" w:rsidR="004A23C8" w:rsidRPr="008A346C" w:rsidRDefault="004A23C8" w:rsidP="00554419">
      <w:pPr>
        <w:jc w:val="both"/>
        <w:rPr>
          <w:rtl/>
        </w:rPr>
      </w:pPr>
      <w:r w:rsidRPr="008A346C">
        <w:rPr>
          <w:rtl/>
        </w:rPr>
        <w:t>בסיטואציה פרטית או משפחתית, בה החשש של "רבים" קטן או לא קיים, יש יותר מקום לגמישות וקיימת פחות התנגדות הלכתית. גם כאן, יש ללוות כל שינוי מן הנהוג באחריות ובתקשורת פתוחה וכנה. אומנם ישנם פחות אנשים לקחת בחשבון, אך למנהגי הבית משקל רב משל עצמם.</w:t>
      </w:r>
    </w:p>
    <w:p w14:paraId="3103C025" w14:textId="40376AAD" w:rsidR="004A23C8" w:rsidRPr="008A346C" w:rsidRDefault="004A23C8" w:rsidP="00554419">
      <w:pPr>
        <w:pStyle w:val="HashkafahTitle"/>
        <w:jc w:val="both"/>
        <w:rPr>
          <w:color w:val="auto"/>
          <w:rtl/>
        </w:rPr>
      </w:pPr>
      <w:r w:rsidRPr="008A346C">
        <w:rPr>
          <w:color w:val="auto"/>
          <w:rtl/>
        </w:rPr>
        <w:lastRenderedPageBreak/>
        <w:t>כיצד עלינו להתייחס למצבים בהם ההלכה מסתייגת אך לא אוסרת?</w:t>
      </w:r>
    </w:p>
    <w:p w14:paraId="17EFC509" w14:textId="390B44B4" w:rsidR="004A23C8" w:rsidRPr="008A346C" w:rsidRDefault="004A23C8" w:rsidP="00554419">
      <w:pPr>
        <w:pStyle w:val="HashkafahText"/>
        <w:jc w:val="both"/>
        <w:rPr>
          <w:rtl/>
        </w:rPr>
      </w:pPr>
      <w:r w:rsidRPr="008A346C">
        <w:rPr>
          <w:rFonts w:ascii="Arial" w:hAnsi="Arial" w:cs="Arial"/>
          <w:shd w:val="clear" w:color="auto" w:fill="FFFFFF"/>
          <w:rtl/>
        </w:rPr>
        <w:t>בעבור חלק מהקוראים, טענות המתבססות על מסורת שבה נשים לא היו מוציאות גברים ידי חובה גם אם הדבר היה מותר מבחינה טכנית הן מספקות ומתקבלות על הדעת. דפוסי התנהלות מסוימים של אורח החיים היהודי שנהגו במשך אלפי שנים, כמו למשל שגברים אחראיים לתפקידי דת ציבוריים בעוד שתפקידן של נשים ה</w:t>
      </w:r>
      <w:r w:rsidRPr="008A346C">
        <w:rPr>
          <w:rFonts w:ascii="Arial" w:hAnsi="Arial" w:cs="Arial" w:hint="cs"/>
          <w:shd w:val="clear" w:color="auto" w:fill="FFFFFF"/>
          <w:rtl/>
        </w:rPr>
        <w:t>תמקד יותר ב</w:t>
      </w:r>
      <w:r w:rsidRPr="008A346C">
        <w:rPr>
          <w:rFonts w:ascii="Arial" w:hAnsi="Arial" w:cs="Arial"/>
          <w:shd w:val="clear" w:color="auto" w:fill="FFFFFF"/>
          <w:rtl/>
        </w:rPr>
        <w:t>בית, אינם דבר שניתן לבטל במחי יד</w:t>
      </w:r>
      <w:r w:rsidRPr="008A346C">
        <w:rPr>
          <w:rFonts w:ascii="Arial" w:hAnsi="Arial" w:cs="Arial"/>
          <w:shd w:val="clear" w:color="auto" w:fill="FFFFFF"/>
        </w:rPr>
        <w:t>.</w:t>
      </w:r>
    </w:p>
    <w:p w14:paraId="7268A197" w14:textId="2ED92030" w:rsidR="004A23C8" w:rsidRPr="008A346C" w:rsidRDefault="004A23C8" w:rsidP="00554419">
      <w:pPr>
        <w:pStyle w:val="HashkafahText"/>
        <w:jc w:val="both"/>
        <w:rPr>
          <w:rtl/>
        </w:rPr>
      </w:pPr>
      <w:r w:rsidRPr="008A346C">
        <w:rPr>
          <w:rtl/>
        </w:rPr>
        <w:t>אדם הרגיל למלא תפקיד מסוים, בין אם כעונה ובין אם כשומע, עשוי להיות מחובר אליו ולבקש לשמור עליו, במיוחד אם התפקיד תואם את מסורתם של הוריו וסביו. אפילו אישה הרוצה לקדש בעבור בני משפחתה עשויה למצוא את עצמה מתקוממת אם בעלה יבקש להדליק במקומה את נרות השבת.</w:t>
      </w:r>
    </w:p>
    <w:p w14:paraId="555551A2" w14:textId="6018B498" w:rsidR="007252CE" w:rsidRPr="008A346C" w:rsidRDefault="004A23C8" w:rsidP="00554419">
      <w:pPr>
        <w:pStyle w:val="HashkafahText"/>
        <w:jc w:val="both"/>
        <w:rPr>
          <w:rtl/>
        </w:rPr>
      </w:pPr>
      <w:r w:rsidRPr="008A346C">
        <w:rPr>
          <w:rtl/>
        </w:rPr>
        <w:t>רחל שרנסקי דנציגר כותבת שאל לנשים המבקשות לקחת חלק בצורה חדשה של קיום מצוות לנטוש את מסורת אימותיהן בפזיזות ובקלות, ואל להן לזלזל במנהגי הדורות הקודמים.</w:t>
      </w:r>
      <w:r w:rsidRPr="008A346C">
        <w:rPr>
          <w:rStyle w:val="FootnoteReference"/>
          <w:rtl/>
        </w:rPr>
        <w:footnoteReference w:id="15"/>
      </w:r>
    </w:p>
    <w:p w14:paraId="3DDCCA54" w14:textId="1F99D12F" w:rsidR="00FB67AB" w:rsidRPr="008A346C" w:rsidRDefault="0098013F" w:rsidP="00554419">
      <w:pPr>
        <w:pStyle w:val="SourceTitle"/>
        <w:jc w:val="both"/>
        <w:rPr>
          <w:color w:val="auto"/>
          <w:rtl/>
        </w:rPr>
      </w:pPr>
      <w:r w:rsidRPr="008A346C">
        <w:rPr>
          <w:color w:val="auto"/>
          <w:rtl/>
        </w:rPr>
        <w:t>רחל שרנסקי דנציגר, "</w:t>
      </w:r>
      <w:r w:rsidR="00504C45" w:rsidRPr="008A346C">
        <w:rPr>
          <w:color w:val="auto"/>
          <w:rtl/>
        </w:rPr>
        <w:t>ב</w:t>
      </w:r>
      <w:r w:rsidR="00DB7039" w:rsidRPr="008A346C">
        <w:rPr>
          <w:color w:val="auto"/>
          <w:rtl/>
        </w:rPr>
        <w:t>חזר</w:t>
      </w:r>
      <w:r w:rsidR="00504C45" w:rsidRPr="008A346C">
        <w:rPr>
          <w:color w:val="auto"/>
          <w:rtl/>
        </w:rPr>
        <w:t>ה</w:t>
      </w:r>
      <w:r w:rsidR="00DB7039" w:rsidRPr="008A346C">
        <w:rPr>
          <w:color w:val="auto"/>
          <w:rtl/>
        </w:rPr>
        <w:t xml:space="preserve"> לדת אמותינו"</w:t>
      </w:r>
      <w:r w:rsidR="00DF3C11" w:rsidRPr="008A346C">
        <w:rPr>
          <w:color w:val="auto"/>
          <w:rtl/>
        </w:rPr>
        <w:t>,</w:t>
      </w:r>
      <w:r w:rsidR="00DB7039" w:rsidRPr="008A346C">
        <w:rPr>
          <w:color w:val="auto"/>
          <w:rtl/>
        </w:rPr>
        <w:t xml:space="preserve"> זמן ישראל, 11.12.14</w:t>
      </w:r>
    </w:p>
    <w:p w14:paraId="018C226C" w14:textId="6AFAAAF3" w:rsidR="005D4F7A" w:rsidRPr="008A346C" w:rsidRDefault="00FB67AB" w:rsidP="00554419">
      <w:pPr>
        <w:pStyle w:val="SourceText"/>
        <w:jc w:val="both"/>
        <w:rPr>
          <w:color w:val="auto"/>
          <w:rtl/>
        </w:rPr>
      </w:pPr>
      <w:r w:rsidRPr="008A346C">
        <w:rPr>
          <w:color w:val="auto"/>
          <w:rtl/>
        </w:rPr>
        <w:t>כאשר אנו נאבק</w:t>
      </w:r>
      <w:r w:rsidR="00852661" w:rsidRPr="008A346C">
        <w:rPr>
          <w:color w:val="auto"/>
          <w:rtl/>
        </w:rPr>
        <w:t>ות</w:t>
      </w:r>
      <w:r w:rsidR="005D4F7A" w:rsidRPr="008A346C">
        <w:rPr>
          <w:color w:val="auto"/>
          <w:rtl/>
        </w:rPr>
        <w:t xml:space="preserve"> להגדיר מחדש את </w:t>
      </w:r>
      <w:r w:rsidR="0016614E" w:rsidRPr="008A346C">
        <w:rPr>
          <w:color w:val="auto"/>
          <w:rtl/>
        </w:rPr>
        <w:t>מקומנו</w:t>
      </w:r>
      <w:r w:rsidR="005D4F7A" w:rsidRPr="008A346C">
        <w:rPr>
          <w:color w:val="auto"/>
          <w:rtl/>
        </w:rPr>
        <w:t xml:space="preserve"> ביהדות, על אף </w:t>
      </w:r>
      <w:r w:rsidR="0016614E" w:rsidRPr="008A346C">
        <w:rPr>
          <w:color w:val="auto"/>
          <w:rtl/>
        </w:rPr>
        <w:t>רצוננו</w:t>
      </w:r>
      <w:r w:rsidR="005D4F7A" w:rsidRPr="008A346C">
        <w:rPr>
          <w:color w:val="auto"/>
          <w:rtl/>
        </w:rPr>
        <w:t xml:space="preserve"> למעורבות קהילתית רבה יותר ו</w:t>
      </w:r>
      <w:r w:rsidR="00916BEF" w:rsidRPr="008A346C">
        <w:rPr>
          <w:color w:val="auto"/>
          <w:rtl/>
        </w:rPr>
        <w:t>ל</w:t>
      </w:r>
      <w:r w:rsidR="005D4F7A" w:rsidRPr="008A346C">
        <w:rPr>
          <w:color w:val="auto"/>
          <w:rtl/>
        </w:rPr>
        <w:t>תפקידים חדשים, אל לנו להזניח את המורשת העוצמתית של אימהותינו</w:t>
      </w:r>
      <w:r w:rsidR="00D010EB" w:rsidRPr="008A346C">
        <w:rPr>
          <w:color w:val="auto"/>
          <w:rtl/>
        </w:rPr>
        <w:t>.</w:t>
      </w:r>
      <w:r w:rsidR="005D4F7A" w:rsidRPr="008A346C">
        <w:rPr>
          <w:color w:val="auto"/>
          <w:rtl/>
        </w:rPr>
        <w:t xml:space="preserve"> </w:t>
      </w:r>
      <w:r w:rsidR="00D010EB" w:rsidRPr="008A346C">
        <w:rPr>
          <w:color w:val="auto"/>
          <w:rtl/>
        </w:rPr>
        <w:t xml:space="preserve">אל לנו </w:t>
      </w:r>
      <w:r w:rsidR="00C20591" w:rsidRPr="008A346C">
        <w:rPr>
          <w:color w:val="auto"/>
          <w:rtl/>
        </w:rPr>
        <w:t>ל</w:t>
      </w:r>
      <w:r w:rsidR="005D4F7A" w:rsidRPr="008A346C">
        <w:rPr>
          <w:color w:val="auto"/>
          <w:rtl/>
        </w:rPr>
        <w:t xml:space="preserve">קבל את </w:t>
      </w:r>
      <w:r w:rsidR="00622642" w:rsidRPr="008A346C">
        <w:rPr>
          <w:color w:val="auto"/>
          <w:rtl/>
        </w:rPr>
        <w:t>ההפחתה בערך</w:t>
      </w:r>
      <w:r w:rsidR="003B189F" w:rsidRPr="008A346C">
        <w:rPr>
          <w:color w:val="auto"/>
          <w:rtl/>
        </w:rPr>
        <w:t xml:space="preserve"> </w:t>
      </w:r>
      <w:r w:rsidR="005D4F7A" w:rsidRPr="008A346C">
        <w:rPr>
          <w:color w:val="auto"/>
          <w:rtl/>
        </w:rPr>
        <w:t>הדת שלהן... בוא</w:t>
      </w:r>
      <w:r w:rsidR="00F71F27" w:rsidRPr="008A346C">
        <w:rPr>
          <w:color w:val="auto"/>
          <w:rtl/>
        </w:rPr>
        <w:t>נה</w:t>
      </w:r>
      <w:r w:rsidR="005D4F7A" w:rsidRPr="008A346C">
        <w:rPr>
          <w:color w:val="auto"/>
          <w:rtl/>
        </w:rPr>
        <w:t xml:space="preserve"> ונחזיר את הגוף ואת המשפחה לזירה של צמיחה</w:t>
      </w:r>
      <w:r w:rsidR="005520A8" w:rsidRPr="008A346C">
        <w:rPr>
          <w:color w:val="auto"/>
          <w:rtl/>
        </w:rPr>
        <w:t xml:space="preserve"> עוצמתית</w:t>
      </w:r>
      <w:r w:rsidR="005D4F7A" w:rsidRPr="008A346C">
        <w:rPr>
          <w:color w:val="auto"/>
          <w:rtl/>
        </w:rPr>
        <w:t>.</w:t>
      </w:r>
    </w:p>
    <w:p w14:paraId="58C22C40" w14:textId="6065793C" w:rsidR="00FB67AB" w:rsidRPr="008A346C" w:rsidRDefault="0016614E" w:rsidP="00554419">
      <w:pPr>
        <w:pStyle w:val="HashkafahText"/>
        <w:jc w:val="both"/>
        <w:rPr>
          <w:rtl/>
        </w:rPr>
      </w:pPr>
      <w:r w:rsidRPr="008A346C">
        <w:rPr>
          <w:rtl/>
        </w:rPr>
        <w:t xml:space="preserve">מנגד, </w:t>
      </w:r>
      <w:r w:rsidR="005D4F7A" w:rsidRPr="008A346C">
        <w:rPr>
          <w:rtl/>
        </w:rPr>
        <w:t xml:space="preserve">עבור אחרים, נהיה קשה יותר ויותר להזדהות עם הדעות המגבילות נשים בכל </w:t>
      </w:r>
      <w:r w:rsidR="00D4647E" w:rsidRPr="008A346C">
        <w:rPr>
          <w:rtl/>
        </w:rPr>
        <w:t xml:space="preserve">דבר שהוא מעבר למה </w:t>
      </w:r>
      <w:r w:rsidR="0018508B" w:rsidRPr="008A346C">
        <w:rPr>
          <w:rtl/>
        </w:rPr>
        <w:t xml:space="preserve">שמחייבת </w:t>
      </w:r>
      <w:r w:rsidR="00D4647E" w:rsidRPr="008A346C">
        <w:rPr>
          <w:rtl/>
        </w:rPr>
        <w:t>ההלכה</w:t>
      </w:r>
      <w:r w:rsidR="005D4F7A" w:rsidRPr="008A346C">
        <w:rPr>
          <w:rtl/>
        </w:rPr>
        <w:t xml:space="preserve">. </w:t>
      </w:r>
      <w:r w:rsidR="00567544" w:rsidRPr="008A346C">
        <w:rPr>
          <w:rtl/>
        </w:rPr>
        <w:t xml:space="preserve">בעשורים האחרונים קיבלו </w:t>
      </w:r>
      <w:r w:rsidR="005D4F7A" w:rsidRPr="008A346C">
        <w:rPr>
          <w:rtl/>
        </w:rPr>
        <w:t>נשים על עצמן תפקידים ציבוריים בתחומי חיים שאינם דתיים, ו</w:t>
      </w:r>
      <w:r w:rsidR="00567544" w:rsidRPr="008A346C">
        <w:rPr>
          <w:rtl/>
        </w:rPr>
        <w:t xml:space="preserve">נשים ממשיכות לצבור </w:t>
      </w:r>
      <w:r w:rsidR="005D4F7A" w:rsidRPr="008A346C">
        <w:rPr>
          <w:rtl/>
        </w:rPr>
        <w:t>ידע תורני נרחב</w:t>
      </w:r>
      <w:r w:rsidR="00567544" w:rsidRPr="008A346C">
        <w:rPr>
          <w:rtl/>
        </w:rPr>
        <w:t xml:space="preserve">. </w:t>
      </w:r>
      <w:r w:rsidR="005D4F7A" w:rsidRPr="008A346C">
        <w:rPr>
          <w:rtl/>
        </w:rPr>
        <w:t>פעמים רבות הרצון לקחת חלק מוביל בצורות נוספות של עבודת ה' הוא חלק משינויים אלה, מתוך מקום חיובי של חיבור לתורה ולמצוות.</w:t>
      </w:r>
    </w:p>
    <w:p w14:paraId="0D32B5DB" w14:textId="12F66442" w:rsidR="005D4F7A" w:rsidRPr="008A346C" w:rsidRDefault="005D4F7A" w:rsidP="00554419">
      <w:pPr>
        <w:pStyle w:val="HashkafahText"/>
        <w:jc w:val="both"/>
      </w:pPr>
      <w:r w:rsidRPr="008A346C">
        <w:rPr>
          <w:rtl/>
        </w:rPr>
        <w:t>במקרה של הוצא</w:t>
      </w:r>
      <w:r w:rsidR="007C1F33" w:rsidRPr="008A346C">
        <w:rPr>
          <w:rtl/>
        </w:rPr>
        <w:t>ה</w:t>
      </w:r>
      <w:r w:rsidRPr="008A346C">
        <w:rPr>
          <w:rtl/>
        </w:rPr>
        <w:t xml:space="preserve"> ידי חובה</w:t>
      </w:r>
      <w:r w:rsidR="00C506C1" w:rsidRPr="008A346C">
        <w:rPr>
          <w:rtl/>
        </w:rPr>
        <w:t>,</w:t>
      </w:r>
      <w:r w:rsidRPr="008A346C">
        <w:rPr>
          <w:rtl/>
        </w:rPr>
        <w:t xml:space="preserve"> כאשר רמת החיוב זהה חז"ל לא הגבילו נשים באופן ספציפי, </w:t>
      </w:r>
      <w:r w:rsidR="00567544" w:rsidRPr="008A346C">
        <w:rPr>
          <w:rtl/>
        </w:rPr>
        <w:t>ו</w:t>
      </w:r>
      <w:r w:rsidRPr="008A346C">
        <w:rPr>
          <w:rtl/>
        </w:rPr>
        <w:t xml:space="preserve">קיימות מגוון השקפות בקשר לכך בפסיקות ההלכה המוקדמות. דבר זה מותיר מקום להגיב בחיוב לרצונות אלה בהקשרים </w:t>
      </w:r>
      <w:r w:rsidR="00D4647E" w:rsidRPr="008A346C">
        <w:rPr>
          <w:rtl/>
        </w:rPr>
        <w:t>מסוימים</w:t>
      </w:r>
      <w:r w:rsidRPr="008A346C">
        <w:rPr>
          <w:rtl/>
        </w:rPr>
        <w:t xml:space="preserve">. </w:t>
      </w:r>
    </w:p>
    <w:p w14:paraId="4417D64D" w14:textId="3DF2A04B" w:rsidR="005D4F7A" w:rsidRPr="008A346C" w:rsidRDefault="005D4F7A" w:rsidP="00554419">
      <w:pPr>
        <w:pStyle w:val="HashkafahText"/>
        <w:jc w:val="both"/>
        <w:rPr>
          <w:rtl/>
        </w:rPr>
      </w:pPr>
      <w:r w:rsidRPr="008A346C">
        <w:rPr>
          <w:rtl/>
        </w:rPr>
        <w:t>איזו התנהגות מתאימה למצב</w:t>
      </w:r>
      <w:r w:rsidR="000D5F84" w:rsidRPr="008A346C">
        <w:rPr>
          <w:rFonts w:hint="cs"/>
          <w:rtl/>
        </w:rPr>
        <w:t xml:space="preserve"> מסוים</w:t>
      </w:r>
      <w:r w:rsidRPr="008A346C">
        <w:rPr>
          <w:rtl/>
        </w:rPr>
        <w:t xml:space="preserve"> </w:t>
      </w:r>
      <w:r w:rsidR="00C506C1" w:rsidRPr="008A346C">
        <w:rPr>
          <w:rtl/>
        </w:rPr>
        <w:t>היא שאלה</w:t>
      </w:r>
      <w:r w:rsidRPr="008A346C">
        <w:rPr>
          <w:rtl/>
        </w:rPr>
        <w:t xml:space="preserve"> מורכב</w:t>
      </w:r>
      <w:r w:rsidR="00C506C1" w:rsidRPr="008A346C">
        <w:rPr>
          <w:rtl/>
        </w:rPr>
        <w:t>ת</w:t>
      </w:r>
      <w:r w:rsidRPr="008A346C">
        <w:rPr>
          <w:rtl/>
        </w:rPr>
        <w:t xml:space="preserve"> שמטבע</w:t>
      </w:r>
      <w:r w:rsidR="00C506C1" w:rsidRPr="008A346C">
        <w:rPr>
          <w:rtl/>
        </w:rPr>
        <w:t>ה</w:t>
      </w:r>
      <w:r w:rsidRPr="008A346C">
        <w:rPr>
          <w:rtl/>
        </w:rPr>
        <w:t xml:space="preserve"> יכול</w:t>
      </w:r>
      <w:r w:rsidR="00C506C1" w:rsidRPr="008A346C">
        <w:rPr>
          <w:rtl/>
        </w:rPr>
        <w:t>ה</w:t>
      </w:r>
      <w:r w:rsidRPr="008A346C">
        <w:rPr>
          <w:rtl/>
        </w:rPr>
        <w:t xml:space="preserve"> להשתנות ב</w:t>
      </w:r>
      <w:r w:rsidR="00C506C1" w:rsidRPr="008A346C">
        <w:rPr>
          <w:rtl/>
        </w:rPr>
        <w:t xml:space="preserve">ין </w:t>
      </w:r>
      <w:r w:rsidRPr="008A346C">
        <w:rPr>
          <w:rtl/>
        </w:rPr>
        <w:t xml:space="preserve">קהילות שונות. </w:t>
      </w:r>
      <w:r w:rsidR="00D4647E" w:rsidRPr="008A346C">
        <w:rPr>
          <w:rtl/>
        </w:rPr>
        <w:t>ההתייחסות</w:t>
      </w:r>
      <w:r w:rsidRPr="008A346C">
        <w:rPr>
          <w:rtl/>
        </w:rPr>
        <w:t xml:space="preserve"> לנושא תלויה בערכים המנחים אותנו, והמשקל היחסי שאנו מעניקים להם. עלינו לשאול: האם קיים ערך רוחני </w:t>
      </w:r>
      <w:r w:rsidR="00E45A48" w:rsidRPr="008A346C">
        <w:rPr>
          <w:rtl/>
        </w:rPr>
        <w:t xml:space="preserve">בעצם </w:t>
      </w:r>
      <w:r w:rsidR="00472BB1" w:rsidRPr="008A346C">
        <w:rPr>
          <w:rtl/>
        </w:rPr>
        <w:t>זה</w:t>
      </w:r>
      <w:r w:rsidRPr="008A346C">
        <w:rPr>
          <w:rtl/>
        </w:rPr>
        <w:t xml:space="preserve"> שאישה </w:t>
      </w:r>
      <w:r w:rsidR="00314113" w:rsidRPr="008A346C">
        <w:rPr>
          <w:rtl/>
        </w:rPr>
        <w:t xml:space="preserve">מוציאה </w:t>
      </w:r>
      <w:r w:rsidRPr="008A346C">
        <w:rPr>
          <w:rtl/>
        </w:rPr>
        <w:t>גבר ידי חובתו במצב נתון? מה הוא</w:t>
      </w:r>
      <w:r w:rsidR="00D4647E" w:rsidRPr="008A346C">
        <w:rPr>
          <w:rtl/>
        </w:rPr>
        <w:t xml:space="preserve"> הערך</w:t>
      </w:r>
      <w:r w:rsidRPr="008A346C">
        <w:rPr>
          <w:rtl/>
        </w:rPr>
        <w:t>, מי יפיק מכך תועלת, ובא</w:t>
      </w:r>
      <w:r w:rsidR="00E32696" w:rsidRPr="008A346C">
        <w:rPr>
          <w:rtl/>
        </w:rPr>
        <w:t>י</w:t>
      </w:r>
      <w:r w:rsidRPr="008A346C">
        <w:rPr>
          <w:rtl/>
        </w:rPr>
        <w:t xml:space="preserve">לו מקרים </w:t>
      </w:r>
      <w:r w:rsidR="00D4647E" w:rsidRPr="008A346C">
        <w:rPr>
          <w:rtl/>
        </w:rPr>
        <w:t>הדבר</w:t>
      </w:r>
      <w:r w:rsidRPr="008A346C">
        <w:rPr>
          <w:rtl/>
        </w:rPr>
        <w:t xml:space="preserve"> חל באופן הברור ביותר? </w:t>
      </w:r>
    </w:p>
    <w:p w14:paraId="54B3698E" w14:textId="5A528396" w:rsidR="00311076" w:rsidRPr="008A346C" w:rsidRDefault="00311076" w:rsidP="00554419">
      <w:pPr>
        <w:pStyle w:val="HashkafahTitle"/>
        <w:jc w:val="both"/>
        <w:rPr>
          <w:color w:val="auto"/>
        </w:rPr>
      </w:pPr>
    </w:p>
    <w:sectPr w:rsidR="00311076" w:rsidRPr="008A346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165F" w14:textId="77777777" w:rsidR="0042527A" w:rsidRDefault="0042527A" w:rsidP="00CA3C8F">
      <w:r>
        <w:separator/>
      </w:r>
    </w:p>
  </w:endnote>
  <w:endnote w:type="continuationSeparator" w:id="0">
    <w:p w14:paraId="5B41A0CB" w14:textId="77777777" w:rsidR="0042527A" w:rsidRDefault="0042527A"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54877606"/>
      <w:docPartObj>
        <w:docPartGallery w:val="Page Numbers (Bottom of Page)"/>
        <w:docPartUnique/>
      </w:docPartObj>
    </w:sdtPr>
    <w:sdtEndPr>
      <w:rPr>
        <w:noProof/>
      </w:rPr>
    </w:sdtEndPr>
    <w:sdtContent>
      <w:p w14:paraId="22E2FDF7" w14:textId="3C3D8926" w:rsidR="00554419" w:rsidRDefault="005544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58B11F" w14:textId="77777777" w:rsidR="00554419" w:rsidRDefault="00554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8354" w14:textId="77777777" w:rsidR="0042527A" w:rsidRDefault="0042527A" w:rsidP="00CA3C8F">
      <w:r>
        <w:separator/>
      </w:r>
    </w:p>
  </w:footnote>
  <w:footnote w:type="continuationSeparator" w:id="0">
    <w:p w14:paraId="479B56CF" w14:textId="77777777" w:rsidR="0042527A" w:rsidRDefault="0042527A" w:rsidP="00CA3C8F">
      <w:r>
        <w:continuationSeparator/>
      </w:r>
    </w:p>
  </w:footnote>
  <w:footnote w:id="1">
    <w:p w14:paraId="7FF312FE" w14:textId="4B7D9B1C" w:rsidR="004A23C8" w:rsidRPr="004A23C8" w:rsidRDefault="004A23C8" w:rsidP="00CA3C8F">
      <w:pPr>
        <w:pStyle w:val="FootnoteText"/>
        <w:rPr>
          <w:rtl/>
        </w:rPr>
      </w:pPr>
      <w:r w:rsidRPr="004A23C8">
        <w:rPr>
          <w:rStyle w:val="FootnoteReference"/>
        </w:rPr>
        <w:footnoteRef/>
      </w:r>
      <w:r w:rsidRPr="004A23C8">
        <w:t xml:space="preserve"> </w:t>
      </w:r>
      <w:r w:rsidRPr="004A23C8">
        <w:rPr>
          <w:rFonts w:hint="eastAsia"/>
          <w:rtl/>
        </w:rPr>
        <w:t>נדון</w:t>
      </w:r>
      <w:r w:rsidRPr="004A23C8">
        <w:rPr>
          <w:rtl/>
        </w:rPr>
        <w:t xml:space="preserve"> </w:t>
      </w:r>
      <w:r w:rsidRPr="004A23C8">
        <w:rPr>
          <w:rFonts w:hint="eastAsia"/>
          <w:rtl/>
        </w:rPr>
        <w:t>בהלכה</w:t>
      </w:r>
      <w:r w:rsidRPr="004A23C8">
        <w:rPr>
          <w:rtl/>
        </w:rPr>
        <w:t xml:space="preserve"> </w:t>
      </w:r>
      <w:r w:rsidRPr="004A23C8">
        <w:rPr>
          <w:rFonts w:hint="eastAsia"/>
          <w:rtl/>
        </w:rPr>
        <w:t>זו</w:t>
      </w:r>
      <w:r w:rsidRPr="004A23C8">
        <w:rPr>
          <w:rtl/>
        </w:rPr>
        <w:t xml:space="preserve"> </w:t>
      </w:r>
      <w:r w:rsidRPr="004A23C8">
        <w:rPr>
          <w:rFonts w:hint="eastAsia"/>
          <w:rtl/>
        </w:rPr>
        <w:t>למעשה</w:t>
      </w:r>
      <w:r w:rsidRPr="004A23C8">
        <w:rPr>
          <w:rtl/>
        </w:rPr>
        <w:t xml:space="preserve"> </w:t>
      </w:r>
      <w:r w:rsidRPr="004A23C8">
        <w:rPr>
          <w:rFonts w:hint="eastAsia"/>
          <w:rtl/>
        </w:rPr>
        <w:t>במאמר</w:t>
      </w:r>
      <w:r w:rsidRPr="004A23C8">
        <w:rPr>
          <w:rtl/>
        </w:rPr>
        <w:t xml:space="preserve"> </w:t>
      </w:r>
      <w:r w:rsidRPr="004A23C8">
        <w:rPr>
          <w:rFonts w:hint="eastAsia"/>
          <w:rtl/>
        </w:rPr>
        <w:t>עתידי</w:t>
      </w:r>
      <w:r w:rsidRPr="004A23C8">
        <w:rPr>
          <w:rtl/>
        </w:rPr>
        <w:t>.</w:t>
      </w:r>
    </w:p>
  </w:footnote>
  <w:footnote w:id="2">
    <w:p w14:paraId="2B2C9379" w14:textId="4233ADF1" w:rsidR="004A23C8" w:rsidRPr="004A23C8" w:rsidRDefault="004A23C8" w:rsidP="00CA3C8F">
      <w:pPr>
        <w:pStyle w:val="FootnoteText"/>
        <w:rPr>
          <w:rtl/>
        </w:rPr>
      </w:pPr>
      <w:r w:rsidRPr="004A23C8">
        <w:rPr>
          <w:rStyle w:val="FootnoteReference"/>
        </w:rPr>
        <w:footnoteRef/>
      </w:r>
      <w:r w:rsidRPr="004A23C8">
        <w:t xml:space="preserve"> </w:t>
      </w:r>
      <w:r w:rsidRPr="004A23C8">
        <w:rPr>
          <w:rFonts w:hint="eastAsia"/>
          <w:rtl/>
        </w:rPr>
        <w:t>במקרה</w:t>
      </w:r>
      <w:r w:rsidRPr="004A23C8">
        <w:rPr>
          <w:rtl/>
        </w:rPr>
        <w:t xml:space="preserve"> המקביל למשנה הנ"ל, אדם מקולל כאשר הוא חוזר על ההלל בעקבות אשתו או בנו. רש"י שם כותב שהאדם מקלל במקרה זה אפילו אם הוא למד לומר את ההלל בעצמו, בגלל שבחירת שליחים כאלה מבזה את הקב"ה (ומן הסתם גם את המצווה). התוספות מרחיבים ומסבירים שאדם המחויב במצווה מתבזה כאשר הוא בוחר שליחים שפטורים ממנה. </w:t>
      </w:r>
    </w:p>
    <w:p w14:paraId="0E576F15" w14:textId="77777777" w:rsidR="004A23C8" w:rsidRPr="004A23C8" w:rsidRDefault="004A23C8" w:rsidP="00CA3C8F">
      <w:pPr>
        <w:pStyle w:val="FootnoteText"/>
        <w:rPr>
          <w:rtl/>
        </w:rPr>
      </w:pPr>
    </w:p>
    <w:p w14:paraId="10BB5727" w14:textId="53A4CD2B" w:rsidR="004A23C8" w:rsidRPr="004A23C8" w:rsidRDefault="004A23C8" w:rsidP="008A346C">
      <w:pPr>
        <w:pStyle w:val="SourceTitle"/>
        <w:rPr>
          <w:b w:val="0"/>
          <w:bCs w:val="0"/>
          <w:color w:val="auto"/>
        </w:rPr>
      </w:pPr>
      <w:r w:rsidRPr="004A23C8">
        <w:rPr>
          <w:b w:val="0"/>
          <w:bCs w:val="0"/>
          <w:color w:val="auto"/>
          <w:rtl/>
        </w:rPr>
        <w:t>רש”י סוכה לח ע"ב</w:t>
      </w:r>
    </w:p>
    <w:p w14:paraId="7E0B39E6" w14:textId="77777777" w:rsidR="004A23C8" w:rsidRPr="004A23C8" w:rsidRDefault="004A23C8" w:rsidP="008A346C">
      <w:pPr>
        <w:pStyle w:val="SourceText"/>
        <w:rPr>
          <w:b w:val="0"/>
          <w:bCs w:val="0"/>
          <w:color w:val="auto"/>
          <w:rtl/>
        </w:rPr>
      </w:pPr>
      <w:r w:rsidRPr="004A23C8">
        <w:rPr>
          <w:b w:val="0"/>
          <w:bCs w:val="0"/>
          <w:color w:val="auto"/>
          <w:rtl/>
        </w:rPr>
        <w:t>ותבא מאירה – שלא למד, ואם למד – תבא לו מאירה שמבזה את קונו לעשות שלוחים כאלה.</w:t>
      </w:r>
    </w:p>
    <w:p w14:paraId="1F857B98" w14:textId="745FC38F" w:rsidR="004A23C8" w:rsidRPr="004A23C8" w:rsidRDefault="004A23C8" w:rsidP="008A346C">
      <w:pPr>
        <w:pStyle w:val="SourceText"/>
        <w:rPr>
          <w:b w:val="0"/>
          <w:bCs w:val="0"/>
          <w:color w:val="auto"/>
        </w:rPr>
      </w:pPr>
      <w:r w:rsidRPr="004A23C8">
        <w:rPr>
          <w:b w:val="0"/>
          <w:bCs w:val="0"/>
          <w:color w:val="auto"/>
          <w:rtl/>
        </w:rPr>
        <w:t>תוספות סוכה לח ע"א, ד”ה ותהי </w:t>
      </w:r>
    </w:p>
    <w:p w14:paraId="336CD351" w14:textId="30A51149" w:rsidR="004A23C8" w:rsidRPr="004A23C8" w:rsidRDefault="004A23C8" w:rsidP="008A346C">
      <w:pPr>
        <w:pStyle w:val="SourceText"/>
        <w:rPr>
          <w:b w:val="0"/>
          <w:bCs w:val="0"/>
          <w:color w:val="auto"/>
          <w:rtl/>
        </w:rPr>
      </w:pPr>
      <w:r w:rsidRPr="004A23C8">
        <w:rPr>
          <w:b w:val="0"/>
          <w:bCs w:val="0"/>
          <w:color w:val="auto"/>
          <w:rtl/>
        </w:rPr>
        <w:t>ומשום דמבזה במה שאלו מברכין לו דלאו בני חיובא נינהו המקרין אותו קלייט ליה</w:t>
      </w:r>
    </w:p>
  </w:footnote>
  <w:footnote w:id="3">
    <w:p w14:paraId="6822481F" w14:textId="214E38D8" w:rsidR="004A23C8" w:rsidRPr="004A23C8" w:rsidRDefault="004A23C8" w:rsidP="00CA3C8F">
      <w:pPr>
        <w:pStyle w:val="FootnoteText"/>
        <w:rPr>
          <w:rtl/>
        </w:rPr>
      </w:pPr>
      <w:r w:rsidRPr="004A23C8">
        <w:rPr>
          <w:rStyle w:val="FootnoteReference"/>
        </w:rPr>
        <w:footnoteRef/>
      </w:r>
      <w:r w:rsidRPr="004A23C8">
        <w:t xml:space="preserve"> </w:t>
      </w:r>
      <w:r w:rsidRPr="004A23C8">
        <w:rPr>
          <w:rtl/>
        </w:rPr>
        <w:t xml:space="preserve"> </w:t>
      </w:r>
      <w:r w:rsidRPr="004A23C8">
        <w:rPr>
          <w:rFonts w:hint="eastAsia"/>
          <w:rtl/>
        </w:rPr>
        <w:t>או</w:t>
      </w:r>
      <w:r w:rsidRPr="004A23C8">
        <w:rPr>
          <w:rtl/>
        </w:rPr>
        <w:t xml:space="preserve"> שמא הוא סובר כמו שולחן ערוך הרב, החושש שגברים לא יתייחסו ברצינות למצוות שבהן הם מחויבים אם נשים יוכלו להוציאם ידי חובה. </w:t>
      </w:r>
    </w:p>
    <w:p w14:paraId="3E0661E1" w14:textId="50E7685F" w:rsidR="004A23C8" w:rsidRPr="004A23C8" w:rsidRDefault="004A23C8" w:rsidP="008A346C">
      <w:pPr>
        <w:pStyle w:val="SourceTitle"/>
        <w:rPr>
          <w:b w:val="0"/>
          <w:bCs w:val="0"/>
          <w:color w:val="auto"/>
        </w:rPr>
      </w:pPr>
      <w:r w:rsidRPr="004A23C8">
        <w:rPr>
          <w:b w:val="0"/>
          <w:bCs w:val="0"/>
          <w:color w:val="auto"/>
          <w:rtl/>
        </w:rPr>
        <w:t>שולחן ערוך הרב אורח חיים רעא, ו   </w:t>
      </w:r>
    </w:p>
    <w:p w14:paraId="5F03AEAE" w14:textId="589BE8CD" w:rsidR="004A23C8" w:rsidRPr="004A23C8" w:rsidRDefault="004A23C8" w:rsidP="008A346C">
      <w:pPr>
        <w:pStyle w:val="SourceText"/>
        <w:rPr>
          <w:b w:val="0"/>
          <w:bCs w:val="0"/>
          <w:color w:val="auto"/>
          <w:rtl/>
        </w:rPr>
      </w:pPr>
      <w:r w:rsidRPr="004A23C8">
        <w:rPr>
          <w:b w:val="0"/>
          <w:bCs w:val="0"/>
          <w:color w:val="auto"/>
          <w:rtl/>
        </w:rPr>
        <w:t>וכיון שהנשים חייבות בקידוש היום מן התורה כמו האנשים יכולות להוציא את האנשים ידי חובתם אלא שלכתחלה אין להורות כן לשואל הלכה למעשה (שלא יבאו לזלזל במצות:)</w:t>
      </w:r>
    </w:p>
  </w:footnote>
  <w:footnote w:id="4">
    <w:p w14:paraId="0635ABD3" w14:textId="3D6F3159" w:rsidR="004A23C8" w:rsidRPr="004A23C8" w:rsidRDefault="004A23C8" w:rsidP="00CA3C8F">
      <w:pPr>
        <w:pStyle w:val="FootnoteText"/>
        <w:rPr>
          <w:rtl/>
        </w:rPr>
      </w:pPr>
      <w:r w:rsidRPr="004A23C8">
        <w:rPr>
          <w:rStyle w:val="FootnoteReference"/>
        </w:rPr>
        <w:footnoteRef/>
      </w:r>
      <w:r w:rsidRPr="004A23C8">
        <w:t xml:space="preserve"> </w:t>
      </w:r>
      <w:r w:rsidRPr="004A23C8">
        <w:rPr>
          <w:rFonts w:hint="eastAsia"/>
          <w:rtl/>
        </w:rPr>
        <w:t>הקורבן</w:t>
      </w:r>
      <w:r w:rsidRPr="004A23C8">
        <w:rPr>
          <w:rtl/>
        </w:rPr>
        <w:t xml:space="preserve"> נתנאל (מגילה א', ד) מציע כי התוספות כאן מתייחסים גם לאישה המוציאה קבוצת נשים ידי חובה, אך תוספות הרא"ש כולל את המילה "אנשים", מה שמבהיר שאישה יכולה להוציא גבר ידי חובה. ראה את דיונו של הרב יהודה הנקין לגבי "בני בנים" ב', י ואת </w:t>
      </w:r>
      <w:r w:rsidRPr="004A23C8">
        <w:rPr>
          <w:rFonts w:hint="eastAsia"/>
          <w:rtl/>
        </w:rPr>
        <w:t>מאמרנו</w:t>
      </w:r>
      <w:r w:rsidRPr="004A23C8">
        <w:rPr>
          <w:rtl/>
        </w:rPr>
        <w:t xml:space="preserve"> </w:t>
      </w:r>
      <w:r w:rsidRPr="004A23C8">
        <w:rPr>
          <w:rFonts w:hint="eastAsia"/>
          <w:rtl/>
        </w:rPr>
        <w:t>העתידי</w:t>
      </w:r>
      <w:r w:rsidRPr="004A23C8">
        <w:rPr>
          <w:rtl/>
        </w:rPr>
        <w:t xml:space="preserve"> על מגילה. </w:t>
      </w:r>
    </w:p>
  </w:footnote>
  <w:footnote w:id="5">
    <w:p w14:paraId="32126C1B" w14:textId="1B110960" w:rsidR="004A23C8" w:rsidRPr="004A23C8" w:rsidRDefault="004A23C8" w:rsidP="00CA3C8F">
      <w:pPr>
        <w:pStyle w:val="FootnoteText"/>
        <w:rPr>
          <w:rtl/>
        </w:rPr>
      </w:pPr>
      <w:r w:rsidRPr="004A23C8">
        <w:rPr>
          <w:rStyle w:val="FootnoteReference"/>
        </w:rPr>
        <w:footnoteRef/>
      </w:r>
      <w:r w:rsidRPr="004A23C8">
        <w:t xml:space="preserve"> </w:t>
      </w:r>
      <w:r w:rsidRPr="004A23C8">
        <w:rPr>
          <w:rFonts w:hint="eastAsia"/>
          <w:rtl/>
        </w:rPr>
        <w:t>התוספות</w:t>
      </w:r>
      <w:r w:rsidRPr="004A23C8">
        <w:rPr>
          <w:rtl/>
        </w:rPr>
        <w:t xml:space="preserve"> </w:t>
      </w:r>
      <w:r w:rsidRPr="004A23C8">
        <w:rPr>
          <w:rFonts w:hint="eastAsia"/>
          <w:rtl/>
        </w:rPr>
        <w:t>מציעים</w:t>
      </w:r>
      <w:r w:rsidRPr="004A23C8">
        <w:rPr>
          <w:rtl/>
        </w:rPr>
        <w:t xml:space="preserve"> </w:t>
      </w:r>
      <w:r w:rsidRPr="004A23C8">
        <w:rPr>
          <w:rFonts w:hint="eastAsia"/>
          <w:rtl/>
        </w:rPr>
        <w:t>הסבר</w:t>
      </w:r>
      <w:r w:rsidRPr="004A23C8">
        <w:rPr>
          <w:rtl/>
        </w:rPr>
        <w:t xml:space="preserve"> </w:t>
      </w:r>
      <w:r w:rsidRPr="004A23C8">
        <w:rPr>
          <w:rFonts w:hint="eastAsia"/>
          <w:rtl/>
        </w:rPr>
        <w:t>אפשרי</w:t>
      </w:r>
      <w:r w:rsidRPr="004A23C8">
        <w:rPr>
          <w:rtl/>
        </w:rPr>
        <w:t xml:space="preserve"> </w:t>
      </w:r>
      <w:r w:rsidRPr="004A23C8">
        <w:rPr>
          <w:rFonts w:hint="eastAsia"/>
          <w:rtl/>
        </w:rPr>
        <w:t>נוסף</w:t>
      </w:r>
      <w:r w:rsidRPr="004A23C8">
        <w:rPr>
          <w:rtl/>
        </w:rPr>
        <w:t xml:space="preserve"> </w:t>
      </w:r>
      <w:r w:rsidRPr="004A23C8">
        <w:rPr>
          <w:rFonts w:hint="eastAsia"/>
          <w:rtl/>
        </w:rPr>
        <w:t>לכך</w:t>
      </w:r>
      <w:r w:rsidRPr="004A23C8">
        <w:rPr>
          <w:rtl/>
        </w:rPr>
        <w:t xml:space="preserve"> </w:t>
      </w:r>
      <w:r w:rsidRPr="004A23C8">
        <w:rPr>
          <w:rFonts w:hint="eastAsia"/>
          <w:rtl/>
        </w:rPr>
        <w:t>שנשים</w:t>
      </w:r>
      <w:r w:rsidRPr="004A23C8">
        <w:rPr>
          <w:rtl/>
        </w:rPr>
        <w:t xml:space="preserve"> </w:t>
      </w:r>
      <w:r w:rsidRPr="004A23C8">
        <w:rPr>
          <w:rFonts w:hint="eastAsia"/>
          <w:rtl/>
        </w:rPr>
        <w:t>לא</w:t>
      </w:r>
      <w:r w:rsidRPr="004A23C8">
        <w:rPr>
          <w:rtl/>
        </w:rPr>
        <w:t xml:space="preserve"> </w:t>
      </w:r>
      <w:r w:rsidRPr="004A23C8">
        <w:rPr>
          <w:rFonts w:hint="eastAsia"/>
          <w:rtl/>
        </w:rPr>
        <w:t>מוציאות</w:t>
      </w:r>
      <w:r w:rsidRPr="004A23C8">
        <w:rPr>
          <w:rtl/>
        </w:rPr>
        <w:t xml:space="preserve"> </w:t>
      </w:r>
      <w:r w:rsidRPr="004A23C8">
        <w:rPr>
          <w:rFonts w:hint="eastAsia"/>
          <w:rtl/>
        </w:rPr>
        <w:t>גברים</w:t>
      </w:r>
      <w:r w:rsidRPr="004A23C8">
        <w:rPr>
          <w:rtl/>
        </w:rPr>
        <w:t xml:space="preserve"> </w:t>
      </w:r>
      <w:r w:rsidRPr="004A23C8">
        <w:rPr>
          <w:rFonts w:hint="eastAsia"/>
          <w:rtl/>
        </w:rPr>
        <w:t>ידי</w:t>
      </w:r>
      <w:r w:rsidRPr="004A23C8">
        <w:rPr>
          <w:rtl/>
        </w:rPr>
        <w:t xml:space="preserve"> </w:t>
      </w:r>
      <w:r w:rsidRPr="004A23C8">
        <w:rPr>
          <w:rFonts w:hint="eastAsia"/>
          <w:rtl/>
        </w:rPr>
        <w:t>חובה</w:t>
      </w:r>
      <w:r w:rsidRPr="004A23C8">
        <w:rPr>
          <w:rtl/>
        </w:rPr>
        <w:t xml:space="preserve">, </w:t>
      </w:r>
      <w:r w:rsidRPr="004A23C8">
        <w:rPr>
          <w:rFonts w:hint="eastAsia"/>
          <w:rtl/>
        </w:rPr>
        <w:t>שקשורה</w:t>
      </w:r>
      <w:r w:rsidRPr="004A23C8">
        <w:rPr>
          <w:rtl/>
        </w:rPr>
        <w:t xml:space="preserve"> </w:t>
      </w:r>
      <w:r w:rsidRPr="004A23C8">
        <w:rPr>
          <w:rFonts w:hint="eastAsia"/>
          <w:rtl/>
        </w:rPr>
        <w:t>ספציפית</w:t>
      </w:r>
      <w:r w:rsidRPr="004A23C8">
        <w:rPr>
          <w:rtl/>
        </w:rPr>
        <w:t xml:space="preserve"> </w:t>
      </w:r>
      <w:r w:rsidRPr="004A23C8">
        <w:rPr>
          <w:rFonts w:hint="eastAsia"/>
          <w:rtl/>
        </w:rPr>
        <w:t>לברכת</w:t>
      </w:r>
      <w:r w:rsidRPr="004A23C8">
        <w:rPr>
          <w:rtl/>
        </w:rPr>
        <w:t xml:space="preserve"> </w:t>
      </w:r>
      <w:r w:rsidRPr="004A23C8">
        <w:rPr>
          <w:rFonts w:hint="eastAsia"/>
          <w:rtl/>
        </w:rPr>
        <w:t>המזון</w:t>
      </w:r>
      <w:r w:rsidRPr="004A23C8">
        <w:rPr>
          <w:rtl/>
        </w:rPr>
        <w:t xml:space="preserve">: </w:t>
      </w:r>
      <w:r w:rsidRPr="004A23C8">
        <w:rPr>
          <w:rFonts w:hint="eastAsia"/>
          <w:rtl/>
        </w:rPr>
        <w:t>שהדבר</w:t>
      </w:r>
      <w:r w:rsidRPr="004A23C8">
        <w:rPr>
          <w:rtl/>
        </w:rPr>
        <w:t xml:space="preserve"> </w:t>
      </w:r>
      <w:r w:rsidRPr="004A23C8">
        <w:rPr>
          <w:rFonts w:hint="eastAsia"/>
          <w:rtl/>
        </w:rPr>
        <w:t>מתייחס</w:t>
      </w:r>
      <w:r w:rsidRPr="004A23C8">
        <w:rPr>
          <w:rtl/>
        </w:rPr>
        <w:t xml:space="preserve"> </w:t>
      </w:r>
      <w:r w:rsidRPr="004A23C8">
        <w:rPr>
          <w:rFonts w:hint="eastAsia"/>
          <w:rtl/>
        </w:rPr>
        <w:t>לאפשרותם</w:t>
      </w:r>
      <w:r w:rsidRPr="004A23C8">
        <w:rPr>
          <w:rtl/>
        </w:rPr>
        <w:t xml:space="preserve"> </w:t>
      </w:r>
      <w:r w:rsidRPr="004A23C8">
        <w:rPr>
          <w:rFonts w:hint="eastAsia"/>
          <w:rtl/>
        </w:rPr>
        <w:t>של</w:t>
      </w:r>
      <w:r w:rsidRPr="004A23C8">
        <w:rPr>
          <w:rtl/>
        </w:rPr>
        <w:t xml:space="preserve"> </w:t>
      </w:r>
      <w:r w:rsidRPr="004A23C8">
        <w:rPr>
          <w:rFonts w:hint="eastAsia"/>
          <w:rtl/>
        </w:rPr>
        <w:t>גברים</w:t>
      </w:r>
      <w:r w:rsidRPr="004A23C8">
        <w:rPr>
          <w:rtl/>
        </w:rPr>
        <w:t xml:space="preserve"> </w:t>
      </w:r>
      <w:r w:rsidRPr="004A23C8">
        <w:rPr>
          <w:rFonts w:hint="eastAsia"/>
          <w:rtl/>
        </w:rPr>
        <w:t>לקיים</w:t>
      </w:r>
      <w:r w:rsidRPr="004A23C8">
        <w:rPr>
          <w:rtl/>
        </w:rPr>
        <w:t xml:space="preserve"> </w:t>
      </w:r>
      <w:r w:rsidRPr="004A23C8">
        <w:rPr>
          <w:rFonts w:hint="eastAsia"/>
          <w:rtl/>
        </w:rPr>
        <w:t>זימון</w:t>
      </w:r>
      <w:r w:rsidRPr="004A23C8">
        <w:rPr>
          <w:rtl/>
        </w:rPr>
        <w:t xml:space="preserve"> </w:t>
      </w:r>
      <w:r w:rsidRPr="004A23C8">
        <w:rPr>
          <w:rFonts w:hint="eastAsia"/>
          <w:rtl/>
        </w:rPr>
        <w:t>שבו</w:t>
      </w:r>
      <w:r w:rsidRPr="004A23C8">
        <w:rPr>
          <w:rtl/>
        </w:rPr>
        <w:t xml:space="preserve"> </w:t>
      </w:r>
      <w:r w:rsidRPr="004A23C8">
        <w:rPr>
          <w:rFonts w:hint="eastAsia"/>
          <w:rtl/>
        </w:rPr>
        <w:t>נשים</w:t>
      </w:r>
      <w:r w:rsidRPr="004A23C8">
        <w:rPr>
          <w:rtl/>
        </w:rPr>
        <w:t xml:space="preserve"> </w:t>
      </w:r>
      <w:r w:rsidRPr="004A23C8">
        <w:rPr>
          <w:rFonts w:hint="eastAsia"/>
          <w:rtl/>
        </w:rPr>
        <w:t>יכולות</w:t>
      </w:r>
      <w:r w:rsidRPr="004A23C8">
        <w:rPr>
          <w:rtl/>
        </w:rPr>
        <w:t xml:space="preserve"> </w:t>
      </w:r>
      <w:r w:rsidRPr="004A23C8">
        <w:rPr>
          <w:rFonts w:hint="eastAsia"/>
          <w:rtl/>
        </w:rPr>
        <w:t>להשתתף</w:t>
      </w:r>
      <w:r w:rsidRPr="004A23C8">
        <w:rPr>
          <w:rtl/>
        </w:rPr>
        <w:t xml:space="preserve"> (דבר </w:t>
      </w:r>
      <w:r w:rsidRPr="004A23C8">
        <w:rPr>
          <w:rFonts w:hint="eastAsia"/>
          <w:rtl/>
        </w:rPr>
        <w:t>שלא</w:t>
      </w:r>
      <w:r w:rsidRPr="004A23C8">
        <w:rPr>
          <w:rtl/>
        </w:rPr>
        <w:t xml:space="preserve"> </w:t>
      </w:r>
      <w:r w:rsidRPr="004A23C8">
        <w:rPr>
          <w:rFonts w:hint="eastAsia"/>
          <w:rtl/>
        </w:rPr>
        <w:t>מתאפשר</w:t>
      </w:r>
      <w:r w:rsidRPr="004A23C8">
        <w:rPr>
          <w:rtl/>
        </w:rPr>
        <w:t xml:space="preserve"> </w:t>
      </w:r>
      <w:r w:rsidRPr="004A23C8">
        <w:rPr>
          <w:rFonts w:hint="eastAsia"/>
          <w:rtl/>
        </w:rPr>
        <w:t>בכיוון</w:t>
      </w:r>
      <w:r w:rsidRPr="004A23C8">
        <w:rPr>
          <w:rtl/>
        </w:rPr>
        <w:t xml:space="preserve"> </w:t>
      </w:r>
      <w:r w:rsidRPr="004A23C8">
        <w:rPr>
          <w:rFonts w:hint="eastAsia"/>
          <w:rtl/>
        </w:rPr>
        <w:t>ההפוך</w:t>
      </w:r>
      <w:r w:rsidRPr="004A23C8">
        <w:rPr>
          <w:rtl/>
        </w:rPr>
        <w:t xml:space="preserve">), </w:t>
      </w:r>
      <w:r w:rsidRPr="004A23C8">
        <w:rPr>
          <w:rFonts w:hint="eastAsia"/>
          <w:rtl/>
        </w:rPr>
        <w:t>ובמקרה</w:t>
      </w:r>
      <w:r w:rsidRPr="004A23C8">
        <w:rPr>
          <w:rtl/>
        </w:rPr>
        <w:t xml:space="preserve"> </w:t>
      </w:r>
      <w:r w:rsidRPr="004A23C8">
        <w:rPr>
          <w:rFonts w:hint="eastAsia"/>
          <w:rtl/>
        </w:rPr>
        <w:t>כזה</w:t>
      </w:r>
      <w:r w:rsidRPr="004A23C8">
        <w:rPr>
          <w:rtl/>
        </w:rPr>
        <w:t xml:space="preserve"> </w:t>
      </w:r>
      <w:r w:rsidRPr="004A23C8">
        <w:rPr>
          <w:rFonts w:hint="eastAsia"/>
          <w:rtl/>
        </w:rPr>
        <w:t>לגברים</w:t>
      </w:r>
      <w:r w:rsidRPr="004A23C8">
        <w:rPr>
          <w:rtl/>
        </w:rPr>
        <w:t xml:space="preserve"> </w:t>
      </w:r>
      <w:r w:rsidRPr="004A23C8">
        <w:rPr>
          <w:rFonts w:hint="eastAsia"/>
          <w:rtl/>
        </w:rPr>
        <w:t>יש</w:t>
      </w:r>
      <w:r w:rsidRPr="004A23C8">
        <w:rPr>
          <w:rtl/>
        </w:rPr>
        <w:t xml:space="preserve"> </w:t>
      </w:r>
      <w:r w:rsidRPr="004A23C8">
        <w:rPr>
          <w:rFonts w:hint="eastAsia"/>
          <w:rtl/>
        </w:rPr>
        <w:t>מעמד</w:t>
      </w:r>
      <w:r w:rsidRPr="004A23C8">
        <w:rPr>
          <w:rtl/>
        </w:rPr>
        <w:t xml:space="preserve"> </w:t>
      </w:r>
      <w:r w:rsidRPr="004A23C8">
        <w:rPr>
          <w:rFonts w:hint="eastAsia"/>
          <w:rtl/>
        </w:rPr>
        <w:t>גבוה</w:t>
      </w:r>
      <w:r w:rsidRPr="004A23C8">
        <w:rPr>
          <w:rtl/>
        </w:rPr>
        <w:t xml:space="preserve"> </w:t>
      </w:r>
      <w:r w:rsidRPr="004A23C8">
        <w:rPr>
          <w:rFonts w:hint="eastAsia"/>
          <w:rtl/>
        </w:rPr>
        <w:t>יותר</w:t>
      </w:r>
      <w:r w:rsidRPr="004A23C8">
        <w:rPr>
          <w:rtl/>
        </w:rPr>
        <w:t xml:space="preserve">. </w:t>
      </w:r>
      <w:r w:rsidRPr="004A23C8">
        <w:rPr>
          <w:rFonts w:hint="eastAsia"/>
          <w:rtl/>
        </w:rPr>
        <w:t>תוספות</w:t>
      </w:r>
      <w:r w:rsidRPr="004A23C8">
        <w:rPr>
          <w:rtl/>
        </w:rPr>
        <w:t xml:space="preserve"> </w:t>
      </w:r>
      <w:r w:rsidRPr="004A23C8">
        <w:rPr>
          <w:rFonts w:hint="eastAsia"/>
          <w:rtl/>
        </w:rPr>
        <w:t>הרא</w:t>
      </w:r>
      <w:r w:rsidRPr="004A23C8">
        <w:rPr>
          <w:rtl/>
        </w:rPr>
        <w:t xml:space="preserve">"ש </w:t>
      </w:r>
      <w:r w:rsidRPr="004A23C8">
        <w:rPr>
          <w:rFonts w:hint="eastAsia"/>
          <w:rtl/>
        </w:rPr>
        <w:t>מסביר</w:t>
      </w:r>
      <w:r w:rsidRPr="004A23C8">
        <w:rPr>
          <w:rtl/>
        </w:rPr>
        <w:t xml:space="preserve"> </w:t>
      </w:r>
      <w:r w:rsidRPr="004A23C8">
        <w:rPr>
          <w:rFonts w:hint="eastAsia"/>
          <w:rtl/>
        </w:rPr>
        <w:t>את</w:t>
      </w:r>
      <w:r w:rsidRPr="004A23C8">
        <w:rPr>
          <w:rtl/>
        </w:rPr>
        <w:t xml:space="preserve"> </w:t>
      </w:r>
      <w:r w:rsidRPr="004A23C8">
        <w:rPr>
          <w:rFonts w:hint="eastAsia"/>
          <w:rtl/>
        </w:rPr>
        <w:t>המעמד</w:t>
      </w:r>
      <w:r w:rsidRPr="004A23C8">
        <w:rPr>
          <w:rtl/>
        </w:rPr>
        <w:t xml:space="preserve"> </w:t>
      </w:r>
      <w:r w:rsidRPr="004A23C8">
        <w:rPr>
          <w:rFonts w:hint="eastAsia"/>
          <w:rtl/>
        </w:rPr>
        <w:t>הגבוה</w:t>
      </w:r>
      <w:r w:rsidRPr="004A23C8">
        <w:rPr>
          <w:rtl/>
        </w:rPr>
        <w:t xml:space="preserve"> </w:t>
      </w:r>
      <w:r w:rsidRPr="004A23C8">
        <w:rPr>
          <w:rFonts w:hint="eastAsia"/>
          <w:rtl/>
        </w:rPr>
        <w:t>הזה</w:t>
      </w:r>
      <w:r w:rsidRPr="004A23C8">
        <w:rPr>
          <w:rtl/>
        </w:rPr>
        <w:t xml:space="preserve"> </w:t>
      </w:r>
      <w:r w:rsidRPr="004A23C8">
        <w:rPr>
          <w:rFonts w:hint="eastAsia"/>
          <w:rtl/>
        </w:rPr>
        <w:t>כפונקציה</w:t>
      </w:r>
      <w:r w:rsidRPr="004A23C8">
        <w:rPr>
          <w:rtl/>
        </w:rPr>
        <w:t xml:space="preserve"> </w:t>
      </w:r>
      <w:r w:rsidRPr="004A23C8">
        <w:rPr>
          <w:rFonts w:hint="eastAsia"/>
          <w:rtl/>
        </w:rPr>
        <w:t>של</w:t>
      </w:r>
      <w:r w:rsidRPr="004A23C8">
        <w:rPr>
          <w:rtl/>
        </w:rPr>
        <w:t xml:space="preserve"> </w:t>
      </w:r>
      <w:r w:rsidRPr="004A23C8">
        <w:rPr>
          <w:rFonts w:hint="eastAsia"/>
          <w:rtl/>
        </w:rPr>
        <w:t>החיוב</w:t>
      </w:r>
      <w:r w:rsidRPr="004A23C8">
        <w:rPr>
          <w:rtl/>
        </w:rPr>
        <w:t xml:space="preserve"> </w:t>
      </w:r>
      <w:r w:rsidRPr="004A23C8">
        <w:rPr>
          <w:rFonts w:hint="eastAsia"/>
          <w:rtl/>
        </w:rPr>
        <w:t>של</w:t>
      </w:r>
      <w:r w:rsidRPr="004A23C8">
        <w:rPr>
          <w:rtl/>
        </w:rPr>
        <w:t xml:space="preserve"> </w:t>
      </w:r>
      <w:r w:rsidRPr="004A23C8">
        <w:rPr>
          <w:rFonts w:hint="eastAsia"/>
          <w:rtl/>
        </w:rPr>
        <w:t>גברים</w:t>
      </w:r>
      <w:r w:rsidRPr="004A23C8">
        <w:rPr>
          <w:rtl/>
        </w:rPr>
        <w:t xml:space="preserve"> </w:t>
      </w:r>
      <w:r w:rsidRPr="004A23C8">
        <w:rPr>
          <w:rFonts w:hint="eastAsia"/>
          <w:rtl/>
        </w:rPr>
        <w:t>במצוות</w:t>
      </w:r>
      <w:r w:rsidRPr="004A23C8">
        <w:rPr>
          <w:rtl/>
        </w:rPr>
        <w:t xml:space="preserve"> </w:t>
      </w:r>
      <w:r w:rsidRPr="004A23C8">
        <w:rPr>
          <w:rFonts w:hint="eastAsia"/>
          <w:rtl/>
        </w:rPr>
        <w:t>רבות</w:t>
      </w:r>
      <w:r w:rsidRPr="004A23C8">
        <w:rPr>
          <w:rtl/>
        </w:rPr>
        <w:t xml:space="preserve"> </w:t>
      </w:r>
      <w:r w:rsidRPr="004A23C8">
        <w:rPr>
          <w:rFonts w:hint="eastAsia"/>
          <w:rtl/>
        </w:rPr>
        <w:t>יותר</w:t>
      </w:r>
      <w:r w:rsidRPr="004A23C8">
        <w:rPr>
          <w:rtl/>
        </w:rPr>
        <w:t>.</w:t>
      </w:r>
    </w:p>
    <w:p w14:paraId="2050C498" w14:textId="314C167E" w:rsidR="004A23C8" w:rsidRPr="004A23C8" w:rsidRDefault="004A23C8" w:rsidP="008A346C">
      <w:pPr>
        <w:pStyle w:val="SourceTitle"/>
        <w:rPr>
          <w:b w:val="0"/>
          <w:bCs w:val="0"/>
          <w:color w:val="auto"/>
        </w:rPr>
      </w:pPr>
      <w:r w:rsidRPr="004A23C8">
        <w:rPr>
          <w:b w:val="0"/>
          <w:bCs w:val="0"/>
          <w:color w:val="auto"/>
          <w:rtl/>
        </w:rPr>
        <w:t>תוספות סוכה לח ע"א</w:t>
      </w:r>
    </w:p>
    <w:p w14:paraId="5592AD6B" w14:textId="77777777" w:rsidR="004A23C8" w:rsidRPr="004A23C8" w:rsidRDefault="004A23C8" w:rsidP="008A346C">
      <w:pPr>
        <w:pStyle w:val="SourceText"/>
        <w:rPr>
          <w:b w:val="0"/>
          <w:bCs w:val="0"/>
          <w:color w:val="auto"/>
          <w:rtl/>
        </w:rPr>
      </w:pPr>
      <w:r w:rsidRPr="004A23C8">
        <w:rPr>
          <w:b w:val="0"/>
          <w:bCs w:val="0"/>
          <w:color w:val="auto"/>
          <w:rtl/>
        </w:rPr>
        <w:t>… כיון דאין מצטרפות לזימון כדתנן פרק שלשה שאכלו (שם דף מה.) אין מוציאות אף על פי שהאיש מוציאן שאני איש דחשיב טפי</w:t>
      </w:r>
    </w:p>
    <w:p w14:paraId="2630F771" w14:textId="4F079DBD" w:rsidR="004A23C8" w:rsidRPr="004A23C8" w:rsidRDefault="004A23C8" w:rsidP="008A346C">
      <w:pPr>
        <w:pStyle w:val="SourceTitle"/>
        <w:rPr>
          <w:b w:val="0"/>
          <w:bCs w:val="0"/>
          <w:color w:val="auto"/>
        </w:rPr>
      </w:pPr>
      <w:r w:rsidRPr="004A23C8">
        <w:rPr>
          <w:b w:val="0"/>
          <w:bCs w:val="0"/>
          <w:color w:val="auto"/>
          <w:rtl/>
        </w:rPr>
        <w:t>תוספות הרא”ש סוכה לח ע"א</w:t>
      </w:r>
    </w:p>
    <w:p w14:paraId="540D79F8" w14:textId="244DC2BF" w:rsidR="004A23C8" w:rsidRPr="004A23C8" w:rsidRDefault="004A23C8" w:rsidP="008A346C">
      <w:pPr>
        <w:pStyle w:val="SourceText"/>
        <w:rPr>
          <w:b w:val="0"/>
          <w:bCs w:val="0"/>
          <w:color w:val="auto"/>
          <w:rtl/>
        </w:rPr>
      </w:pPr>
      <w:r w:rsidRPr="004A23C8">
        <w:rPr>
          <w:b w:val="0"/>
          <w:bCs w:val="0"/>
          <w:color w:val="auto"/>
          <w:rtl/>
        </w:rPr>
        <w:t>לא חשיבי להוציא אנשים דחשיבי טפי שחייבים בכל המצות</w:t>
      </w:r>
    </w:p>
  </w:footnote>
  <w:footnote w:id="6">
    <w:p w14:paraId="240D0167" w14:textId="65BF52D1" w:rsidR="004A23C8" w:rsidRPr="004A23C8" w:rsidRDefault="004A23C8" w:rsidP="00CA3C8F">
      <w:pPr>
        <w:pStyle w:val="FootnoteText"/>
        <w:rPr>
          <w:rtl/>
        </w:rPr>
      </w:pPr>
      <w:r w:rsidRPr="004A23C8">
        <w:rPr>
          <w:rStyle w:val="FootnoteReference"/>
        </w:rPr>
        <w:footnoteRef/>
      </w:r>
      <w:r w:rsidRPr="004A23C8">
        <w:t xml:space="preserve"> </w:t>
      </w:r>
      <w:r w:rsidRPr="004A23C8">
        <w:rPr>
          <w:rFonts w:hint="eastAsia"/>
          <w:rtl/>
        </w:rPr>
        <w:t>האליה</w:t>
      </w:r>
      <w:r w:rsidRPr="004A23C8">
        <w:rPr>
          <w:rtl/>
        </w:rPr>
        <w:t xml:space="preserve"> רבה מוצא תקדים לפסיקתו של האגודה, הראשון שציטט את הר"י – האגודה בעצמו מסתייג מהאמירה שאישה יכולה להוציא את בני ביתה ידי חובה. </w:t>
      </w:r>
    </w:p>
    <w:p w14:paraId="4F560935" w14:textId="77777777" w:rsidR="004A23C8" w:rsidRPr="004A23C8" w:rsidRDefault="004A23C8" w:rsidP="008A346C">
      <w:pPr>
        <w:pStyle w:val="SourceTitle"/>
        <w:rPr>
          <w:b w:val="0"/>
          <w:bCs w:val="0"/>
          <w:color w:val="auto"/>
        </w:rPr>
      </w:pPr>
      <w:r w:rsidRPr="004A23C8">
        <w:rPr>
          <w:b w:val="0"/>
          <w:bCs w:val="0"/>
          <w:color w:val="auto"/>
          <w:rtl/>
        </w:rPr>
        <w:t>האגודה מסכת שבועות פרק ג </w:t>
      </w:r>
    </w:p>
    <w:p w14:paraId="32AC2333" w14:textId="77777777" w:rsidR="004A23C8" w:rsidRPr="004A23C8" w:rsidRDefault="004A23C8" w:rsidP="008A346C">
      <w:pPr>
        <w:pStyle w:val="SourceText"/>
        <w:rPr>
          <w:b w:val="0"/>
          <w:bCs w:val="0"/>
          <w:color w:val="auto"/>
          <w:rtl/>
        </w:rPr>
      </w:pPr>
      <w:r w:rsidRPr="004A23C8">
        <w:rPr>
          <w:b w:val="0"/>
          <w:bCs w:val="0"/>
          <w:color w:val="auto"/>
          <w:rtl/>
        </w:rPr>
        <w:t>נשים מוציאות בקידוש נשים וקטנים, ולפי דעתי אפילו אנשים בני ביתה מוציאה אם אין בעלה בעיר או אין לה בעל, ואין מורין כן</w:t>
      </w:r>
    </w:p>
    <w:p w14:paraId="5BF1379B" w14:textId="77777777" w:rsidR="004A23C8" w:rsidRPr="004A23C8" w:rsidRDefault="004A23C8" w:rsidP="00CA3C8F">
      <w:pPr>
        <w:pStyle w:val="FootnoteText"/>
        <w:rPr>
          <w:rtl/>
        </w:rPr>
      </w:pPr>
    </w:p>
  </w:footnote>
  <w:footnote w:id="7">
    <w:p w14:paraId="21FB8BE2" w14:textId="2DDE8618" w:rsidR="004A23C8" w:rsidRPr="004A23C8" w:rsidRDefault="004A23C8" w:rsidP="00CA3C8F">
      <w:pPr>
        <w:pStyle w:val="FootnoteText"/>
        <w:rPr>
          <w:rtl/>
        </w:rPr>
      </w:pPr>
      <w:r w:rsidRPr="004A23C8">
        <w:rPr>
          <w:rStyle w:val="FootnoteReference"/>
        </w:rPr>
        <w:footnoteRef/>
      </w:r>
      <w:r w:rsidRPr="004A23C8">
        <w:t xml:space="preserve"> </w:t>
      </w:r>
      <w:r w:rsidRPr="004A23C8">
        <w:rPr>
          <w:rFonts w:hint="eastAsia"/>
          <w:rtl/>
        </w:rPr>
        <w:t>ניתן</w:t>
      </w:r>
      <w:r w:rsidRPr="004A23C8">
        <w:rPr>
          <w:rtl/>
        </w:rPr>
        <w:t xml:space="preserve"> למצוא </w:t>
      </w:r>
      <w:hyperlink r:id="rId1" w:history="1">
        <w:r w:rsidRPr="004A23C8">
          <w:rPr>
            <w:rStyle w:val="Hyperlink"/>
            <w:rtl/>
          </w:rPr>
          <w:t>כאן</w:t>
        </w:r>
      </w:hyperlink>
      <w:r w:rsidRPr="004A23C8">
        <w:rPr>
          <w:rtl/>
        </w:rPr>
        <w:t>. ראה הרב ד"ר אריה פריימר “</w:t>
      </w:r>
      <w:r w:rsidRPr="004A23C8">
        <w:t>Women in Communal Leadership Positions</w:t>
      </w:r>
      <w:r w:rsidRPr="004A23C8">
        <w:rPr>
          <w:rtl/>
        </w:rPr>
        <w:t xml:space="preserve">“. רבי יעקב עמדין מציע דבר דומה לכך כדי להסביר מדוע נשים לא יכולות להוציא גברים ידי חובת מגילה, אפילו בפרטיות. ראה גם "בני בנים" </w:t>
      </w:r>
      <w:r w:rsidRPr="004A23C8">
        <w:t>II:10</w:t>
      </w:r>
      <w:r w:rsidRPr="004A23C8">
        <w:rPr>
          <w:rtl/>
        </w:rPr>
        <w:t xml:space="preserve">, ניתן למצוא </w:t>
      </w:r>
      <w:hyperlink r:id="rId2" w:history="1">
        <w:r w:rsidRPr="004A23C8">
          <w:rPr>
            <w:rStyle w:val="Hyperlink"/>
            <w:rtl/>
          </w:rPr>
          <w:t>כאן</w:t>
        </w:r>
      </w:hyperlink>
      <w:r w:rsidRPr="004A23C8">
        <w:rPr>
          <w:rtl/>
        </w:rPr>
        <w:t>, ואת הדיון במאמרו של ד"ר פריימר “</w:t>
      </w:r>
      <w:r w:rsidRPr="004A23C8">
        <w:t xml:space="preserve">Women, </w:t>
      </w:r>
      <w:proofErr w:type="spellStart"/>
      <w:r w:rsidRPr="004A23C8">
        <w:t>keri’at</w:t>
      </w:r>
      <w:proofErr w:type="spellEnd"/>
      <w:r w:rsidRPr="004A23C8">
        <w:t xml:space="preserve"> Ha-Torah and Aliyot</w:t>
      </w:r>
      <w:r w:rsidRPr="004A23C8">
        <w:rPr>
          <w:rtl/>
        </w:rPr>
        <w:t xml:space="preserve">” אשר ניתן למצוא </w:t>
      </w:r>
      <w:hyperlink r:id="rId3" w:history="1">
        <w:r w:rsidRPr="004A23C8">
          <w:rPr>
            <w:rStyle w:val="Hyperlink"/>
            <w:rtl/>
          </w:rPr>
          <w:t>כאן</w:t>
        </w:r>
      </w:hyperlink>
      <w:r w:rsidRPr="004A23C8">
        <w:rPr>
          <w:rtl/>
        </w:rPr>
        <w:t xml:space="preserve">. </w:t>
      </w:r>
    </w:p>
    <w:p w14:paraId="40FDFABF" w14:textId="77777777" w:rsidR="004A23C8" w:rsidRPr="004A23C8" w:rsidRDefault="004A23C8" w:rsidP="008A346C">
      <w:pPr>
        <w:pStyle w:val="SourceTitle"/>
        <w:rPr>
          <w:b w:val="0"/>
          <w:bCs w:val="0"/>
          <w:color w:val="auto"/>
        </w:rPr>
      </w:pPr>
      <w:r w:rsidRPr="004A23C8">
        <w:rPr>
          <w:b w:val="0"/>
          <w:bCs w:val="0"/>
          <w:color w:val="auto"/>
          <w:rtl/>
        </w:rPr>
        <w:t>מור וקציעה סימן תרפט </w:t>
      </w:r>
    </w:p>
    <w:p w14:paraId="624B9F84" w14:textId="06BAAB45" w:rsidR="004A23C8" w:rsidRPr="004A23C8" w:rsidRDefault="004A23C8" w:rsidP="008A346C">
      <w:pPr>
        <w:pStyle w:val="SourceText"/>
        <w:rPr>
          <w:b w:val="0"/>
          <w:bCs w:val="0"/>
          <w:color w:val="auto"/>
          <w:rtl/>
        </w:rPr>
      </w:pPr>
      <w:r w:rsidRPr="004A23C8">
        <w:rPr>
          <w:b w:val="0"/>
          <w:bCs w:val="0"/>
          <w:color w:val="auto"/>
          <w:rtl/>
        </w:rPr>
        <w:t>משום דמצותה לאהדורי בתר עשרה אפילו בזמנה לפרסומי ניסא משו”ה [=משום הכי] אפילו ליחיד אין הללו מוציאין משום לא פלוג.</w:t>
      </w:r>
    </w:p>
  </w:footnote>
  <w:footnote w:id="8">
    <w:p w14:paraId="4373679E" w14:textId="14CE9880" w:rsidR="004A23C8" w:rsidRPr="004A23C8" w:rsidRDefault="004A23C8" w:rsidP="00CA3C8F">
      <w:pPr>
        <w:pStyle w:val="FootnoteText"/>
        <w:rPr>
          <w:rtl/>
        </w:rPr>
      </w:pPr>
      <w:r w:rsidRPr="004A23C8">
        <w:rPr>
          <w:rStyle w:val="FootnoteReference"/>
        </w:rPr>
        <w:footnoteRef/>
      </w:r>
      <w:r w:rsidRPr="004A23C8">
        <w:t xml:space="preserve"> </w:t>
      </w:r>
      <w:r w:rsidRPr="004A23C8">
        <w:rPr>
          <w:rtl/>
        </w:rPr>
        <w:t xml:space="preserve"> </w:t>
      </w:r>
      <w:r w:rsidRPr="004A23C8">
        <w:rPr>
          <w:rFonts w:hint="eastAsia"/>
          <w:rtl/>
        </w:rPr>
        <w:t>ניתן</w:t>
      </w:r>
      <w:r w:rsidRPr="004A23C8">
        <w:rPr>
          <w:rtl/>
        </w:rPr>
        <w:t xml:space="preserve"> למצוא </w:t>
      </w:r>
      <w:hyperlink r:id="rId4" w:history="1">
        <w:r w:rsidRPr="004A23C8">
          <w:rPr>
            <w:rStyle w:val="Hyperlink"/>
            <w:rFonts w:hint="eastAsia"/>
            <w:rtl/>
          </w:rPr>
          <w:t>כאן</w:t>
        </w:r>
      </w:hyperlink>
      <w:r w:rsidRPr="004A23C8">
        <w:rPr>
          <w:rtl/>
        </w:rPr>
        <w:t>.</w:t>
      </w:r>
    </w:p>
  </w:footnote>
  <w:footnote w:id="9">
    <w:p w14:paraId="20C9F59E" w14:textId="2CB5BC72" w:rsidR="004A23C8" w:rsidRPr="004A23C8" w:rsidRDefault="004A23C8" w:rsidP="00CA3C8F">
      <w:pPr>
        <w:rPr>
          <w:rtl/>
        </w:rPr>
      </w:pPr>
      <w:r w:rsidRPr="004A23C8">
        <w:rPr>
          <w:rStyle w:val="FootnoteReference"/>
          <w:sz w:val="20"/>
          <w:szCs w:val="20"/>
        </w:rPr>
        <w:footnoteRef/>
      </w:r>
      <w:r w:rsidRPr="004A23C8">
        <w:t xml:space="preserve"> </w:t>
      </w:r>
      <w:proofErr w:type="spellStart"/>
      <w:r w:rsidRPr="004A23C8">
        <w:t>Broyde</w:t>
      </w:r>
      <w:proofErr w:type="spellEnd"/>
      <w:r w:rsidRPr="004A23C8">
        <w:t>, Michael, 'Further on Women as Prayer Leaders,' Judaism, 42:4 (1993), fn. 12</w:t>
      </w:r>
      <w:r w:rsidRPr="004A23C8">
        <w:rPr>
          <w:rFonts w:hint="cs"/>
          <w:rtl/>
        </w:rPr>
        <w:t xml:space="preserve"> </w:t>
      </w:r>
    </w:p>
    <w:p w14:paraId="0295372F" w14:textId="6F4F2E8F" w:rsidR="004A23C8" w:rsidRPr="004A23C8" w:rsidRDefault="004A23C8" w:rsidP="00CA3C8F">
      <w:pPr>
        <w:pStyle w:val="FootnoteText"/>
        <w:rPr>
          <w:rtl/>
        </w:rPr>
      </w:pPr>
      <w:r w:rsidRPr="004A23C8">
        <w:rPr>
          <w:rFonts w:hint="eastAsia"/>
          <w:rtl/>
        </w:rPr>
        <w:t>ניתן</w:t>
      </w:r>
      <w:r w:rsidRPr="004A23C8">
        <w:rPr>
          <w:rtl/>
        </w:rPr>
        <w:t xml:space="preserve"> למצוא </w:t>
      </w:r>
      <w:hyperlink r:id="rId5" w:history="1">
        <w:r w:rsidRPr="004A23C8">
          <w:rPr>
            <w:rStyle w:val="Hyperlink"/>
            <w:rFonts w:hint="eastAsia"/>
            <w:rtl/>
          </w:rPr>
          <w:t>כאן</w:t>
        </w:r>
      </w:hyperlink>
      <w:r w:rsidRPr="004A23C8">
        <w:rPr>
          <w:rtl/>
        </w:rPr>
        <w:t>.</w:t>
      </w:r>
    </w:p>
  </w:footnote>
  <w:footnote w:id="10">
    <w:p w14:paraId="6413F959" w14:textId="648D7A08" w:rsidR="004A23C8" w:rsidRPr="004A23C8" w:rsidRDefault="004A23C8" w:rsidP="00CA3C8F">
      <w:pPr>
        <w:pStyle w:val="FootnoteText"/>
        <w:rPr>
          <w:rtl/>
        </w:rPr>
      </w:pPr>
      <w:r w:rsidRPr="004A23C8">
        <w:rPr>
          <w:rStyle w:val="FootnoteReference"/>
        </w:rPr>
        <w:footnoteRef/>
      </w:r>
      <w:r w:rsidRPr="004A23C8">
        <w:t xml:space="preserve"> </w:t>
      </w:r>
      <w:r w:rsidRPr="004A23C8">
        <w:rPr>
          <w:rFonts w:hint="eastAsia"/>
          <w:rtl/>
        </w:rPr>
        <w:t>בע</w:t>
      </w:r>
      <w:r w:rsidRPr="004A23C8">
        <w:rPr>
          <w:rtl/>
        </w:rPr>
        <w:t xml:space="preserve">"ה  נדון באופי החובה של נשים בקריאת מגילה בעתיד. </w:t>
      </w:r>
    </w:p>
    <w:p w14:paraId="2B665D69" w14:textId="228F82A3" w:rsidR="004A23C8" w:rsidRPr="004A23C8" w:rsidRDefault="004A23C8" w:rsidP="008A346C">
      <w:pPr>
        <w:pStyle w:val="SourceTitle"/>
        <w:rPr>
          <w:b w:val="0"/>
          <w:bCs w:val="0"/>
          <w:color w:val="auto"/>
        </w:rPr>
      </w:pPr>
      <w:r w:rsidRPr="004A23C8">
        <w:rPr>
          <w:b w:val="0"/>
          <w:bCs w:val="0"/>
          <w:color w:val="auto"/>
          <w:rtl/>
        </w:rPr>
        <w:t>ט”ז על שולחן ערוך אורח חיים רעא, ב </w:t>
      </w:r>
    </w:p>
    <w:p w14:paraId="111A3DCB" w14:textId="7693791C" w:rsidR="004A23C8" w:rsidRPr="004A23C8" w:rsidRDefault="004A23C8" w:rsidP="008A346C">
      <w:pPr>
        <w:pStyle w:val="SourceText"/>
        <w:rPr>
          <w:b w:val="0"/>
          <w:bCs w:val="0"/>
          <w:color w:val="auto"/>
          <w:rtl/>
        </w:rPr>
      </w:pPr>
      <w:r w:rsidRPr="004A23C8">
        <w:rPr>
          <w:b w:val="0"/>
          <w:bCs w:val="0"/>
          <w:color w:val="auto"/>
          <w:rtl/>
        </w:rPr>
        <w:t>ומוציאות את האנשים כו’. – אף על גב דבסי’ תרפ”ט פסק בש”ע [=בש</w:t>
      </w:r>
      <w:r w:rsidRPr="004A23C8">
        <w:rPr>
          <w:rFonts w:hint="eastAsia"/>
          <w:b w:val="0"/>
          <w:bCs w:val="0"/>
          <w:color w:val="auto"/>
          <w:rtl/>
        </w:rPr>
        <w:t>ו</w:t>
      </w:r>
      <w:r w:rsidRPr="004A23C8">
        <w:rPr>
          <w:b w:val="0"/>
          <w:bCs w:val="0"/>
          <w:color w:val="auto"/>
          <w:rtl/>
        </w:rPr>
        <w:t xml:space="preserve">לחן ערוך] כבה”ג [=כבהאי גוונא] דאין נשים מוציאות אנשים במקרא מגילה אף ע”ג [=על גב] שהם חייבות במקרא מגילה לא דמי לכאן דבמגילה יש דיעות דאין לנשים לברך על מקרא מגילה אלא על משמע מגילה כמ”ש [=כמו שכתב] שם ב”י [=בית יוסף] ע”כ [על כן] בודאי לא נכון שלכתחלה יוציאו האנשים משא”כ [=משאין כן] כאן הכל מודים שאין חילוק כלל בין אנשים לנשים ע”כ [על כן] שפיר מוציאות אותם ורש”ל ומו”ח [=ומורי חמי, </w:t>
      </w:r>
      <w:r w:rsidRPr="004A23C8">
        <w:rPr>
          <w:rFonts w:hint="eastAsia"/>
          <w:b w:val="0"/>
          <w:bCs w:val="0"/>
          <w:color w:val="auto"/>
          <w:rtl/>
        </w:rPr>
        <w:t>כוונתו</w:t>
      </w:r>
      <w:r w:rsidRPr="004A23C8">
        <w:rPr>
          <w:b w:val="0"/>
          <w:bCs w:val="0"/>
          <w:color w:val="auto"/>
          <w:rtl/>
        </w:rPr>
        <w:t xml:space="preserve"> </w:t>
      </w:r>
      <w:r w:rsidRPr="004A23C8">
        <w:rPr>
          <w:rFonts w:hint="eastAsia"/>
          <w:b w:val="0"/>
          <w:bCs w:val="0"/>
          <w:color w:val="auto"/>
          <w:rtl/>
        </w:rPr>
        <w:t>לב</w:t>
      </w:r>
      <w:r w:rsidRPr="004A23C8">
        <w:rPr>
          <w:b w:val="0"/>
          <w:bCs w:val="0"/>
          <w:color w:val="auto"/>
          <w:rtl/>
        </w:rPr>
        <w:t>"ח] ז”ל פסקו גם כאן דאין מוציאות כמו במגילה ואין זה מוכרח כלל.</w:t>
      </w:r>
    </w:p>
    <w:p w14:paraId="186992A3" w14:textId="77777777" w:rsidR="004A23C8" w:rsidRPr="004A23C8" w:rsidRDefault="004A23C8" w:rsidP="00CA3C8F">
      <w:pPr>
        <w:pStyle w:val="FootnoteText"/>
        <w:rPr>
          <w:rtl/>
        </w:rPr>
      </w:pPr>
    </w:p>
  </w:footnote>
  <w:footnote w:id="11">
    <w:p w14:paraId="79564D96" w14:textId="4F7981F2" w:rsidR="004A23C8" w:rsidRPr="004A23C8" w:rsidRDefault="004A23C8" w:rsidP="008A346C">
      <w:pPr>
        <w:pStyle w:val="SourceTitle"/>
        <w:rPr>
          <w:b w:val="0"/>
          <w:bCs w:val="0"/>
          <w:color w:val="auto"/>
        </w:rPr>
      </w:pPr>
      <w:r w:rsidRPr="004A23C8">
        <w:rPr>
          <w:rStyle w:val="FootnoteReference"/>
          <w:b w:val="0"/>
          <w:bCs w:val="0"/>
          <w:color w:val="auto"/>
          <w:sz w:val="20"/>
          <w:szCs w:val="20"/>
        </w:rPr>
        <w:footnoteRef/>
      </w:r>
      <w:r w:rsidRPr="004A23C8">
        <w:rPr>
          <w:b w:val="0"/>
          <w:bCs w:val="0"/>
          <w:color w:val="auto"/>
        </w:rPr>
        <w:t xml:space="preserve"> </w:t>
      </w:r>
      <w:r w:rsidRPr="004A23C8">
        <w:rPr>
          <w:b w:val="0"/>
          <w:bCs w:val="0"/>
          <w:color w:val="auto"/>
          <w:rtl/>
        </w:rPr>
        <w:t>ב”ח אורח חיים סימן רעא </w:t>
      </w:r>
    </w:p>
    <w:p w14:paraId="7EEB5BCA" w14:textId="77777777" w:rsidR="004A23C8" w:rsidRPr="004A23C8" w:rsidRDefault="004A23C8" w:rsidP="008A346C">
      <w:pPr>
        <w:pStyle w:val="SourceText"/>
        <w:rPr>
          <w:b w:val="0"/>
          <w:bCs w:val="0"/>
          <w:color w:val="auto"/>
          <w:rtl/>
        </w:rPr>
      </w:pPr>
      <w:r w:rsidRPr="004A23C8">
        <w:rPr>
          <w:b w:val="0"/>
          <w:bCs w:val="0"/>
          <w:color w:val="auto"/>
          <w:rtl/>
        </w:rPr>
        <w:t>ולפע”ד [=ולפי עניות דעתי] נראה עיקר להחמיר בקידוש כמו במגילה שאין הנשים מוציאות לאנשים…</w:t>
      </w:r>
    </w:p>
    <w:p w14:paraId="48D25C54" w14:textId="26FE7351" w:rsidR="004A23C8" w:rsidRPr="004A23C8" w:rsidRDefault="004A23C8" w:rsidP="00CA3C8F">
      <w:pPr>
        <w:pStyle w:val="FootnoteText"/>
        <w:rPr>
          <w:rtl/>
        </w:rPr>
      </w:pPr>
    </w:p>
  </w:footnote>
  <w:footnote w:id="12">
    <w:p w14:paraId="547FD088" w14:textId="037AF55D" w:rsidR="004A23C8" w:rsidRPr="004A23C8" w:rsidRDefault="004A23C8" w:rsidP="008A346C">
      <w:pPr>
        <w:pStyle w:val="SourceTitle"/>
        <w:rPr>
          <w:b w:val="0"/>
          <w:bCs w:val="0"/>
          <w:color w:val="auto"/>
        </w:rPr>
      </w:pPr>
      <w:r w:rsidRPr="004A23C8">
        <w:rPr>
          <w:rStyle w:val="FootnoteReference"/>
          <w:b w:val="0"/>
          <w:bCs w:val="0"/>
          <w:color w:val="auto"/>
          <w:sz w:val="20"/>
          <w:szCs w:val="20"/>
        </w:rPr>
        <w:footnoteRef/>
      </w:r>
      <w:r w:rsidRPr="004A23C8">
        <w:rPr>
          <w:b w:val="0"/>
          <w:bCs w:val="0"/>
          <w:color w:val="auto"/>
        </w:rPr>
        <w:t xml:space="preserve"> </w:t>
      </w:r>
      <w:r w:rsidRPr="004A23C8">
        <w:rPr>
          <w:b w:val="0"/>
          <w:bCs w:val="0"/>
          <w:color w:val="auto"/>
          <w:rtl/>
        </w:rPr>
        <w:t>מגן אברהם סימן תרפט, ה </w:t>
      </w:r>
    </w:p>
    <w:p w14:paraId="466FC7A6" w14:textId="77777777" w:rsidR="004A23C8" w:rsidRPr="004A23C8" w:rsidRDefault="004A23C8" w:rsidP="008A346C">
      <w:pPr>
        <w:pStyle w:val="SourceText"/>
        <w:rPr>
          <w:b w:val="0"/>
          <w:bCs w:val="0"/>
          <w:color w:val="auto"/>
          <w:rtl/>
        </w:rPr>
      </w:pPr>
      <w:r w:rsidRPr="004A23C8">
        <w:rPr>
          <w:b w:val="0"/>
          <w:bCs w:val="0"/>
          <w:color w:val="auto"/>
          <w:rtl/>
        </w:rPr>
        <w:t>אינם מוציאות – ול”ד לנ”ח [= ולא דמי לנרות חנוכה] דשאני מגיל[ה] דהוי כמו קריאת התור[ה] (סמ”ג) פי[רוש] ופסול[ות] מפני כבוד הצבור</w:t>
      </w:r>
    </w:p>
    <w:p w14:paraId="3240D1C2" w14:textId="6F4DB873" w:rsidR="004A23C8" w:rsidRPr="004A23C8" w:rsidRDefault="004A23C8" w:rsidP="00CA3C8F">
      <w:pPr>
        <w:pStyle w:val="FootnoteText"/>
        <w:rPr>
          <w:rtl/>
        </w:rPr>
      </w:pPr>
    </w:p>
  </w:footnote>
  <w:footnote w:id="13">
    <w:p w14:paraId="3B31C462" w14:textId="487A34C4" w:rsidR="004A23C8" w:rsidRPr="004A23C8" w:rsidRDefault="004A23C8" w:rsidP="008A346C">
      <w:pPr>
        <w:pStyle w:val="SourceTitle"/>
        <w:rPr>
          <w:b w:val="0"/>
          <w:bCs w:val="0"/>
          <w:color w:val="auto"/>
        </w:rPr>
      </w:pPr>
      <w:r w:rsidRPr="004A23C8">
        <w:rPr>
          <w:rStyle w:val="FootnoteReference"/>
          <w:b w:val="0"/>
          <w:bCs w:val="0"/>
          <w:color w:val="auto"/>
          <w:sz w:val="20"/>
          <w:szCs w:val="20"/>
        </w:rPr>
        <w:footnoteRef/>
      </w:r>
      <w:r w:rsidRPr="004A23C8">
        <w:rPr>
          <w:b w:val="0"/>
          <w:bCs w:val="0"/>
          <w:color w:val="auto"/>
        </w:rPr>
        <w:t xml:space="preserve"> </w:t>
      </w:r>
      <w:r w:rsidRPr="004A23C8">
        <w:rPr>
          <w:b w:val="0"/>
          <w:bCs w:val="0"/>
          <w:color w:val="auto"/>
          <w:rtl/>
        </w:rPr>
        <w:t xml:space="preserve"> </w:t>
      </w:r>
      <w:r w:rsidRPr="004A23C8">
        <w:rPr>
          <w:rFonts w:hint="eastAsia"/>
          <w:b w:val="0"/>
          <w:bCs w:val="0"/>
          <w:color w:val="auto"/>
          <w:rtl/>
        </w:rPr>
        <w:t>ה</w:t>
      </w:r>
      <w:r w:rsidRPr="004A23C8">
        <w:rPr>
          <w:b w:val="0"/>
          <w:bCs w:val="0"/>
          <w:color w:val="auto"/>
          <w:rtl/>
        </w:rPr>
        <w:t>רב דוד אויערבאך, הליכות ביתה ט"ו, י </w:t>
      </w:r>
    </w:p>
    <w:p w14:paraId="7F47B14C" w14:textId="77777777" w:rsidR="004A23C8" w:rsidRPr="004A23C8" w:rsidRDefault="004A23C8" w:rsidP="008A346C">
      <w:pPr>
        <w:pStyle w:val="SourceText"/>
        <w:rPr>
          <w:b w:val="0"/>
          <w:bCs w:val="0"/>
          <w:color w:val="auto"/>
          <w:rtl/>
        </w:rPr>
      </w:pPr>
      <w:r w:rsidRPr="004A23C8">
        <w:rPr>
          <w:b w:val="0"/>
          <w:bCs w:val="0"/>
          <w:color w:val="auto"/>
          <w:rtl/>
        </w:rPr>
        <w:t>אשה יכולה להוציא את האיש בקידוש הואיל וגם היא חייבת מן-התורה בקידוש כמו האיש. אך לכתחילה אין להורות כן מלבד בשעת הדחק…ומכל מקום יש להחמיר לכתחילה שלא תוציא אנשים שאינם מבני ביתה.</w:t>
      </w:r>
    </w:p>
    <w:p w14:paraId="68A50D39" w14:textId="494B07C4" w:rsidR="004A23C8" w:rsidRPr="004A23C8" w:rsidRDefault="004A23C8" w:rsidP="00CA3C8F">
      <w:pPr>
        <w:pStyle w:val="FootnoteText"/>
        <w:rPr>
          <w:rtl/>
        </w:rPr>
      </w:pPr>
    </w:p>
  </w:footnote>
  <w:footnote w:id="14">
    <w:p w14:paraId="7980B9BD" w14:textId="532B294B" w:rsidR="004A23C8" w:rsidRPr="004A23C8" w:rsidRDefault="004A23C8" w:rsidP="00CA3C8F">
      <w:pPr>
        <w:rPr>
          <w:sz w:val="20"/>
          <w:szCs w:val="20"/>
          <w:rtl/>
        </w:rPr>
      </w:pPr>
      <w:r w:rsidRPr="004A23C8">
        <w:rPr>
          <w:rStyle w:val="FootnoteReference"/>
          <w:sz w:val="20"/>
          <w:szCs w:val="20"/>
        </w:rPr>
        <w:footnoteRef/>
      </w:r>
      <w:r w:rsidRPr="004A23C8">
        <w:rPr>
          <w:sz w:val="20"/>
          <w:szCs w:val="20"/>
        </w:rPr>
        <w:t xml:space="preserve"> </w:t>
      </w:r>
      <w:r w:rsidRPr="004A23C8">
        <w:rPr>
          <w:sz w:val="20"/>
          <w:szCs w:val="20"/>
          <w:rtl/>
        </w:rPr>
        <w:t xml:space="preserve"> </w:t>
      </w:r>
      <w:r w:rsidRPr="004A23C8">
        <w:rPr>
          <w:sz w:val="20"/>
          <w:szCs w:val="20"/>
        </w:rPr>
        <w:t>Tradition, 49:1 (Spring 2016) Available</w:t>
      </w:r>
      <w:r w:rsidRPr="004A23C8">
        <w:rPr>
          <w:sz w:val="20"/>
          <w:szCs w:val="20"/>
          <w:rtl/>
        </w:rPr>
        <w:t xml:space="preserve">, ניתן למצוא </w:t>
      </w:r>
      <w:hyperlink r:id="rId6" w:history="1">
        <w:r w:rsidRPr="004A23C8">
          <w:rPr>
            <w:rStyle w:val="Hyperlink"/>
            <w:rFonts w:hint="eastAsia"/>
            <w:sz w:val="20"/>
            <w:szCs w:val="20"/>
            <w:rtl/>
          </w:rPr>
          <w:t>כאן</w:t>
        </w:r>
      </w:hyperlink>
      <w:r w:rsidRPr="004A23C8">
        <w:rPr>
          <w:sz w:val="20"/>
          <w:szCs w:val="20"/>
          <w:rtl/>
        </w:rPr>
        <w:t>.</w:t>
      </w:r>
    </w:p>
  </w:footnote>
  <w:footnote w:id="15">
    <w:p w14:paraId="58D67F4E" w14:textId="2A73178A" w:rsidR="004A23C8" w:rsidRPr="004A23C8" w:rsidRDefault="004A23C8" w:rsidP="00CA3C8F">
      <w:pPr>
        <w:rPr>
          <w:sz w:val="20"/>
          <w:szCs w:val="20"/>
          <w:rtl/>
        </w:rPr>
      </w:pPr>
      <w:r w:rsidRPr="004A23C8">
        <w:rPr>
          <w:rStyle w:val="FootnoteReference"/>
          <w:sz w:val="20"/>
          <w:szCs w:val="20"/>
        </w:rPr>
        <w:footnoteRef/>
      </w:r>
      <w:r w:rsidRPr="004A23C8">
        <w:rPr>
          <w:sz w:val="20"/>
          <w:szCs w:val="20"/>
        </w:rPr>
        <w:t xml:space="preserve"> Rachel Sharansky Danziger, “Reclaiming Our Mothers’ Religion”, The Times of Israel, December 11, 2014</w:t>
      </w:r>
    </w:p>
    <w:p w14:paraId="48A59FD0" w14:textId="11BD08C5" w:rsidR="004A23C8" w:rsidRPr="00523DA3" w:rsidRDefault="004A23C8" w:rsidP="00CA3C8F">
      <w:pPr>
        <w:pStyle w:val="FootnoteText"/>
        <w:rPr>
          <w:rtl/>
        </w:rPr>
      </w:pPr>
      <w:r w:rsidRPr="004A23C8">
        <w:rPr>
          <w:rFonts w:hint="eastAsia"/>
          <w:rtl/>
        </w:rPr>
        <w:t>ניתן</w:t>
      </w:r>
      <w:r w:rsidRPr="004A23C8">
        <w:rPr>
          <w:rtl/>
        </w:rPr>
        <w:t xml:space="preserve"> למצוא </w:t>
      </w:r>
      <w:hyperlink r:id="rId7" w:history="1">
        <w:r w:rsidRPr="004A23C8">
          <w:rPr>
            <w:rStyle w:val="Hyperlink"/>
            <w:rFonts w:hint="eastAsia"/>
            <w:rtl/>
          </w:rPr>
          <w:t>כאן</w:t>
        </w:r>
      </w:hyperlink>
      <w:r w:rsidRPr="004A23C8">
        <w:rPr>
          <w:rtl/>
        </w:rPr>
        <w:t>.</w:t>
      </w:r>
      <w:r w:rsidRPr="00523DA3">
        <w:rPr>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24068850">
    <w:abstractNumId w:val="0"/>
  </w:num>
  <w:num w:numId="2" w16cid:durableId="653803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32FC"/>
    <w:rsid w:val="00043879"/>
    <w:rsid w:val="00044147"/>
    <w:rsid w:val="00047250"/>
    <w:rsid w:val="000639E5"/>
    <w:rsid w:val="00063E0B"/>
    <w:rsid w:val="00070798"/>
    <w:rsid w:val="0007106B"/>
    <w:rsid w:val="000734FF"/>
    <w:rsid w:val="00074E9A"/>
    <w:rsid w:val="0008283D"/>
    <w:rsid w:val="00090765"/>
    <w:rsid w:val="0009318A"/>
    <w:rsid w:val="00096841"/>
    <w:rsid w:val="0009743A"/>
    <w:rsid w:val="000B0097"/>
    <w:rsid w:val="000B1D1F"/>
    <w:rsid w:val="000B4421"/>
    <w:rsid w:val="000B6027"/>
    <w:rsid w:val="000B75FC"/>
    <w:rsid w:val="000C5F18"/>
    <w:rsid w:val="000D5F84"/>
    <w:rsid w:val="000E779A"/>
    <w:rsid w:val="000E7DB8"/>
    <w:rsid w:val="00103FF0"/>
    <w:rsid w:val="00112B2B"/>
    <w:rsid w:val="00112DA6"/>
    <w:rsid w:val="001148E3"/>
    <w:rsid w:val="00125D3A"/>
    <w:rsid w:val="001315CF"/>
    <w:rsid w:val="001364ED"/>
    <w:rsid w:val="00143096"/>
    <w:rsid w:val="00155113"/>
    <w:rsid w:val="00161DB5"/>
    <w:rsid w:val="0016266D"/>
    <w:rsid w:val="0016614E"/>
    <w:rsid w:val="0017221F"/>
    <w:rsid w:val="00172F09"/>
    <w:rsid w:val="0018508B"/>
    <w:rsid w:val="00185FEB"/>
    <w:rsid w:val="00190518"/>
    <w:rsid w:val="001B14F8"/>
    <w:rsid w:val="001C72E8"/>
    <w:rsid w:val="001D1A5A"/>
    <w:rsid w:val="001D3ACD"/>
    <w:rsid w:val="001F12B2"/>
    <w:rsid w:val="00202D06"/>
    <w:rsid w:val="00223762"/>
    <w:rsid w:val="00230779"/>
    <w:rsid w:val="002351E6"/>
    <w:rsid w:val="00237AB7"/>
    <w:rsid w:val="002401BF"/>
    <w:rsid w:val="00245611"/>
    <w:rsid w:val="0024743A"/>
    <w:rsid w:val="002805D4"/>
    <w:rsid w:val="00284D2C"/>
    <w:rsid w:val="00285DA0"/>
    <w:rsid w:val="00290BC6"/>
    <w:rsid w:val="00295724"/>
    <w:rsid w:val="002B4276"/>
    <w:rsid w:val="002B5B96"/>
    <w:rsid w:val="002E28BA"/>
    <w:rsid w:val="002E4F78"/>
    <w:rsid w:val="002E5BBA"/>
    <w:rsid w:val="002F46CF"/>
    <w:rsid w:val="00311076"/>
    <w:rsid w:val="00314113"/>
    <w:rsid w:val="00324955"/>
    <w:rsid w:val="00331E1C"/>
    <w:rsid w:val="00332404"/>
    <w:rsid w:val="00334614"/>
    <w:rsid w:val="0033656B"/>
    <w:rsid w:val="00344CC2"/>
    <w:rsid w:val="003472E5"/>
    <w:rsid w:val="003502E8"/>
    <w:rsid w:val="00355D5F"/>
    <w:rsid w:val="003630FE"/>
    <w:rsid w:val="00366173"/>
    <w:rsid w:val="0037017A"/>
    <w:rsid w:val="00370B25"/>
    <w:rsid w:val="0037256F"/>
    <w:rsid w:val="00376B15"/>
    <w:rsid w:val="00377BDD"/>
    <w:rsid w:val="00384128"/>
    <w:rsid w:val="003931CC"/>
    <w:rsid w:val="003944CC"/>
    <w:rsid w:val="003969DF"/>
    <w:rsid w:val="003A27C9"/>
    <w:rsid w:val="003B189F"/>
    <w:rsid w:val="003D6AFD"/>
    <w:rsid w:val="003E5099"/>
    <w:rsid w:val="003F20B6"/>
    <w:rsid w:val="003F2F56"/>
    <w:rsid w:val="003F5B9D"/>
    <w:rsid w:val="003F79CB"/>
    <w:rsid w:val="004010E0"/>
    <w:rsid w:val="00402B0A"/>
    <w:rsid w:val="00406ABA"/>
    <w:rsid w:val="0041175E"/>
    <w:rsid w:val="004156C0"/>
    <w:rsid w:val="00423B45"/>
    <w:rsid w:val="0042527A"/>
    <w:rsid w:val="00437605"/>
    <w:rsid w:val="0044024B"/>
    <w:rsid w:val="00455C80"/>
    <w:rsid w:val="00460011"/>
    <w:rsid w:val="00472BB1"/>
    <w:rsid w:val="00486946"/>
    <w:rsid w:val="00494590"/>
    <w:rsid w:val="004957D6"/>
    <w:rsid w:val="0049761A"/>
    <w:rsid w:val="004A2052"/>
    <w:rsid w:val="004A21AC"/>
    <w:rsid w:val="004A22D1"/>
    <w:rsid w:val="004A23C8"/>
    <w:rsid w:val="004A471C"/>
    <w:rsid w:val="004B5D00"/>
    <w:rsid w:val="004C70B2"/>
    <w:rsid w:val="004D1F26"/>
    <w:rsid w:val="004D2F6D"/>
    <w:rsid w:val="004D425E"/>
    <w:rsid w:val="004D71C9"/>
    <w:rsid w:val="004E0ACA"/>
    <w:rsid w:val="004E2616"/>
    <w:rsid w:val="004F7A3D"/>
    <w:rsid w:val="00503163"/>
    <w:rsid w:val="00504C45"/>
    <w:rsid w:val="00522A52"/>
    <w:rsid w:val="00523DA3"/>
    <w:rsid w:val="00526F6F"/>
    <w:rsid w:val="00533B89"/>
    <w:rsid w:val="005370CC"/>
    <w:rsid w:val="00544BF1"/>
    <w:rsid w:val="005520A8"/>
    <w:rsid w:val="00554419"/>
    <w:rsid w:val="00554998"/>
    <w:rsid w:val="00554D9C"/>
    <w:rsid w:val="0055732C"/>
    <w:rsid w:val="00567544"/>
    <w:rsid w:val="00584731"/>
    <w:rsid w:val="005958B7"/>
    <w:rsid w:val="005A1BF3"/>
    <w:rsid w:val="005C75A8"/>
    <w:rsid w:val="005D4F7A"/>
    <w:rsid w:val="005E56CE"/>
    <w:rsid w:val="00601C01"/>
    <w:rsid w:val="00606516"/>
    <w:rsid w:val="00622642"/>
    <w:rsid w:val="00626DD2"/>
    <w:rsid w:val="006369A2"/>
    <w:rsid w:val="0064365C"/>
    <w:rsid w:val="00653BB0"/>
    <w:rsid w:val="00656FAB"/>
    <w:rsid w:val="006572C3"/>
    <w:rsid w:val="00680FA9"/>
    <w:rsid w:val="006835D6"/>
    <w:rsid w:val="00686E9A"/>
    <w:rsid w:val="006A4F7C"/>
    <w:rsid w:val="006A6B9D"/>
    <w:rsid w:val="006A78E7"/>
    <w:rsid w:val="006B7B63"/>
    <w:rsid w:val="006D442D"/>
    <w:rsid w:val="006F6327"/>
    <w:rsid w:val="007101F4"/>
    <w:rsid w:val="007150E4"/>
    <w:rsid w:val="007201D9"/>
    <w:rsid w:val="007252CE"/>
    <w:rsid w:val="00726EF9"/>
    <w:rsid w:val="007474F4"/>
    <w:rsid w:val="00764F60"/>
    <w:rsid w:val="0076516D"/>
    <w:rsid w:val="00776C58"/>
    <w:rsid w:val="007832E4"/>
    <w:rsid w:val="00786189"/>
    <w:rsid w:val="007A49B9"/>
    <w:rsid w:val="007C1F33"/>
    <w:rsid w:val="007D1510"/>
    <w:rsid w:val="007D189C"/>
    <w:rsid w:val="007D33B3"/>
    <w:rsid w:val="007F0F85"/>
    <w:rsid w:val="007F2B5D"/>
    <w:rsid w:val="00802917"/>
    <w:rsid w:val="008212BE"/>
    <w:rsid w:val="008260F1"/>
    <w:rsid w:val="00845340"/>
    <w:rsid w:val="00846A42"/>
    <w:rsid w:val="00847F25"/>
    <w:rsid w:val="0085028F"/>
    <w:rsid w:val="00852661"/>
    <w:rsid w:val="0085774C"/>
    <w:rsid w:val="00860EC7"/>
    <w:rsid w:val="00862C0B"/>
    <w:rsid w:val="00864000"/>
    <w:rsid w:val="00877358"/>
    <w:rsid w:val="00886D30"/>
    <w:rsid w:val="008A346C"/>
    <w:rsid w:val="008A4F91"/>
    <w:rsid w:val="008B4164"/>
    <w:rsid w:val="008C422F"/>
    <w:rsid w:val="008D67F1"/>
    <w:rsid w:val="008E0D26"/>
    <w:rsid w:val="008F0062"/>
    <w:rsid w:val="008F1585"/>
    <w:rsid w:val="008F2F16"/>
    <w:rsid w:val="008F490A"/>
    <w:rsid w:val="009011C7"/>
    <w:rsid w:val="00916BEF"/>
    <w:rsid w:val="0091710A"/>
    <w:rsid w:val="00934A64"/>
    <w:rsid w:val="00952A77"/>
    <w:rsid w:val="00953CDD"/>
    <w:rsid w:val="00956B09"/>
    <w:rsid w:val="009604D0"/>
    <w:rsid w:val="00966563"/>
    <w:rsid w:val="0098013F"/>
    <w:rsid w:val="0098400C"/>
    <w:rsid w:val="00996298"/>
    <w:rsid w:val="009A5F10"/>
    <w:rsid w:val="009A5F11"/>
    <w:rsid w:val="009A6242"/>
    <w:rsid w:val="009C312C"/>
    <w:rsid w:val="009D0DC0"/>
    <w:rsid w:val="009D2F7C"/>
    <w:rsid w:val="009E1830"/>
    <w:rsid w:val="009E2050"/>
    <w:rsid w:val="00A07397"/>
    <w:rsid w:val="00A1016E"/>
    <w:rsid w:val="00A10213"/>
    <w:rsid w:val="00A2111C"/>
    <w:rsid w:val="00A247A4"/>
    <w:rsid w:val="00A31585"/>
    <w:rsid w:val="00A42529"/>
    <w:rsid w:val="00A54C07"/>
    <w:rsid w:val="00A758DB"/>
    <w:rsid w:val="00A8602A"/>
    <w:rsid w:val="00AA4C75"/>
    <w:rsid w:val="00AB120D"/>
    <w:rsid w:val="00AB5B66"/>
    <w:rsid w:val="00AC7231"/>
    <w:rsid w:val="00AE332C"/>
    <w:rsid w:val="00AE6402"/>
    <w:rsid w:val="00AF2379"/>
    <w:rsid w:val="00AF63C4"/>
    <w:rsid w:val="00B07127"/>
    <w:rsid w:val="00B149B6"/>
    <w:rsid w:val="00B20989"/>
    <w:rsid w:val="00B35CB9"/>
    <w:rsid w:val="00B42BBB"/>
    <w:rsid w:val="00B53CEB"/>
    <w:rsid w:val="00B622AC"/>
    <w:rsid w:val="00B62499"/>
    <w:rsid w:val="00B730B6"/>
    <w:rsid w:val="00B80951"/>
    <w:rsid w:val="00B84428"/>
    <w:rsid w:val="00B9233F"/>
    <w:rsid w:val="00B9408C"/>
    <w:rsid w:val="00BA46AB"/>
    <w:rsid w:val="00BD1320"/>
    <w:rsid w:val="00BD3FCA"/>
    <w:rsid w:val="00BD5B06"/>
    <w:rsid w:val="00BE428B"/>
    <w:rsid w:val="00BF41F2"/>
    <w:rsid w:val="00C00D10"/>
    <w:rsid w:val="00C06DE1"/>
    <w:rsid w:val="00C203B5"/>
    <w:rsid w:val="00C20591"/>
    <w:rsid w:val="00C22471"/>
    <w:rsid w:val="00C226E5"/>
    <w:rsid w:val="00C24E93"/>
    <w:rsid w:val="00C26273"/>
    <w:rsid w:val="00C275E4"/>
    <w:rsid w:val="00C27D9D"/>
    <w:rsid w:val="00C506C1"/>
    <w:rsid w:val="00C51A10"/>
    <w:rsid w:val="00C547B7"/>
    <w:rsid w:val="00C73515"/>
    <w:rsid w:val="00C75DD5"/>
    <w:rsid w:val="00C86014"/>
    <w:rsid w:val="00C96695"/>
    <w:rsid w:val="00CA0925"/>
    <w:rsid w:val="00CA3C8F"/>
    <w:rsid w:val="00CA6237"/>
    <w:rsid w:val="00CB0C09"/>
    <w:rsid w:val="00CB126C"/>
    <w:rsid w:val="00CB2E28"/>
    <w:rsid w:val="00CB3ECB"/>
    <w:rsid w:val="00CC1D24"/>
    <w:rsid w:val="00CC42F4"/>
    <w:rsid w:val="00CC6DA3"/>
    <w:rsid w:val="00CC787F"/>
    <w:rsid w:val="00CC7D19"/>
    <w:rsid w:val="00CD5F84"/>
    <w:rsid w:val="00D010EB"/>
    <w:rsid w:val="00D13E25"/>
    <w:rsid w:val="00D35E1E"/>
    <w:rsid w:val="00D4647E"/>
    <w:rsid w:val="00D55514"/>
    <w:rsid w:val="00D62E96"/>
    <w:rsid w:val="00D676C9"/>
    <w:rsid w:val="00D71ED1"/>
    <w:rsid w:val="00D915EE"/>
    <w:rsid w:val="00DA2259"/>
    <w:rsid w:val="00DB0D55"/>
    <w:rsid w:val="00DB68DA"/>
    <w:rsid w:val="00DB7039"/>
    <w:rsid w:val="00DD1315"/>
    <w:rsid w:val="00DE3B29"/>
    <w:rsid w:val="00DE41F4"/>
    <w:rsid w:val="00DF1426"/>
    <w:rsid w:val="00DF3C11"/>
    <w:rsid w:val="00E01852"/>
    <w:rsid w:val="00E056AA"/>
    <w:rsid w:val="00E12FEC"/>
    <w:rsid w:val="00E25B0A"/>
    <w:rsid w:val="00E32696"/>
    <w:rsid w:val="00E45A48"/>
    <w:rsid w:val="00E621DB"/>
    <w:rsid w:val="00E6478C"/>
    <w:rsid w:val="00E66C59"/>
    <w:rsid w:val="00E80EE2"/>
    <w:rsid w:val="00EA662D"/>
    <w:rsid w:val="00EB473A"/>
    <w:rsid w:val="00EC1756"/>
    <w:rsid w:val="00EC2716"/>
    <w:rsid w:val="00ED495D"/>
    <w:rsid w:val="00ED61DE"/>
    <w:rsid w:val="00EE2B32"/>
    <w:rsid w:val="00EE5B47"/>
    <w:rsid w:val="00F06E26"/>
    <w:rsid w:val="00F16FC3"/>
    <w:rsid w:val="00F306B1"/>
    <w:rsid w:val="00F33542"/>
    <w:rsid w:val="00F35C8C"/>
    <w:rsid w:val="00F404DD"/>
    <w:rsid w:val="00F52252"/>
    <w:rsid w:val="00F6171F"/>
    <w:rsid w:val="00F62745"/>
    <w:rsid w:val="00F66ACD"/>
    <w:rsid w:val="00F71F27"/>
    <w:rsid w:val="00F76D48"/>
    <w:rsid w:val="00F835D1"/>
    <w:rsid w:val="00F842F4"/>
    <w:rsid w:val="00F8535E"/>
    <w:rsid w:val="00FB67AB"/>
    <w:rsid w:val="00FB701C"/>
    <w:rsid w:val="00FC183A"/>
    <w:rsid w:val="00FC7E4D"/>
    <w:rsid w:val="00FD4E8F"/>
    <w:rsid w:val="00FF420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9"/>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semiHidden/>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9"/>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semiHidden/>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8A346C"/>
    <w:rPr>
      <w:b/>
      <w:bCs/>
      <w:color w:val="538135" w:themeColor="accent6" w:themeShade="BF"/>
    </w:rPr>
  </w:style>
  <w:style w:type="paragraph" w:customStyle="1" w:styleId="SourceText">
    <w:name w:val="Source Text"/>
    <w:basedOn w:val="Normal"/>
    <w:uiPriority w:val="3"/>
    <w:qFormat/>
    <w:rsid w:val="008A346C"/>
    <w:rPr>
      <w:b/>
      <w:bCs/>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semiHidden/>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uiPriority w:val="1"/>
    <w:qFormat/>
    <w:rsid w:val="00934A64"/>
    <w:rPr>
      <w:b/>
      <w:bCs/>
      <w:sz w:val="28"/>
      <w:szCs w:val="28"/>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styleId="UnresolvedMention">
    <w:name w:val="Unresolved Mention"/>
    <w:basedOn w:val="DefaultParagraphFont"/>
    <w:uiPriority w:val="99"/>
    <w:semiHidden/>
    <w:unhideWhenUsed/>
    <w:rsid w:val="000639E5"/>
    <w:rPr>
      <w:color w:val="605E5C"/>
      <w:shd w:val="clear" w:color="auto" w:fill="E1DFDD"/>
    </w:rPr>
  </w:style>
  <w:style w:type="character" w:styleId="FollowedHyperlink">
    <w:name w:val="FollowedHyperlink"/>
    <w:basedOn w:val="DefaultParagraphFont"/>
    <w:uiPriority w:val="99"/>
    <w:semiHidden/>
    <w:unhideWhenUsed/>
    <w:rsid w:val="00F8535E"/>
    <w:rPr>
      <w:color w:val="954F72" w:themeColor="followedHyperlink"/>
      <w:u w:val="single"/>
    </w:rPr>
  </w:style>
  <w:style w:type="character" w:customStyle="1" w:styleId="views-field-name">
    <w:name w:val="views-field-name"/>
    <w:basedOn w:val="DefaultParagraphFont"/>
    <w:rsid w:val="00554419"/>
  </w:style>
  <w:style w:type="character" w:customStyle="1" w:styleId="views-field-field-author">
    <w:name w:val="views-field-field-author"/>
    <w:basedOn w:val="DefaultParagraphFont"/>
    <w:rsid w:val="0055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0" Type="http://schemas.openxmlformats.org/officeDocument/2006/relationships/hyperlink" Target="https://deracheha.org.il/harshama/" TargetMode="External"/><Relationship Id="rId4" Type="http://schemas.openxmlformats.org/officeDocument/2006/relationships/settings" Target="settings.xml"/><Relationship Id="rId9" Type="http://schemas.openxmlformats.org/officeDocument/2006/relationships/hyperlink" Target="https://deracheha.org.il/hotzaa-yedei-chova-halacha-le-maaseh/"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carabbis.org/pdf/frimer_article.pdf" TargetMode="External"/><Relationship Id="rId7" Type="http://schemas.openxmlformats.org/officeDocument/2006/relationships/hyperlink" Target="https://blogs.timesofisrael.com/reclaiming-our-mothers-religion/" TargetMode="External"/><Relationship Id="rId2" Type="http://schemas.openxmlformats.org/officeDocument/2006/relationships/hyperlink" Target="https://hebrewbooks.org/pdfpager.aspx?req=20022&amp;st=&amp;pgnum=41" TargetMode="External"/><Relationship Id="rId1" Type="http://schemas.openxmlformats.org/officeDocument/2006/relationships/hyperlink" Target="https://hebrewbooks.org/pdfpager.aspx?req=51375&amp;st=&amp;pgnum=47" TargetMode="External"/><Relationship Id="rId6" Type="http://schemas.openxmlformats.org/officeDocument/2006/relationships/hyperlink" Target="https://traditiononline.org/women-in-leadership/" TargetMode="External"/><Relationship Id="rId5" Type="http://schemas.openxmlformats.org/officeDocument/2006/relationships/hyperlink" Target="https://www.thefreelibrary.com/Further+on+women+as+prayer+leaders+and+their+role+in+communal+prayer%3a...-a014873597" TargetMode="External"/><Relationship Id="rId4" Type="http://schemas.openxmlformats.org/officeDocument/2006/relationships/hyperlink" Target="https://www.ise.bgu.ac.il/faculty/kalech/judaism/frimer07WomenCommunalLeadershipPos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1834</Words>
  <Characters>10460</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15</cp:revision>
  <dcterms:created xsi:type="dcterms:W3CDTF">2022-10-25T07:36:00Z</dcterms:created>
  <dcterms:modified xsi:type="dcterms:W3CDTF">2023-01-08T08:31:00Z</dcterms:modified>
</cp:coreProperties>
</file>