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E" w:rsidRPr="000F014E" w:rsidRDefault="000F014E" w:rsidP="000F014E">
      <w:pPr>
        <w:shd w:val="clear" w:color="auto" w:fill="FCFDFE"/>
        <w:spacing w:after="150" w:line="420" w:lineRule="atLeast"/>
        <w:jc w:val="both"/>
        <w:outlineLvl w:val="0"/>
        <w:rPr>
          <w:rFonts w:ascii="Trebuchet MS" w:eastAsia="Times New Roman" w:hAnsi="Trebuchet MS" w:cs="Times New Roman"/>
          <w:b/>
          <w:bCs/>
          <w:color w:val="B77B2A"/>
          <w:kern w:val="36"/>
          <w:sz w:val="30"/>
          <w:szCs w:val="30"/>
        </w:rPr>
      </w:pPr>
      <w:r w:rsidRPr="000F014E">
        <w:rPr>
          <w:rFonts w:ascii="Trebuchet MS" w:eastAsia="Times New Roman" w:hAnsi="Trebuchet MS" w:cs="Times New Roman"/>
          <w:b/>
          <w:bCs/>
          <w:color w:val="B77B2A"/>
          <w:kern w:val="36"/>
          <w:sz w:val="30"/>
          <w:szCs w:val="30"/>
          <w:rtl/>
        </w:rPr>
        <w:t>פסח - מהלכות פסח - התורה והחיים</w:t>
      </w:r>
    </w:p>
    <w:p w:rsidR="000F014E" w:rsidRPr="000F014E" w:rsidRDefault="000F014E" w:rsidP="000F014E">
      <w:pPr>
        <w:numPr>
          <w:ilvl w:val="0"/>
          <w:numId w:val="1"/>
        </w:numPr>
        <w:shd w:val="clear" w:color="auto" w:fill="FCFDFE"/>
        <w:spacing w:before="100" w:beforeAutospacing="1" w:after="100" w:afterAutospacing="1" w:line="240" w:lineRule="auto"/>
        <w:ind w:left="0"/>
        <w:rPr>
          <w:rFonts w:ascii="Arial" w:eastAsia="Times New Roman" w:hAnsi="Arial" w:cs="Arial"/>
          <w:b/>
          <w:bCs/>
          <w:color w:val="626262"/>
          <w:sz w:val="21"/>
          <w:szCs w:val="21"/>
        </w:rPr>
      </w:pPr>
      <w:r w:rsidRPr="000F014E">
        <w:rPr>
          <w:rFonts w:ascii="Arial" w:eastAsia="Times New Roman" w:hAnsi="Arial" w:cs="Arial"/>
          <w:b/>
          <w:bCs/>
          <w:color w:val="626262"/>
          <w:sz w:val="21"/>
          <w:szCs w:val="21"/>
          <w:rtl/>
        </w:rPr>
        <w:t>הרב יואל בן נון</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מהלכות פסח - התורה והחיים</w:t>
      </w:r>
    </w:p>
    <w:p w:rsidR="000F014E" w:rsidRDefault="000F014E" w:rsidP="000F014E">
      <w:pPr>
        <w:shd w:val="clear" w:color="auto" w:fill="FCFDFE"/>
        <w:spacing w:after="360" w:line="375" w:lineRule="atLeast"/>
        <w:jc w:val="both"/>
        <w:rPr>
          <w:rFonts w:ascii="Arial" w:eastAsia="Times New Roman" w:hAnsi="Arial" w:cs="Arial"/>
          <w:color w:val="000000"/>
          <w:sz w:val="21"/>
          <w:szCs w:val="21"/>
          <w:rtl/>
        </w:rPr>
      </w:pPr>
    </w:p>
    <w:p w:rsidR="000F014E" w:rsidRPr="000F014E" w:rsidRDefault="000F014E" w:rsidP="000F014E">
      <w:pPr>
        <w:shd w:val="clear" w:color="auto" w:fill="FCFDFE"/>
        <w:spacing w:after="360" w:line="375" w:lineRule="atLeast"/>
        <w:jc w:val="both"/>
        <w:rPr>
          <w:rFonts w:ascii="Arial" w:eastAsia="Times New Roman" w:hAnsi="Arial" w:cs="Arial" w:hint="cs"/>
          <w:color w:val="000000"/>
          <w:sz w:val="21"/>
          <w:szCs w:val="21"/>
          <w:rtl/>
        </w:rPr>
      </w:pPr>
      <w:bookmarkStart w:id="0" w:name="_GoBack"/>
      <w:bookmarkEnd w:id="0"/>
      <w:r w:rsidRPr="000F014E">
        <w:rPr>
          <w:rFonts w:ascii="Arial" w:eastAsia="Times New Roman" w:hAnsi="Arial" w:cs="Arial"/>
          <w:color w:val="000000"/>
          <w:sz w:val="21"/>
          <w:szCs w:val="21"/>
          <w:rtl/>
        </w:rPr>
        <w:t>א. בדיקת חמץ</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נפסק להלכה שיש לבדוק חמץ לאור הנר, שהרי "אור הנר יפה לבדיקה</w:t>
      </w:r>
      <w:r>
        <w:rPr>
          <w:rFonts w:ascii="Arial" w:eastAsia="Times New Roman" w:hAnsi="Arial" w:cs="Arial" w:hint="cs"/>
          <w:color w:val="000000"/>
          <w:sz w:val="21"/>
          <w:szCs w:val="21"/>
          <w:rtl/>
        </w:rPr>
        <w:t>" (</w:t>
      </w:r>
      <w:hyperlink r:id="rId5" w:tgtFrame="_blank" w:history="1">
        <w:r w:rsidRPr="000F014E">
          <w:rPr>
            <w:rFonts w:ascii="Arial" w:eastAsia="Times New Roman" w:hAnsi="Arial" w:cs="Arial"/>
            <w:color w:val="6A6A6A"/>
            <w:sz w:val="21"/>
            <w:szCs w:val="21"/>
            <w:u w:val="single"/>
            <w:rtl/>
          </w:rPr>
          <w:t>פסחים ח ע"א</w:t>
        </w:r>
      </w:hyperlink>
      <w:r>
        <w:rPr>
          <w:rFonts w:ascii="Arial" w:eastAsia="Times New Roman" w:hAnsi="Arial" w:cs="Arial"/>
          <w:color w:val="000000"/>
          <w:sz w:val="21"/>
          <w:szCs w:val="21"/>
        </w:rPr>
        <w:t>.(</w:t>
      </w:r>
      <w:r>
        <w:rPr>
          <w:rFonts w:ascii="Arial" w:eastAsia="Times New Roman" w:hAnsi="Arial" w:cs="Arial" w:hint="cs"/>
          <w:color w:val="000000"/>
          <w:sz w:val="21"/>
          <w:szCs w:val="21"/>
          <w:rtl/>
        </w:rPr>
        <w:t xml:space="preserve"> </w:t>
      </w:r>
      <w:r w:rsidRPr="000F014E">
        <w:rPr>
          <w:rFonts w:ascii="Arial" w:eastAsia="Times New Roman" w:hAnsi="Arial" w:cs="Arial"/>
          <w:color w:val="000000"/>
          <w:sz w:val="21"/>
          <w:szCs w:val="21"/>
          <w:rtl/>
        </w:rPr>
        <w:t>אין לבדוק חמץ באבוקה שכן אי-אפשר להכניסה לחורים ולסדקים, וכן האדם "מתיירא שלא יבעיר את הבית ואין לבו על הבדיקה" (רש"</w:t>
      </w:r>
      <w:r>
        <w:rPr>
          <w:rFonts w:ascii="Arial" w:eastAsia="Times New Roman" w:hAnsi="Arial" w:cs="Arial" w:hint="cs"/>
          <w:color w:val="000000"/>
          <w:sz w:val="21"/>
          <w:szCs w:val="21"/>
          <w:rtl/>
        </w:rPr>
        <w:t>י)</w:t>
      </w:r>
      <w:r w:rsidRPr="000F014E">
        <w:rPr>
          <w:rFonts w:ascii="Arial" w:eastAsia="Times New Roman" w:hAnsi="Arial" w:cs="Arial"/>
          <w:color w:val="000000"/>
          <w:sz w:val="21"/>
          <w:szCs w:val="21"/>
        </w:rPr>
        <w:t>.</w:t>
      </w:r>
    </w:p>
    <w:p w:rsidR="000F014E" w:rsidRPr="000F014E" w:rsidRDefault="000F014E" w:rsidP="000F014E">
      <w:pPr>
        <w:shd w:val="clear" w:color="auto" w:fill="FCFDFE"/>
        <w:spacing w:after="360" w:line="375" w:lineRule="atLeast"/>
        <w:jc w:val="both"/>
        <w:rPr>
          <w:rFonts w:ascii="Arial" w:eastAsia="Times New Roman" w:hAnsi="Arial" w:cs="Arial" w:hint="cs"/>
          <w:color w:val="000000"/>
          <w:sz w:val="21"/>
          <w:szCs w:val="21"/>
          <w:rtl/>
        </w:rPr>
      </w:pPr>
      <w:r w:rsidRPr="000F014E">
        <w:rPr>
          <w:rFonts w:ascii="Arial" w:eastAsia="Times New Roman" w:hAnsi="Arial" w:cs="Arial"/>
          <w:color w:val="000000"/>
          <w:sz w:val="21"/>
          <w:szCs w:val="21"/>
          <w:rtl/>
        </w:rPr>
        <w:t>ברור שכל הנימוקים האלו שייכים כיום גם בנר. יש מקומות רבים שקשה להכניס אליהם נר, רבים חוששים מטפטופי שעווה, ועוד יותר רבים חוששים להכניס נר לארונות (בפרט כשיש בהם בגדים או ניירות). לכן, כיום, ברור שבמקומות כאלה עדיף לבדוק בפנס חשמלי (הפועל על סוללות). ואמנם, הרב עובדיה יוסף פסק שמותר לבדוק בפנס כיס קטן, והוסיף: "וכן שמעתי בשם החזון-</w:t>
      </w:r>
      <w:proofErr w:type="spellStart"/>
      <w:r w:rsidRPr="000F014E">
        <w:rPr>
          <w:rFonts w:ascii="Arial" w:eastAsia="Times New Roman" w:hAnsi="Arial" w:cs="Arial"/>
          <w:color w:val="000000"/>
          <w:sz w:val="21"/>
          <w:szCs w:val="21"/>
          <w:rtl/>
        </w:rPr>
        <w:t>אי"ש</w:t>
      </w:r>
      <w:proofErr w:type="spellEnd"/>
      <w:r w:rsidRPr="000F014E">
        <w:rPr>
          <w:rFonts w:ascii="Arial" w:eastAsia="Times New Roman" w:hAnsi="Arial" w:cs="Arial"/>
          <w:color w:val="000000"/>
          <w:sz w:val="21"/>
          <w:szCs w:val="21"/>
          <w:rtl/>
        </w:rPr>
        <w:t>, שהורה לבדוק בנר חשמלי או פנס כיס</w:t>
      </w:r>
      <w:r w:rsidRPr="000F014E">
        <w:rPr>
          <w:rFonts w:ascii="Arial" w:eastAsia="Times New Roman" w:hAnsi="Arial" w:cs="Arial"/>
          <w:color w:val="000000"/>
          <w:sz w:val="21"/>
          <w:szCs w:val="21"/>
        </w:rPr>
        <w:t>".</w:t>
      </w:r>
    </w:p>
    <w:p w:rsidR="000F014E" w:rsidRDefault="000F014E" w:rsidP="000F014E">
      <w:pPr>
        <w:shd w:val="clear" w:color="auto" w:fill="FCFDFE"/>
        <w:spacing w:after="360" w:line="375" w:lineRule="atLeast"/>
        <w:jc w:val="both"/>
        <w:rPr>
          <w:rFonts w:ascii="Arial" w:eastAsia="Times New Roman" w:hAnsi="Arial" w:cs="Arial"/>
          <w:color w:val="000000"/>
          <w:sz w:val="21"/>
          <w:szCs w:val="21"/>
          <w:rtl/>
        </w:rPr>
      </w:pPr>
      <w:r w:rsidRPr="000F014E">
        <w:rPr>
          <w:rFonts w:ascii="Arial" w:eastAsia="Times New Roman" w:hAnsi="Arial" w:cs="Arial"/>
          <w:color w:val="000000"/>
          <w:sz w:val="21"/>
          <w:szCs w:val="21"/>
          <w:rtl/>
        </w:rPr>
        <w:t>אמנם, מצאנו בגמרא </w:t>
      </w:r>
      <w:r>
        <w:rPr>
          <w:rFonts w:ascii="Arial" w:eastAsia="Times New Roman" w:hAnsi="Arial" w:cs="Arial" w:hint="cs"/>
          <w:color w:val="000000"/>
          <w:sz w:val="21"/>
          <w:szCs w:val="21"/>
          <w:rtl/>
        </w:rPr>
        <w:t>(</w:t>
      </w:r>
      <w:hyperlink r:id="rId6" w:tgtFrame="_blank" w:history="1">
        <w:r w:rsidRPr="000F014E">
          <w:rPr>
            <w:rFonts w:ascii="Arial" w:eastAsia="Times New Roman" w:hAnsi="Arial" w:cs="Arial"/>
            <w:color w:val="6A6A6A"/>
            <w:sz w:val="21"/>
            <w:szCs w:val="21"/>
            <w:u w:val="single"/>
            <w:rtl/>
          </w:rPr>
          <w:t>פסחים ז ע"ב</w:t>
        </w:r>
      </w:hyperlink>
      <w:r>
        <w:rPr>
          <w:rFonts w:ascii="Arial" w:eastAsia="Times New Roman" w:hAnsi="Arial" w:cs="Arial" w:hint="cs"/>
          <w:color w:val="000000"/>
          <w:sz w:val="21"/>
          <w:szCs w:val="21"/>
          <w:rtl/>
        </w:rPr>
        <w:t xml:space="preserve">) </w:t>
      </w:r>
      <w:r w:rsidRPr="000F014E">
        <w:rPr>
          <w:rFonts w:ascii="Arial" w:eastAsia="Times New Roman" w:hAnsi="Arial" w:cs="Arial"/>
          <w:color w:val="000000"/>
          <w:sz w:val="21"/>
          <w:szCs w:val="21"/>
          <w:rtl/>
        </w:rPr>
        <w:t>שיש גם משמעות רעיונית חשובה לבדיקה בנר, ועל כן נכון להדליק נר לבדיקה, וגם לאחוז ביד פנס חשמלי להאיר בארונות ובחורים ובסדקים, שבהם הוא עדיף</w:t>
      </w:r>
      <w:r w:rsidRPr="000F014E">
        <w:rPr>
          <w:rFonts w:ascii="Arial" w:eastAsia="Times New Roman" w:hAnsi="Arial" w:cs="Arial"/>
          <w:color w:val="000000"/>
          <w:sz w:val="21"/>
          <w:szCs w:val="21"/>
        </w:rPr>
        <w:t>.</w:t>
      </w:r>
    </w:p>
    <w:p w:rsidR="000F014E" w:rsidRPr="000F014E" w:rsidRDefault="000F014E" w:rsidP="000F014E">
      <w:pPr>
        <w:shd w:val="clear" w:color="auto" w:fill="FCFDFE"/>
        <w:spacing w:after="360" w:line="375" w:lineRule="atLeast"/>
        <w:jc w:val="both"/>
        <w:rPr>
          <w:rFonts w:ascii="Arial" w:eastAsia="Times New Roman" w:hAnsi="Arial" w:cs="Arial" w:hint="cs"/>
          <w:color w:val="000000"/>
          <w:sz w:val="21"/>
          <w:szCs w:val="21"/>
          <w:rtl/>
        </w:rPr>
      </w:pP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ב. מכירת חמץ</w:t>
      </w:r>
      <w:r w:rsidRPr="000F014E">
        <w:rPr>
          <w:rFonts w:ascii="Arial" w:eastAsia="Times New Roman" w:hAnsi="Arial" w:cs="Arial"/>
          <w:color w:val="000000"/>
          <w:sz w:val="21"/>
          <w:szCs w:val="21"/>
        </w:rPr>
        <w:t> </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מכירת חמץ היא היתר דחוק שיש בו הערמה, ולא הידור מצווה שראוי לחזר אחריו. בחנויות ובמפעלי מזון אי-אפשר להתקיים בלא מכירת חמץ, אבל בבתים פרטיים - מי שאין לו מרתף משקאות שיש בהם חמץ, מדוע יתאמץ וימכור חמץ? מדוע לא יבטל ויבער, כדעת חז"ל</w:t>
      </w:r>
      <w:r w:rsidRPr="000F014E">
        <w:rPr>
          <w:rFonts w:ascii="Arial" w:eastAsia="Times New Roman" w:hAnsi="Arial" w:cs="Arial"/>
          <w:color w:val="000000"/>
          <w:sz w:val="21"/>
          <w:szCs w:val="21"/>
        </w:rPr>
        <w:t>? </w:t>
      </w:r>
    </w:p>
    <w:p w:rsidR="000F014E" w:rsidRDefault="000F014E" w:rsidP="000F014E">
      <w:pPr>
        <w:shd w:val="clear" w:color="auto" w:fill="FCFDFE"/>
        <w:spacing w:after="360" w:line="375" w:lineRule="atLeast"/>
        <w:jc w:val="both"/>
        <w:rPr>
          <w:rFonts w:ascii="Arial" w:eastAsia="Times New Roman" w:hAnsi="Arial" w:cs="Arial"/>
          <w:color w:val="000000"/>
          <w:sz w:val="21"/>
          <w:szCs w:val="21"/>
          <w:rtl/>
        </w:rPr>
      </w:pPr>
      <w:r w:rsidRPr="000F014E">
        <w:rPr>
          <w:rFonts w:ascii="Arial" w:eastAsia="Times New Roman" w:hAnsi="Arial" w:cs="Arial"/>
          <w:color w:val="000000"/>
          <w:sz w:val="21"/>
          <w:szCs w:val="21"/>
          <w:rtl/>
        </w:rPr>
        <w:t>לפיכך, מי שיכול לכלות החמץ מביתו - הרי זה משובח! המניע היחיד למכירת החמץ הוא עצלות לבדוק מה מכילות האריזות הרבות מספור, או אלו תרופות כלולות ברשימה (הרוב!). חמץ הפסול מאכילת כלב אין צריך למכור, וחמץ שבלוע בכלים לא צריך ואי-אפשר למכור. ובפרט, כבר קבעו חז"ל שביטול מועיל ביחס לפירורים ומוצרי חמץ שלא נמצאו</w:t>
      </w:r>
      <w:r w:rsidRPr="000F014E">
        <w:rPr>
          <w:rFonts w:ascii="Arial" w:eastAsia="Times New Roman" w:hAnsi="Arial" w:cs="Arial"/>
          <w:color w:val="000000"/>
          <w:sz w:val="21"/>
          <w:szCs w:val="21"/>
        </w:rPr>
        <w:t>.</w:t>
      </w:r>
    </w:p>
    <w:p w:rsidR="000F014E" w:rsidRPr="000F014E" w:rsidRDefault="000F014E" w:rsidP="000F014E">
      <w:pPr>
        <w:shd w:val="clear" w:color="auto" w:fill="FCFDFE"/>
        <w:spacing w:after="360" w:line="375" w:lineRule="atLeast"/>
        <w:jc w:val="both"/>
        <w:rPr>
          <w:rFonts w:ascii="Arial" w:eastAsia="Times New Roman" w:hAnsi="Arial" w:cs="Arial" w:hint="cs"/>
          <w:color w:val="000000"/>
          <w:sz w:val="21"/>
          <w:szCs w:val="21"/>
          <w:rtl/>
        </w:rPr>
      </w:pP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lastRenderedPageBreak/>
        <w:t>ג. קטניות</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בכל שנה נשמעים בשאלת קטניות דברים ומחמירים, ורבו המזלזלים בהלכה מפני המנהג האשכנזי לאסור כל סוג של קטניות בפסח</w:t>
      </w:r>
      <w:r w:rsidRPr="000F014E">
        <w:rPr>
          <w:rFonts w:ascii="Arial" w:eastAsia="Times New Roman" w:hAnsi="Arial" w:cs="Arial"/>
          <w:color w:val="000000"/>
          <w:sz w:val="21"/>
          <w:szCs w:val="21"/>
        </w:rPr>
        <w:t>. </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מקורו של המנהג, כמובא בסמ"ק ובמרדכי, בשיטה (הדחויה מההלכה) של רבי יוחנן בן-</w:t>
      </w:r>
      <w:proofErr w:type="spellStart"/>
      <w:r w:rsidRPr="000F014E">
        <w:rPr>
          <w:rFonts w:ascii="Arial" w:eastAsia="Times New Roman" w:hAnsi="Arial" w:cs="Arial"/>
          <w:color w:val="000000"/>
          <w:sz w:val="21"/>
          <w:szCs w:val="21"/>
          <w:rtl/>
        </w:rPr>
        <w:t>נורי</w:t>
      </w:r>
      <w:proofErr w:type="spellEnd"/>
      <w:r w:rsidRPr="000F014E">
        <w:rPr>
          <w:rFonts w:ascii="Arial" w:eastAsia="Times New Roman" w:hAnsi="Arial" w:cs="Arial"/>
          <w:color w:val="000000"/>
          <w:sz w:val="21"/>
          <w:szCs w:val="21"/>
          <w:rtl/>
        </w:rPr>
        <w:t>, שגם אורז ודוחן נחשבים לחמץ בפסח </w:t>
      </w:r>
      <w:r>
        <w:rPr>
          <w:rFonts w:ascii="Arial" w:eastAsia="Times New Roman" w:hAnsi="Arial" w:cs="Arial"/>
          <w:color w:val="000000"/>
          <w:sz w:val="21"/>
          <w:szCs w:val="21"/>
        </w:rPr>
        <w:t>)</w:t>
      </w:r>
      <w:r w:rsidRPr="000F014E">
        <w:rPr>
          <w:rFonts w:ascii="Arial" w:eastAsia="Times New Roman" w:hAnsi="Arial" w:cs="Arial"/>
          <w:color w:val="6A6A6A"/>
          <w:sz w:val="21"/>
          <w:szCs w:val="21"/>
          <w:u w:val="single"/>
          <w:rtl/>
        </w:rPr>
        <w:t>פסחים לה ע"א</w:t>
      </w:r>
      <w:r w:rsidRPr="000F014E">
        <w:rPr>
          <w:rFonts w:ascii="Arial" w:eastAsia="Times New Roman" w:hAnsi="Arial" w:cs="Arial"/>
          <w:color w:val="000000"/>
          <w:sz w:val="21"/>
          <w:szCs w:val="21"/>
        </w:rPr>
        <w:t xml:space="preserve"> </w:t>
      </w:r>
      <w:r>
        <w:rPr>
          <w:rFonts w:ascii="Arial" w:eastAsia="Times New Roman" w:hAnsi="Arial" w:cs="Arial"/>
          <w:color w:val="000000"/>
          <w:sz w:val="21"/>
          <w:szCs w:val="21"/>
        </w:rPr>
        <w:t>.(</w:t>
      </w:r>
      <w:r w:rsidRPr="000F014E">
        <w:rPr>
          <w:rFonts w:ascii="Arial" w:eastAsia="Times New Roman" w:hAnsi="Arial" w:cs="Arial"/>
          <w:color w:val="000000"/>
          <w:sz w:val="21"/>
          <w:szCs w:val="21"/>
          <w:rtl/>
        </w:rPr>
        <w:t xml:space="preserve">ברור לחלוטין מסוגיות התלמוד ששיטה זו נדחתה מההלכה. גדולי האמוראים שבבבל - רב </w:t>
      </w:r>
      <w:proofErr w:type="spellStart"/>
      <w:r w:rsidRPr="000F014E">
        <w:rPr>
          <w:rFonts w:ascii="Arial" w:eastAsia="Times New Roman" w:hAnsi="Arial" w:cs="Arial"/>
          <w:color w:val="000000"/>
          <w:sz w:val="21"/>
          <w:szCs w:val="21"/>
          <w:rtl/>
        </w:rPr>
        <w:t>הונא</w:t>
      </w:r>
      <w:proofErr w:type="spellEnd"/>
      <w:r w:rsidRPr="000F014E">
        <w:rPr>
          <w:rFonts w:ascii="Arial" w:eastAsia="Times New Roman" w:hAnsi="Arial" w:cs="Arial"/>
          <w:color w:val="000000"/>
          <w:sz w:val="21"/>
          <w:szCs w:val="21"/>
          <w:rtl/>
        </w:rPr>
        <w:t xml:space="preserve"> ורבא - היו מהדרים לאכול אורז בליל הסדר, וכך נפסק ברמב"ם </w:t>
      </w:r>
      <w:proofErr w:type="spellStart"/>
      <w:r w:rsidRPr="000F014E">
        <w:rPr>
          <w:rFonts w:ascii="Arial" w:eastAsia="Times New Roman" w:hAnsi="Arial" w:cs="Arial"/>
          <w:color w:val="000000"/>
          <w:sz w:val="21"/>
          <w:szCs w:val="21"/>
          <w:rtl/>
        </w:rPr>
        <w:t>ובשו"ע</w:t>
      </w:r>
      <w:proofErr w:type="spellEnd"/>
      <w:r w:rsidRPr="000F014E">
        <w:rPr>
          <w:rFonts w:ascii="Arial" w:eastAsia="Times New Roman" w:hAnsi="Arial" w:cs="Arial"/>
          <w:color w:val="000000"/>
          <w:sz w:val="21"/>
          <w:szCs w:val="21"/>
          <w:rtl/>
        </w:rPr>
        <w:t xml:space="preserve">. בימינו אנו יודעים שרק הגלוטן, המצוי בחמשת מיני הדגן אך לא באורז ובקטניות, יכול להביא לידי </w:t>
      </w:r>
      <w:proofErr w:type="spellStart"/>
      <w:r w:rsidRPr="000F014E">
        <w:rPr>
          <w:rFonts w:ascii="Arial" w:eastAsia="Times New Roman" w:hAnsi="Arial" w:cs="Arial"/>
          <w:color w:val="000000"/>
          <w:sz w:val="21"/>
          <w:szCs w:val="21"/>
          <w:rtl/>
        </w:rPr>
        <w:t>חימוץ</w:t>
      </w:r>
      <w:proofErr w:type="spellEnd"/>
      <w:r w:rsidRPr="000F014E">
        <w:rPr>
          <w:rFonts w:ascii="Arial" w:eastAsia="Times New Roman" w:hAnsi="Arial" w:cs="Arial"/>
          <w:color w:val="000000"/>
          <w:sz w:val="21"/>
          <w:szCs w:val="21"/>
        </w:rPr>
        <w:t>. </w:t>
      </w:r>
    </w:p>
    <w:p w:rsidR="000F014E" w:rsidRPr="000F014E" w:rsidRDefault="000F014E" w:rsidP="000F014E">
      <w:pPr>
        <w:shd w:val="clear" w:color="auto" w:fill="FCFDFE"/>
        <w:spacing w:after="360" w:line="375" w:lineRule="atLeast"/>
        <w:jc w:val="both"/>
        <w:rPr>
          <w:rFonts w:ascii="Arial" w:eastAsia="Times New Roman" w:hAnsi="Arial" w:cs="Arial" w:hint="cs"/>
          <w:color w:val="000000"/>
          <w:sz w:val="21"/>
          <w:szCs w:val="21"/>
          <w:rtl/>
        </w:rPr>
      </w:pPr>
      <w:r w:rsidRPr="000F014E">
        <w:rPr>
          <w:rFonts w:ascii="Arial" w:eastAsia="Times New Roman" w:hAnsi="Arial" w:cs="Arial"/>
          <w:color w:val="000000"/>
          <w:sz w:val="21"/>
          <w:szCs w:val="21"/>
          <w:rtl/>
        </w:rPr>
        <w:t xml:space="preserve">גדולי חכמי אשכנז שקיימו את המנהג לאסור קטניות בפסח, ובראשם </w:t>
      </w:r>
      <w:proofErr w:type="spellStart"/>
      <w:r w:rsidRPr="000F014E">
        <w:rPr>
          <w:rFonts w:ascii="Arial" w:eastAsia="Times New Roman" w:hAnsi="Arial" w:cs="Arial"/>
          <w:color w:val="000000"/>
          <w:sz w:val="21"/>
          <w:szCs w:val="21"/>
          <w:rtl/>
        </w:rPr>
        <w:t>הסמ"ק</w:t>
      </w:r>
      <w:proofErr w:type="spellEnd"/>
      <w:r w:rsidRPr="000F014E">
        <w:rPr>
          <w:rFonts w:ascii="Arial" w:eastAsia="Times New Roman" w:hAnsi="Arial" w:cs="Arial"/>
          <w:color w:val="000000"/>
          <w:sz w:val="21"/>
          <w:szCs w:val="21"/>
          <w:rtl/>
        </w:rPr>
        <w:t xml:space="preserve"> </w:t>
      </w:r>
      <w:proofErr w:type="spellStart"/>
      <w:r w:rsidRPr="000F014E">
        <w:rPr>
          <w:rFonts w:ascii="Arial" w:eastAsia="Times New Roman" w:hAnsi="Arial" w:cs="Arial"/>
          <w:color w:val="000000"/>
          <w:sz w:val="21"/>
          <w:szCs w:val="21"/>
          <w:rtl/>
        </w:rPr>
        <w:t>והמרדכי</w:t>
      </w:r>
      <w:proofErr w:type="spellEnd"/>
      <w:r w:rsidRPr="000F014E">
        <w:rPr>
          <w:rFonts w:ascii="Arial" w:eastAsia="Times New Roman" w:hAnsi="Arial" w:cs="Arial"/>
          <w:color w:val="000000"/>
          <w:sz w:val="21"/>
          <w:szCs w:val="21"/>
          <w:rtl/>
        </w:rPr>
        <w:t xml:space="preserve">, הסבירו שנוהגים כך שמא האדם יחליף בטעות קטניות בדגנים. בטור מובא נימוק מפורסם יותר למנהג - שמא </w:t>
      </w:r>
      <w:proofErr w:type="spellStart"/>
      <w:r w:rsidRPr="000F014E">
        <w:rPr>
          <w:rFonts w:ascii="Arial" w:eastAsia="Times New Roman" w:hAnsi="Arial" w:cs="Arial"/>
          <w:color w:val="000000"/>
          <w:sz w:val="21"/>
          <w:szCs w:val="21"/>
          <w:rtl/>
        </w:rPr>
        <w:t>נתערבו</w:t>
      </w:r>
      <w:proofErr w:type="spellEnd"/>
      <w:r w:rsidRPr="000F014E">
        <w:rPr>
          <w:rFonts w:ascii="Arial" w:eastAsia="Times New Roman" w:hAnsi="Arial" w:cs="Arial"/>
          <w:color w:val="000000"/>
          <w:sz w:val="21"/>
          <w:szCs w:val="21"/>
          <w:rtl/>
        </w:rPr>
        <w:t xml:space="preserve"> גרעיני חיטה באורז או בקטניות - אולם זהו נימוק משני לנימוק העיקרי</w:t>
      </w:r>
      <w:r w:rsidRPr="000F014E">
        <w:rPr>
          <w:rFonts w:ascii="Arial" w:eastAsia="Times New Roman" w:hAnsi="Arial" w:cs="Arial"/>
          <w:color w:val="000000"/>
          <w:sz w:val="21"/>
          <w:szCs w:val="21"/>
        </w:rPr>
        <w:t>.</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 xml:space="preserve">לכן, מצבנו כיום הוא חסר היגיון הלכתי. השוק מוצף והבתים מלאים בתחליפי דגן העשויים מקמח מצות ומקמח תפוחי אדמה, ואשכנזים שמדקדקים בכל חומרה אוכלים לתיאבון עוגות ושאר מוצרים הדומים לדגן (ובהכשרים הטובים ביותר). גזירת קטניות במקורה נועדה למנוע בדיוק מכשולים מן הסוג הזה, של שני מוצרים באריזה דומה שאחד כשר לפסח והשני חמץ גמור, ובמקום לאסור זאת - אוסרים כל מוצר שיש בו חשש תערובת שמן סויה. קמח המצות וקמח תפוחי האדמה כבר ערערו את גזירת הקטניות </w:t>
      </w:r>
      <w:proofErr w:type="spellStart"/>
      <w:r w:rsidRPr="000F014E">
        <w:rPr>
          <w:rFonts w:ascii="Arial" w:eastAsia="Times New Roman" w:hAnsi="Arial" w:cs="Arial"/>
          <w:color w:val="000000"/>
          <w:sz w:val="21"/>
          <w:szCs w:val="21"/>
          <w:rtl/>
        </w:rPr>
        <w:t>האמיתית</w:t>
      </w:r>
      <w:proofErr w:type="spellEnd"/>
      <w:r w:rsidRPr="000F014E">
        <w:rPr>
          <w:rFonts w:ascii="Arial" w:eastAsia="Times New Roman" w:hAnsi="Arial" w:cs="Arial"/>
          <w:color w:val="000000"/>
          <w:sz w:val="21"/>
          <w:szCs w:val="21"/>
          <w:rtl/>
        </w:rPr>
        <w:t xml:space="preserve"> של </w:t>
      </w:r>
      <w:proofErr w:type="spellStart"/>
      <w:r w:rsidRPr="000F014E">
        <w:rPr>
          <w:rFonts w:ascii="Arial" w:eastAsia="Times New Roman" w:hAnsi="Arial" w:cs="Arial"/>
          <w:color w:val="000000"/>
          <w:sz w:val="21"/>
          <w:szCs w:val="21"/>
          <w:rtl/>
        </w:rPr>
        <w:t>הסמ"ק</w:t>
      </w:r>
      <w:proofErr w:type="spellEnd"/>
      <w:r w:rsidRPr="000F014E">
        <w:rPr>
          <w:rFonts w:ascii="Arial" w:eastAsia="Times New Roman" w:hAnsi="Arial" w:cs="Arial"/>
          <w:color w:val="000000"/>
          <w:sz w:val="21"/>
          <w:szCs w:val="21"/>
          <w:rtl/>
        </w:rPr>
        <w:t xml:space="preserve"> </w:t>
      </w:r>
      <w:proofErr w:type="spellStart"/>
      <w:r w:rsidRPr="000F014E">
        <w:rPr>
          <w:rFonts w:ascii="Arial" w:eastAsia="Times New Roman" w:hAnsi="Arial" w:cs="Arial"/>
          <w:color w:val="000000"/>
          <w:sz w:val="21"/>
          <w:szCs w:val="21"/>
          <w:rtl/>
        </w:rPr>
        <w:t>והמרדכי</w:t>
      </w:r>
      <w:proofErr w:type="spellEnd"/>
      <w:r w:rsidRPr="000F014E">
        <w:rPr>
          <w:rFonts w:ascii="Arial" w:eastAsia="Times New Roman" w:hAnsi="Arial" w:cs="Arial"/>
          <w:color w:val="000000"/>
          <w:sz w:val="21"/>
          <w:szCs w:val="21"/>
          <w:rtl/>
        </w:rPr>
        <w:t>, ומה שנותר הוא אותו מנהג טעות, שרואה במיני קטניות עצמם חשש חמץ. מי שרוצה לקיים באמת את גזירת הקטניות חייב לאסור את כל הדומה לחמץ, בלי לשאול מאיזה קמח הוא נאפה: דגני בוקר, עוגות, ופלים, ביסקוויטים, מצות עשירות, וכמובן - כל מה שדומה לפת. וכך אני נוהג, להחמיר על עצמי כגזירת הקדמונים. להתיר את כל הדומה לחמץ ולהחמיר בכל מוצר שאולי בא מספק תערובת קטניות, זהו כיוון משונה הגורם לזלזול בהלכה, וחומרות כאלה מולידות קולות ופריצת גדרים</w:t>
      </w:r>
      <w:r w:rsidRPr="000F014E">
        <w:rPr>
          <w:rFonts w:ascii="Arial" w:eastAsia="Times New Roman" w:hAnsi="Arial" w:cs="Arial"/>
          <w:color w:val="000000"/>
          <w:sz w:val="21"/>
          <w:szCs w:val="21"/>
        </w:rPr>
        <w:t>. </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tl/>
        </w:rPr>
        <w:t xml:space="preserve">עוד נוסיף ששמן קטניות לא היה כלול מלכתחילה בגזירת הקדמונים. </w:t>
      </w:r>
      <w:proofErr w:type="spellStart"/>
      <w:r w:rsidRPr="000F014E">
        <w:rPr>
          <w:rFonts w:ascii="Arial" w:eastAsia="Times New Roman" w:hAnsi="Arial" w:cs="Arial"/>
          <w:color w:val="000000"/>
          <w:sz w:val="21"/>
          <w:szCs w:val="21"/>
          <w:rtl/>
        </w:rPr>
        <w:t>הרמ"א</w:t>
      </w:r>
      <w:proofErr w:type="spellEnd"/>
      <w:r w:rsidRPr="000F014E">
        <w:rPr>
          <w:rFonts w:ascii="Arial" w:eastAsia="Times New Roman" w:hAnsi="Arial" w:cs="Arial"/>
          <w:color w:val="000000"/>
          <w:sz w:val="21"/>
          <w:szCs w:val="21"/>
          <w:rtl/>
        </w:rPr>
        <w:t xml:space="preserve"> (בעקבות תרומת הדשן) התיר רק ליהנות ממנו בהדלקה, אך כמה פוסקים גדולים התירו שמן. </w:t>
      </w:r>
      <w:proofErr w:type="spellStart"/>
      <w:r w:rsidRPr="000F014E">
        <w:rPr>
          <w:rFonts w:ascii="Arial" w:eastAsia="Times New Roman" w:hAnsi="Arial" w:cs="Arial"/>
          <w:color w:val="000000"/>
          <w:sz w:val="21"/>
          <w:szCs w:val="21"/>
          <w:rtl/>
        </w:rPr>
        <w:t>הראי"ה</w:t>
      </w:r>
      <w:proofErr w:type="spellEnd"/>
      <w:r w:rsidRPr="000F014E">
        <w:rPr>
          <w:rFonts w:ascii="Arial" w:eastAsia="Times New Roman" w:hAnsi="Arial" w:cs="Arial"/>
          <w:color w:val="000000"/>
          <w:sz w:val="21"/>
          <w:szCs w:val="21"/>
          <w:rtl/>
        </w:rPr>
        <w:t xml:space="preserve"> קוק התיר שמן קטניות לכתחילה, ואף יצא נגד אלו שמוסיפים איסורים ללא יסוד. לכן, כל המבין בהלכה ובמנהגי אשכנז יכול להשתמש בשמן קטניות ללא כל חשש</w:t>
      </w:r>
      <w:r w:rsidRPr="000F014E">
        <w:rPr>
          <w:rFonts w:ascii="Arial" w:eastAsia="Times New Roman" w:hAnsi="Arial" w:cs="Arial"/>
          <w:color w:val="000000"/>
          <w:sz w:val="21"/>
          <w:szCs w:val="21"/>
        </w:rPr>
        <w:t>.</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color w:val="000000"/>
          <w:sz w:val="21"/>
          <w:szCs w:val="21"/>
        </w:rPr>
        <w:t> </w:t>
      </w:r>
    </w:p>
    <w:p w:rsidR="000F014E" w:rsidRPr="000F014E" w:rsidRDefault="000F014E" w:rsidP="000F014E">
      <w:pPr>
        <w:shd w:val="clear" w:color="auto" w:fill="FCFDFE"/>
        <w:spacing w:after="360" w:line="375" w:lineRule="atLeast"/>
        <w:jc w:val="both"/>
        <w:rPr>
          <w:rFonts w:ascii="Arial" w:eastAsia="Times New Roman" w:hAnsi="Arial" w:cs="Arial"/>
          <w:color w:val="000000"/>
          <w:sz w:val="21"/>
          <w:szCs w:val="21"/>
        </w:rPr>
      </w:pPr>
      <w:r w:rsidRPr="000F014E">
        <w:rPr>
          <w:rFonts w:ascii="Arial" w:eastAsia="Times New Roman" w:hAnsi="Arial" w:cs="Arial"/>
          <w:b/>
          <w:bCs/>
          <w:color w:val="000000"/>
          <w:sz w:val="21"/>
          <w:szCs w:val="21"/>
          <w:rtl/>
        </w:rPr>
        <w:t>סדרת התקליטורים "שירת התורה", מאת הרב יואל בן-נון, מכילה דברי תורה רבים על כל פרשה בספר בראשית. להזמנות: מכללת הרצוג להכשרת מורים, טל' 02-9937333</w:t>
      </w:r>
      <w:r w:rsidRPr="000F014E">
        <w:rPr>
          <w:rFonts w:ascii="Arial" w:eastAsia="Times New Roman" w:hAnsi="Arial" w:cs="Arial"/>
          <w:b/>
          <w:bCs/>
          <w:color w:val="000000"/>
          <w:sz w:val="21"/>
          <w:szCs w:val="21"/>
        </w:rPr>
        <w:t>.</w:t>
      </w:r>
    </w:p>
    <w:p w:rsidR="00B20359" w:rsidRPr="000F014E" w:rsidRDefault="00B20359" w:rsidP="000F014E"/>
    <w:sectPr w:rsidR="00B20359" w:rsidRPr="000F014E" w:rsidSect="00503F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74958"/>
    <w:multiLevelType w:val="multilevel"/>
    <w:tmpl w:val="1196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E"/>
    <w:rsid w:val="000F014E"/>
    <w:rsid w:val="00503F0B"/>
    <w:rsid w:val="00B203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2C6A"/>
  <w15:chartTrackingRefBased/>
  <w15:docId w15:val="{F370BFFA-FA49-4F6C-9D27-63158374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0F01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F014E"/>
    <w:rPr>
      <w:rFonts w:ascii="Times New Roman" w:eastAsia="Times New Roman" w:hAnsi="Times New Roman" w:cs="Times New Roman"/>
      <w:b/>
      <w:bCs/>
      <w:kern w:val="36"/>
      <w:sz w:val="48"/>
      <w:szCs w:val="48"/>
    </w:rPr>
  </w:style>
  <w:style w:type="paragraph" w:customStyle="1" w:styleId="h1">
    <w:name w:val="h1"/>
    <w:basedOn w:val="a"/>
    <w:rsid w:val="000F01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0F01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0F01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0F01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F014E"/>
    <w:rPr>
      <w:color w:val="0000FF"/>
      <w:u w:val="single"/>
    </w:rPr>
  </w:style>
  <w:style w:type="character" w:styleId="a3">
    <w:name w:val="Strong"/>
    <w:basedOn w:val="a0"/>
    <w:uiPriority w:val="22"/>
    <w:qFormat/>
    <w:rsid w:val="000F0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84934">
      <w:bodyDiv w:val="1"/>
      <w:marLeft w:val="0"/>
      <w:marRight w:val="0"/>
      <w:marTop w:val="0"/>
      <w:marBottom w:val="0"/>
      <w:divBdr>
        <w:top w:val="none" w:sz="0" w:space="0" w:color="auto"/>
        <w:left w:val="none" w:sz="0" w:space="0" w:color="auto"/>
        <w:bottom w:val="none" w:sz="0" w:space="0" w:color="auto"/>
        <w:right w:val="none" w:sz="0" w:space="0" w:color="auto"/>
      </w:divBdr>
      <w:divsChild>
        <w:div w:id="1334727255">
          <w:marLeft w:val="0"/>
          <w:marRight w:val="0"/>
          <w:marTop w:val="0"/>
          <w:marBottom w:val="0"/>
          <w:divBdr>
            <w:top w:val="none" w:sz="0" w:space="0" w:color="auto"/>
            <w:left w:val="none" w:sz="0" w:space="0" w:color="auto"/>
            <w:bottom w:val="none" w:sz="0" w:space="0" w:color="auto"/>
            <w:right w:val="none" w:sz="0" w:space="0" w:color="auto"/>
          </w:divBdr>
          <w:divsChild>
            <w:div w:id="1971784715">
              <w:marLeft w:val="0"/>
              <w:marRight w:val="0"/>
              <w:marTop w:val="0"/>
              <w:marBottom w:val="0"/>
              <w:divBdr>
                <w:top w:val="none" w:sz="0" w:space="0" w:color="auto"/>
                <w:left w:val="none" w:sz="0" w:space="0" w:color="auto"/>
                <w:bottom w:val="none" w:sz="0" w:space="0" w:color="auto"/>
                <w:right w:val="none" w:sz="0" w:space="0" w:color="auto"/>
              </w:divBdr>
            </w:div>
            <w:div w:id="372000992">
              <w:marLeft w:val="0"/>
              <w:marRight w:val="0"/>
              <w:marTop w:val="150"/>
              <w:marBottom w:val="0"/>
              <w:divBdr>
                <w:top w:val="none" w:sz="0" w:space="0" w:color="auto"/>
                <w:left w:val="none" w:sz="0" w:space="0" w:color="auto"/>
                <w:bottom w:val="none" w:sz="0" w:space="0" w:color="auto"/>
                <w:right w:val="none" w:sz="0" w:space="0" w:color="auto"/>
              </w:divBdr>
              <w:divsChild>
                <w:div w:id="1643347097">
                  <w:marLeft w:val="0"/>
                  <w:marRight w:val="0"/>
                  <w:marTop w:val="0"/>
                  <w:marBottom w:val="0"/>
                  <w:divBdr>
                    <w:top w:val="none" w:sz="0" w:space="0" w:color="auto"/>
                    <w:left w:val="none" w:sz="0" w:space="0" w:color="auto"/>
                    <w:bottom w:val="none" w:sz="0" w:space="0" w:color="auto"/>
                    <w:right w:val="none" w:sz="0" w:space="0" w:color="auto"/>
                  </w:divBdr>
                  <w:divsChild>
                    <w:div w:id="3729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faria.org/Pesachim.7b?lang=he&amp;utm_source=etzion.org.il&amp;utm_medium=sefaria_linker" TargetMode="External"/><Relationship Id="rId5" Type="http://schemas.openxmlformats.org/officeDocument/2006/relationships/hyperlink" Target="https://www.sefaria.org/Pesachim.8a?lang=he&amp;utm_source=etzion.org.il&amp;utm_medium=sefaria_linker"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3088</Characters>
  <Application>Microsoft Office Word</Application>
  <DocSecurity>0</DocSecurity>
  <Lines>25</Lines>
  <Paragraphs>7</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
      <vt:lpstr>פסח - מהלכות פסח - התורה והחיים</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2021-03-21T10:47:00Z</dcterms:created>
  <dcterms:modified xsi:type="dcterms:W3CDTF">2021-03-21T10:52:00Z</dcterms:modified>
</cp:coreProperties>
</file>