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2829" w14:textId="031BBD9E" w:rsidR="006B0BD4" w:rsidRDefault="006B0BD4" w:rsidP="006B0BD4">
      <w:pPr>
        <w:shd w:val="clear" w:color="auto" w:fill="FCFDFE"/>
        <w:spacing w:after="0" w:line="240" w:lineRule="auto"/>
        <w:jc w:val="center"/>
        <w:outlineLvl w:val="0"/>
        <w:rPr>
          <w:rFonts w:ascii="Arial" w:eastAsia="Times New Roman" w:hAnsi="Arial" w:cs="Arial"/>
          <w:i/>
          <w:iCs/>
          <w:caps/>
          <w:color w:val="000000"/>
          <w:kern w:val="36"/>
          <w:sz w:val="48"/>
          <w:szCs w:val="48"/>
        </w:rPr>
      </w:pPr>
      <w:r w:rsidRPr="006B0BD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Love and Hate That are Not Baseless</w:t>
      </w:r>
    </w:p>
    <w:p w14:paraId="5A460C58" w14:textId="77777777" w:rsidR="006B0BD4" w:rsidRDefault="006B0BD4" w:rsidP="006B0BD4">
      <w:pPr>
        <w:shd w:val="clear" w:color="auto" w:fill="FCFDFE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</w:p>
    <w:p w14:paraId="34E1F7D9" w14:textId="63DDCBD9" w:rsidR="006B0BD4" w:rsidRPr="006B0BD4" w:rsidRDefault="006B0BD4" w:rsidP="006B0BD4">
      <w:pPr>
        <w:shd w:val="clear" w:color="auto" w:fill="FCFDFE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Based on 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sicha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by </w:t>
      </w:r>
      <w:proofErr w:type="spellStart"/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HaRav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Aharon</w:t>
      </w:r>
      <w:proofErr w:type="spellEnd"/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Lichtenstein</w:t>
      </w:r>
    </w:p>
    <w:p w14:paraId="5BEE0537" w14:textId="77777777" w:rsidR="006B0BD4" w:rsidRPr="006B0BD4" w:rsidRDefault="006B0BD4" w:rsidP="006B0BD4">
      <w:pPr>
        <w:shd w:val="clear" w:color="auto" w:fill="FCFDFE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t xml:space="preserve">Adapted by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Lavi</w:t>
      </w:r>
      <w:proofErr w:type="spellEnd"/>
      <w:r w:rsidRPr="006B0B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Bigman</w:t>
      </w:r>
      <w:proofErr w:type="spellEnd"/>
    </w:p>
    <w:p w14:paraId="554AF076" w14:textId="77777777" w:rsidR="006B0BD4" w:rsidRPr="006B0BD4" w:rsidRDefault="006B0BD4" w:rsidP="006B0BD4">
      <w:pPr>
        <w:shd w:val="clear" w:color="auto" w:fill="FCFDFE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t>Translated by David Strauss</w:t>
      </w:r>
    </w:p>
    <w:p w14:paraId="2E62A386" w14:textId="77777777" w:rsidR="006B0BD4" w:rsidRDefault="006B0BD4" w:rsidP="006B0BD4">
      <w:pPr>
        <w:shd w:val="clear" w:color="auto" w:fill="FCFDFE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928090C" w14:textId="77777777" w:rsidR="006B0BD4" w:rsidRDefault="006B0BD4" w:rsidP="006B0BD4">
      <w:pPr>
        <w:shd w:val="clear" w:color="auto" w:fill="FCFDFE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405CC63" w14:textId="77777777" w:rsidR="006B0BD4" w:rsidRPr="006B0BD4" w:rsidRDefault="006B0BD4" w:rsidP="006B0BD4">
      <w:pPr>
        <w:shd w:val="clear" w:color="auto" w:fill="FCFDFE"/>
        <w:spacing w:after="0" w:line="240" w:lineRule="auto"/>
        <w:jc w:val="both"/>
        <w:outlineLvl w:val="2"/>
        <w:rPr>
          <w:rFonts w:ascii="Arial" w:eastAsia="Times New Roman" w:hAnsi="Arial" w:cs="Arial"/>
          <w:caps/>
          <w:color w:val="000000"/>
          <w:sz w:val="27"/>
          <w:szCs w:val="27"/>
        </w:rPr>
      </w:pPr>
      <w:r w:rsidRPr="006B0BD4">
        <w:rPr>
          <w:rFonts w:ascii="Arial" w:eastAsia="Times New Roman" w:hAnsi="Arial" w:cs="Arial"/>
          <w:caps/>
          <w:color w:val="000000"/>
          <w:sz w:val="24"/>
          <w:szCs w:val="24"/>
        </w:rPr>
        <w:t>EVERYTHING IS BASED ON INTERESTS</w:t>
      </w:r>
    </w:p>
    <w:p w14:paraId="2FEFE222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02A5FE0" w14:textId="7E1D919C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Gemara</w:t>
      </w:r>
      <w:proofErr w:type="spellEnd"/>
      <w:r w:rsidRPr="006B0BD4">
        <w:rPr>
          <w:rFonts w:ascii="Arial" w:eastAsia="Times New Roman" w:hAnsi="Arial" w:cs="Arial"/>
          <w:color w:val="000000"/>
          <w:sz w:val="24"/>
          <w:szCs w:val="24"/>
        </w:rPr>
        <w:t xml:space="preserve"> in tractate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" w:tgtFrame="_blank" w:history="1">
        <w:proofErr w:type="spellStart"/>
        <w:r w:rsidRPr="006B0BD4">
          <w:rPr>
            <w:rFonts w:ascii="Arial" w:eastAsia="Times New Roman" w:hAnsi="Arial" w:cs="Arial"/>
            <w:i/>
            <w:iCs/>
            <w:color w:val="6A6A6A"/>
            <w:sz w:val="24"/>
            <w:szCs w:val="24"/>
            <w:u w:val="single"/>
          </w:rPr>
          <w:t>Megilla</w:t>
        </w:r>
        <w:proofErr w:type="spellEnd"/>
      </w:hyperlink>
      <w:hyperlink r:id="rId6" w:tgtFrame="_blank" w:history="1">
        <w:r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 xml:space="preserve"> </w:t>
        </w:r>
        <w:r w:rsidRPr="006B0BD4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(26b)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discusses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various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situations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sanctity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synagogue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expire.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After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Gemara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deals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sale,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asks:</w:t>
      </w:r>
    </w:p>
    <w:p w14:paraId="20C304DA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A2CFAC9" w14:textId="29D578BD" w:rsidR="006B0BD4" w:rsidRPr="006B0BD4" w:rsidRDefault="006B0BD4" w:rsidP="006B0BD4">
      <w:pPr>
        <w:shd w:val="clear" w:color="auto" w:fill="FCFDFE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t>[With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regard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synagogue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made]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gift,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Rav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Acha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Ravina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disagree: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forbids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[it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secular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purposes],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permits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this.</w:t>
      </w:r>
    </w:p>
    <w:p w14:paraId="749DD225" w14:textId="77777777" w:rsidR="006B0BD4" w:rsidRDefault="006B0BD4" w:rsidP="006B0BD4">
      <w:pPr>
        <w:shd w:val="clear" w:color="auto" w:fill="FCFDFE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8082BB4" w14:textId="28FEB5A6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simple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explanation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disagreement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might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suggested: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question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whether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sanctity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synagogue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expires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congregation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receives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something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exchange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synagogue,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whether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disowning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synagogue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suffices.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continuation,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Gemara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explains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various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arguments:</w:t>
      </w:r>
    </w:p>
    <w:p w14:paraId="6593C30F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254D624" w14:textId="0F196F4A" w:rsidR="006B0BD4" w:rsidRPr="006B0BD4" w:rsidRDefault="006B0BD4" w:rsidP="006B0BD4">
      <w:pPr>
        <w:shd w:val="clear" w:color="auto" w:fill="FCFDFE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forbade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ground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nothing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through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sanctity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transferred,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while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permitted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argued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[the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giver]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did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derive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some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benefit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give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it,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gift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equivalent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sale.</w:t>
      </w:r>
    </w:p>
    <w:p w14:paraId="70AF0CC2" w14:textId="77777777" w:rsidR="006B0BD4" w:rsidRDefault="006B0BD4" w:rsidP="006B0BD4">
      <w:pPr>
        <w:shd w:val="clear" w:color="auto" w:fill="FCFDFE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390B839" w14:textId="001F683C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Gemara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assumes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people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distribute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gifts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freely;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expect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receive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benefit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return.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you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like,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cynical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view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human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nature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everything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based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interests.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idea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manifestly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pessimistic,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therefore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anybody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driven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schools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thought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paint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rosy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picture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human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soul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disappointed;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Gemara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alternative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view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adopts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positive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outlook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regarding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soul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man.</w:t>
      </w:r>
    </w:p>
    <w:p w14:paraId="0689676A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6A88D0B" w14:textId="3A8A526C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tractate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7" w:tgtFrame="_blank" w:history="1">
        <w:proofErr w:type="spellStart"/>
        <w:r w:rsidRPr="006B0BD4">
          <w:rPr>
            <w:rFonts w:ascii="Arial" w:eastAsia="Times New Roman" w:hAnsi="Arial" w:cs="Arial"/>
            <w:i/>
            <w:iCs/>
            <w:color w:val="6A6A6A"/>
            <w:sz w:val="24"/>
            <w:szCs w:val="24"/>
            <w:u w:val="single"/>
          </w:rPr>
          <w:t>Gittin</w:t>
        </w:r>
        <w:proofErr w:type="spellEnd"/>
        <w:r>
          <w:rPr>
            <w:rFonts w:ascii="Arial" w:eastAsia="Times New Roman" w:hAnsi="Arial" w:cs="Arial"/>
            <w:i/>
            <w:iCs/>
            <w:color w:val="6A6A6A"/>
            <w:sz w:val="24"/>
            <w:szCs w:val="24"/>
            <w:u w:val="single"/>
          </w:rPr>
          <w:t xml:space="preserve"> </w:t>
        </w:r>
      </w:hyperlink>
      <w:hyperlink r:id="rId8" w:tgtFrame="_blank" w:history="1">
        <w:r w:rsidRPr="006B0BD4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(50b)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well,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encounter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identical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arguments,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though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relate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different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law.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discussion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relates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Mishna’s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ruling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“payment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cannot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recovered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mortgaged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property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assets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available.”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borrower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assets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another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party,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owns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assets,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lender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cannot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recover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debt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mortgaged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property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hands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buyer.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continuation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Gemara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asks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about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assets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given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away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gift,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rather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sold,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wording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very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similar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found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tractate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Megilla</w:t>
      </w:r>
      <w:proofErr w:type="spellEnd"/>
      <w:r w:rsidRPr="006B0BD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60510793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BB09802" w14:textId="221E8524" w:rsidR="006B0BD4" w:rsidRPr="006B0BD4" w:rsidRDefault="006B0BD4" w:rsidP="006B0BD4">
      <w:pPr>
        <w:shd w:val="clear" w:color="auto" w:fill="FCFDFE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lastRenderedPageBreak/>
        <w:t>…Or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gift,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did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derive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some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benefit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it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given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him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gift,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therefore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loss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footing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loss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buyer.</w:t>
      </w:r>
    </w:p>
    <w:p w14:paraId="1F9C89D7" w14:textId="77777777" w:rsidR="006B0BD4" w:rsidRDefault="006B0BD4" w:rsidP="006B0BD4">
      <w:pPr>
        <w:shd w:val="clear" w:color="auto" w:fill="FCFDFE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9CB6AD" w14:textId="0178C49D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Gemara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understands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gift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operates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Gemara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Megilla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understood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gift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stem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solely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goodness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giver’s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heart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self-interest.</w:t>
      </w:r>
    </w:p>
    <w:p w14:paraId="5360C51C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36963E0" w14:textId="0FCAAFDE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cited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passages?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intention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Gittin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Megilla</w:t>
      </w:r>
      <w:proofErr w:type="spellEnd"/>
      <w:r w:rsidRPr="006B0BD4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laws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synagogue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collection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debt.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understand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Gemara’s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hidden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message.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Gemara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poses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following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question: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possible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speak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gift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given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absolutely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freely?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passages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Chazal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examine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man’s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inner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world,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assessing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extent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considerations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idealistic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economic.</w:t>
      </w:r>
    </w:p>
    <w:p w14:paraId="4276B25E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2A1E397" w14:textId="57A7834F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During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Weeks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remember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shocking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terrifying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destruction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befell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people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Israel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thousand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years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ago.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confront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Chazal’s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assessment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causes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destruction.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Chazal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distinguished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between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circumstances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leading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destruction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First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Temple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associated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destruction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Second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Temple.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dreadful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accounts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First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Temple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period;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though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ups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downs,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overall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picture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very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gloomy.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problems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First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Temple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period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included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idolatry,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incest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bloodshed.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Anyone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doesn’t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understand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message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narrative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sections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books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Melakhim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Divrei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Ha-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yamim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open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books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Yeshaya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Yirmiya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full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picture.</w:t>
      </w:r>
    </w:p>
    <w:p w14:paraId="5EA588E7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E7FC3D5" w14:textId="119C4E61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Second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Temple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period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presents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sharply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different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picture: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institution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synagogue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begins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take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hold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alongside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Temple;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Torah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study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loyalty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Sages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Israel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rise.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ups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downs,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general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impression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during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period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people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clearly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committed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Torah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observance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mitzvot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Chazal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understood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order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explain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destruction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Second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Temple,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look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elsewhere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problems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differ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First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Temple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period.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known,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Chazal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turned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eyes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called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sin’at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chinam</w:t>
      </w:r>
      <w:proofErr w:type="spellEnd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“baseless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hatred.”</w:t>
      </w:r>
    </w:p>
    <w:p w14:paraId="0F81EE12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6392FEA" w14:textId="74DF5544" w:rsidR="006B0BD4" w:rsidRPr="006B0BD4" w:rsidRDefault="006B0BD4" w:rsidP="006B0BD4">
      <w:pPr>
        <w:shd w:val="clear" w:color="auto" w:fill="FCFDFE"/>
        <w:spacing w:after="0" w:line="240" w:lineRule="auto"/>
        <w:jc w:val="both"/>
        <w:outlineLvl w:val="2"/>
        <w:rPr>
          <w:rFonts w:ascii="Arial" w:eastAsia="Times New Roman" w:hAnsi="Arial" w:cs="Arial"/>
          <w:caps/>
          <w:color w:val="000000"/>
          <w:sz w:val="27"/>
          <w:szCs w:val="27"/>
        </w:rPr>
      </w:pPr>
      <w:r w:rsidRPr="006B0BD4">
        <w:rPr>
          <w:rFonts w:ascii="Arial" w:eastAsia="Times New Roman" w:hAnsi="Arial" w:cs="Arial"/>
          <w:caps/>
          <w:color w:val="000000"/>
          <w:sz w:val="24"/>
          <w:szCs w:val="24"/>
        </w:rPr>
        <w:t>GETTING</w:t>
      </w:r>
      <w:r>
        <w:rPr>
          <w:rFonts w:ascii="Arial" w:eastAsia="Times New Roman" w:hAnsi="Arial" w:cs="Arial"/>
          <w:cap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aps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ap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aps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ap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aps/>
          <w:color w:val="000000"/>
          <w:sz w:val="24"/>
          <w:szCs w:val="24"/>
        </w:rPr>
        <w:t>ROOT</w:t>
      </w:r>
      <w:r>
        <w:rPr>
          <w:rFonts w:ascii="Arial" w:eastAsia="Times New Roman" w:hAnsi="Arial" w:cs="Arial"/>
          <w:cap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aps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ap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aps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ap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aps/>
          <w:color w:val="000000"/>
          <w:sz w:val="24"/>
          <w:szCs w:val="24"/>
        </w:rPr>
        <w:t>PROBLEM</w:t>
      </w:r>
    </w:p>
    <w:p w14:paraId="0696EE73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0FC0141" w14:textId="724F9112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arise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several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questions: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Granted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baseless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undesirable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phenomenon,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severe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brought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about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destruction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Temple?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prohibition,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“You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your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brother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your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heart,”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violation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prohibition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serious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Temple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destroyed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account?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authority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Rabbeinu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Yona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negative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commandment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involve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severe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negative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commandment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involves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action!</w:t>
      </w:r>
    </w:p>
    <w:p w14:paraId="6746774F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3BF3EA" w14:textId="5E261F05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seems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important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point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kept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mind.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might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very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scale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transgressions,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baseless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stand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pyramid.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specific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prohibition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“baseless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hatred”;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prohibition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However,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list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composed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Geonim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recited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part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confession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Yom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Kippur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(“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Al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chet</w:t>
      </w:r>
      <w:proofErr w:type="spellEnd"/>
      <w:r w:rsidRPr="006B0BD4">
        <w:rPr>
          <w:rFonts w:ascii="Arial" w:eastAsia="Times New Roman" w:hAnsi="Arial" w:cs="Arial"/>
          <w:color w:val="000000"/>
          <w:sz w:val="24"/>
          <w:szCs w:val="24"/>
        </w:rPr>
        <w:t>”),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distinction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made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between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hatred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baseless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hatred.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difference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between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them?</w:t>
      </w:r>
    </w:p>
    <w:p w14:paraId="155C011F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E311C51" w14:textId="49800DFE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list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Al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chet</w:t>
      </w:r>
      <w:proofErr w:type="spellEnd"/>
      <w:r w:rsidRPr="006B0BD4">
        <w:rPr>
          <w:rFonts w:ascii="Arial" w:eastAsia="Times New Roman" w:hAnsi="Arial" w:cs="Arial"/>
          <w:color w:val="000000"/>
          <w:sz w:val="24"/>
          <w:szCs w:val="24"/>
        </w:rPr>
        <w:t>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confession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meant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comprehensive.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dealing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list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relates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sins,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sinner.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confession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focuses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upon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individual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collective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awareness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sinners.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enter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kinds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problematic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qualities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behaviors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necessarily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included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list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prohibitions;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found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necessarily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top.</w:t>
      </w:r>
    </w:p>
    <w:p w14:paraId="05A3B990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57AAA47" w14:textId="6D846556" w:rsidR="006B0BD4" w:rsidRPr="006B0BD4" w:rsidRDefault="006B0BD4" w:rsidP="006B0BD4">
      <w:pPr>
        <w:shd w:val="clear" w:color="auto" w:fill="FCFDFE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connection,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frequently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mentioned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words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Rambam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point:</w:t>
      </w:r>
    </w:p>
    <w:p w14:paraId="75127EBC" w14:textId="77777777" w:rsidR="006B0BD4" w:rsidRDefault="006B0BD4" w:rsidP="006B0BD4">
      <w:pPr>
        <w:shd w:val="clear" w:color="auto" w:fill="FCFDFE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101A78D" w14:textId="736ED260" w:rsidR="006B0BD4" w:rsidRPr="006B0BD4" w:rsidRDefault="006B0BD4" w:rsidP="006B0BD4">
      <w:pPr>
        <w:shd w:val="clear" w:color="auto" w:fill="FCFDFE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think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repentance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necessary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involve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such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promiscuity,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robbery,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theft.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Rather,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just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obligated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these,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similarly,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search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evil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character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traits.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anger,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envy,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frivolity,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pursuit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money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honor,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pursuit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gluttony,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like.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[of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above].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difficult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involve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deeds.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attached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these,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difficult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separate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himself….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begin"/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instrText xml:space="preserve"> HYPERLINK "https://www.sefaria.org/Mishneh_Torah,_Repentance.7.3?lang=he-en&amp;utm_source=torah.etzion.org.il&amp;utm_medium=sefaria_linker" \t "_blank" </w:instrTex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separate"/>
      </w:r>
      <w:r w:rsidRPr="006B0BD4">
        <w:rPr>
          <w:rFonts w:ascii="Arial" w:eastAsia="Times New Roman" w:hAnsi="Arial" w:cs="Arial"/>
          <w:i/>
          <w:iCs/>
          <w:color w:val="6A6A6A"/>
          <w:sz w:val="24"/>
          <w:szCs w:val="24"/>
          <w:u w:val="single"/>
        </w:rPr>
        <w:t>Hilkhot</w:t>
      </w:r>
      <w:proofErr w:type="spellEnd"/>
      <w:r>
        <w:rPr>
          <w:rFonts w:ascii="Arial" w:eastAsia="Times New Roman" w:hAnsi="Arial" w:cs="Arial"/>
          <w:i/>
          <w:iCs/>
          <w:color w:val="6A6A6A"/>
          <w:sz w:val="24"/>
          <w:szCs w:val="24"/>
          <w:u w:val="single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6A6A6A"/>
          <w:sz w:val="24"/>
          <w:szCs w:val="24"/>
          <w:u w:val="single"/>
        </w:rPr>
        <w:t>Teshuva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fldChar w:fldCharType="end"/>
      </w:r>
      <w:hyperlink r:id="rId9" w:tgtFrame="_blank" w:history="1">
        <w:r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 xml:space="preserve"> </w:t>
        </w:r>
        <w:r w:rsidRPr="006B0BD4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7:3</w:t>
        </w:r>
      </w:hyperlink>
      <w:r w:rsidRPr="006B0BD4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6194DFB1" w14:textId="77777777" w:rsidR="006B0BD4" w:rsidRDefault="006B0BD4" w:rsidP="006B0BD4">
      <w:pPr>
        <w:shd w:val="clear" w:color="auto" w:fill="FCFDFE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D20E6E8" w14:textId="22C386D4" w:rsidR="006B0BD4" w:rsidRPr="006B0BD4" w:rsidRDefault="006B0BD4" w:rsidP="006B0BD4">
      <w:pPr>
        <w:shd w:val="clear" w:color="auto" w:fill="FCFDFE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Rambam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writes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difficult,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referring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severity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prohibition,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rather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influence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person.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ourselves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place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baseless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answer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involves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violation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negative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commandment.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However,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transgression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severity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brought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Chazal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list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baseless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cause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destruction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Temple,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rather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impact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individual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upon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nation.</w:t>
      </w:r>
    </w:p>
    <w:p w14:paraId="27566AA2" w14:textId="77777777" w:rsidR="006B0BD4" w:rsidRDefault="006B0BD4" w:rsidP="006B0BD4">
      <w:pPr>
        <w:shd w:val="clear" w:color="auto" w:fill="FCFDFE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06E87D6" w14:textId="6DA0002C" w:rsidR="006B0BD4" w:rsidRPr="006B0BD4" w:rsidRDefault="006B0BD4" w:rsidP="006B0BD4">
      <w:pPr>
        <w:shd w:val="clear" w:color="auto" w:fill="FCFDFE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t>Why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simple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reason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brings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back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starting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point: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meant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baseless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wake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morning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decide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reason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can’t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stand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neighbors?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ulterior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motive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underlies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unwarranted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love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unwarranted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gifts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(as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talmudic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passages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cited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above),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reason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behind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unwarranted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hatred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really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such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baseless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merely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seems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baseless.</w:t>
      </w:r>
    </w:p>
    <w:p w14:paraId="3945A0D1" w14:textId="77777777" w:rsidR="006B0BD4" w:rsidRDefault="006B0BD4" w:rsidP="006B0BD4">
      <w:pPr>
        <w:shd w:val="clear" w:color="auto" w:fill="FCFDFE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91265A0" w14:textId="028BD9D5" w:rsidR="006B0BD4" w:rsidRPr="006B0BD4" w:rsidRDefault="006B0BD4" w:rsidP="006B0BD4">
      <w:pPr>
        <w:shd w:val="clear" w:color="auto" w:fill="FCFDFE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level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self-interest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reach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order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engage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“baseless”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because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lack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sensitivity,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because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disregard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general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human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ethics,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because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rejection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values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because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lastRenderedPageBreak/>
        <w:t>contempt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things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holding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fast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things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closest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heart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Temple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destroyed.</w:t>
      </w:r>
    </w:p>
    <w:p w14:paraId="3F375535" w14:textId="77777777" w:rsidR="006B0BD4" w:rsidRDefault="006B0BD4" w:rsidP="006B0BD4">
      <w:pPr>
        <w:shd w:val="clear" w:color="auto" w:fill="FCFDFE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1BAFD4D" w14:textId="6F2C2B96" w:rsidR="006B0BD4" w:rsidRPr="006B0BD4" w:rsidRDefault="006B0BD4" w:rsidP="006B0BD4">
      <w:pPr>
        <w:shd w:val="clear" w:color="auto" w:fill="FCFDFE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unpleasant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circumstances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breed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such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referred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“baseless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because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individual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understand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source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corruption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thrives.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Al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chet</w:t>
      </w:r>
      <w:proofErr w:type="spellEnd"/>
      <w:r w:rsidRPr="006B0BD4">
        <w:rPr>
          <w:rFonts w:ascii="Arial" w:eastAsia="Times New Roman" w:hAnsi="Arial" w:cs="Arial"/>
          <w:color w:val="000000"/>
          <w:sz w:val="24"/>
          <w:szCs w:val="24"/>
        </w:rPr>
        <w:t>,”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difficult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oneself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free.</w:t>
      </w:r>
    </w:p>
    <w:p w14:paraId="48CC9F94" w14:textId="77777777" w:rsidR="006B0BD4" w:rsidRDefault="006B0BD4" w:rsidP="006B0BD4">
      <w:pPr>
        <w:shd w:val="clear" w:color="auto" w:fill="FCFDFE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61B893" w14:textId="183D480A" w:rsidR="006B0BD4" w:rsidRPr="006B0BD4" w:rsidRDefault="006B0BD4" w:rsidP="006B0BD4">
      <w:pPr>
        <w:shd w:val="clear" w:color="auto" w:fill="FCFDFE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relates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happened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time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Chazal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ramifications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later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generations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well.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Mishna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states:</w:t>
      </w:r>
    </w:p>
    <w:p w14:paraId="6D12DBFC" w14:textId="77777777" w:rsidR="006B0BD4" w:rsidRDefault="006B0BD4" w:rsidP="006B0BD4">
      <w:pPr>
        <w:shd w:val="clear" w:color="auto" w:fill="FCFDFE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F838D34" w14:textId="2D0EEF55" w:rsidR="006B0BD4" w:rsidRPr="006B0BD4" w:rsidRDefault="006B0BD4" w:rsidP="006B0BD4">
      <w:pPr>
        <w:shd w:val="clear" w:color="auto" w:fill="FCFDFE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world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rests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foundations: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Torah,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Divine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service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practice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loving-kindness.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10" w:tgtFrame="_blank" w:history="1">
        <w:r w:rsidRPr="006B0BD4">
          <w:rPr>
            <w:rFonts w:ascii="Arial" w:eastAsia="Times New Roman" w:hAnsi="Arial" w:cs="Arial"/>
            <w:i/>
            <w:iCs/>
            <w:color w:val="6A6A6A"/>
            <w:sz w:val="24"/>
            <w:szCs w:val="24"/>
            <w:u w:val="single"/>
          </w:rPr>
          <w:t>Avot</w:t>
        </w:r>
      </w:hyperlink>
      <w:hyperlink r:id="rId11" w:tgtFrame="_blank" w:history="1">
        <w:r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 xml:space="preserve"> </w:t>
        </w:r>
        <w:r w:rsidRPr="006B0BD4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1:2</w:t>
        </w:r>
      </w:hyperlink>
      <w:r w:rsidRPr="006B0BD4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078E4FFB" w14:textId="77777777" w:rsidR="006B0BD4" w:rsidRDefault="006B0BD4" w:rsidP="006B0BD4">
      <w:pPr>
        <w:shd w:val="clear" w:color="auto" w:fill="FCFDFE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16C02BC" w14:textId="2D0E6EEA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foundations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upon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world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rests;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undermined,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world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collapses.</w:t>
      </w:r>
    </w:p>
    <w:p w14:paraId="799F065B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356B341" w14:textId="77777777" w:rsidR="006B0BD4" w:rsidRPr="006B0BD4" w:rsidRDefault="006B0BD4" w:rsidP="006B0BD4">
      <w:pPr>
        <w:shd w:val="clear" w:color="auto" w:fill="FCFDFE"/>
        <w:spacing w:after="0" w:line="240" w:lineRule="auto"/>
        <w:jc w:val="both"/>
        <w:outlineLvl w:val="2"/>
        <w:rPr>
          <w:rFonts w:ascii="Arial" w:eastAsia="Times New Roman" w:hAnsi="Arial" w:cs="Arial"/>
          <w:caps/>
          <w:color w:val="000000"/>
          <w:sz w:val="27"/>
          <w:szCs w:val="27"/>
        </w:rPr>
      </w:pPr>
      <w:r w:rsidRPr="006B0BD4">
        <w:rPr>
          <w:rFonts w:ascii="Arial" w:eastAsia="Times New Roman" w:hAnsi="Arial" w:cs="Arial"/>
          <w:caps/>
          <w:color w:val="000000"/>
          <w:sz w:val="24"/>
          <w:szCs w:val="24"/>
        </w:rPr>
        <w:t>INTROSPECTION</w:t>
      </w:r>
    </w:p>
    <w:p w14:paraId="64C3B769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27C5B73" w14:textId="41B4893A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learned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Rambam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beginning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Hilkhot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Ta’aniyot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fasting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merely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fulfillment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rabbinic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decree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mitzva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crying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God.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Torah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law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mitzva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sound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trumpets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event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any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distress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arises.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Rambam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emphasizes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part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repentance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introspection:</w:t>
      </w:r>
    </w:p>
    <w:p w14:paraId="436015C7" w14:textId="77777777" w:rsidR="006B0BD4" w:rsidRDefault="006B0BD4" w:rsidP="006B0BD4">
      <w:pPr>
        <w:shd w:val="clear" w:color="auto" w:fill="FCFDFE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A496AEE" w14:textId="56FF1DD3" w:rsidR="006B0BD4" w:rsidRPr="006B0BD4" w:rsidRDefault="006B0BD4" w:rsidP="006B0BD4">
      <w:pPr>
        <w:shd w:val="clear" w:color="auto" w:fill="FCFDFE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t>…This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practice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paths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repentance,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distress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arises,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people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[to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God]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sound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trumpets,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everyone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realize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[the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distressing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situation]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occurred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because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evil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conduct…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[realization]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cause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removal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distress.</w:t>
      </w:r>
    </w:p>
    <w:p w14:paraId="3D97EB8D" w14:textId="4C10EB11" w:rsidR="006B0BD4" w:rsidRPr="006B0BD4" w:rsidRDefault="006B0BD4" w:rsidP="006B0BD4">
      <w:pPr>
        <w:shd w:val="clear" w:color="auto" w:fill="FCFDFE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t>Conversely,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people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fail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[to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God]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sound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trumpets,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instead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happened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merely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natural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phenomenon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distress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merely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chance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occurrence,”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cruel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conception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things,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causes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remain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attached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wicked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deeds.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Thus,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time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distress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lead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further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distresses.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Hilkhot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Ta’aniyot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1:2-3)</w:t>
      </w:r>
    </w:p>
    <w:p w14:paraId="58305CF1" w14:textId="77777777" w:rsidR="006B0BD4" w:rsidRDefault="006B0BD4" w:rsidP="006B0BD4">
      <w:pPr>
        <w:shd w:val="clear" w:color="auto" w:fill="FCFDFE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19AD5D" w14:textId="19EC6859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Rambam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emphasizes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points: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First,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recognition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troubles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befall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due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immersion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sin;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second,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obligation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locate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failing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needs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correction.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Rambam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says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regarding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fixed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fasts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commemorating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events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past:</w:t>
      </w:r>
    </w:p>
    <w:p w14:paraId="526A67BC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DCE17D4" w14:textId="1E5933C0" w:rsidR="006B0BD4" w:rsidRPr="006B0BD4" w:rsidRDefault="006B0BD4" w:rsidP="006B0BD4">
      <w:pPr>
        <w:shd w:val="clear" w:color="auto" w:fill="FCFDFE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days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entire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Jewish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people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fast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because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calamities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occurred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arouse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[their]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hearts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initiate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[them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in]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paths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repentance.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serve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reminder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wicked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conduct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ancestors,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resembles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present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conduct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therefore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brought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calamities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upon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upon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us….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(ibid.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5:1)</w:t>
      </w:r>
    </w:p>
    <w:p w14:paraId="571A7D7F" w14:textId="77777777" w:rsidR="006B0BD4" w:rsidRDefault="006B0BD4" w:rsidP="006B0BD4">
      <w:pPr>
        <w:shd w:val="clear" w:color="auto" w:fill="FCFDFE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2DB55A1" w14:textId="64FE7DB1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fast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days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instituted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purpose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introspection.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examine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fast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day?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layers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examination.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First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foremost,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examination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deeds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serve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reminder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wicked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conduct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ancestors.”</w:t>
      </w:r>
    </w:p>
    <w:p w14:paraId="2E4D680D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8A13976" w14:textId="0FB0FCC5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second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layer,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introspection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soul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searching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certain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level,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introspection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relates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conduct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done,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introspection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involves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examination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deed,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doer,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soul.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Rambam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speaks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layer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passage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Hilkhot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Teshuva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cited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above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evil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character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traits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dull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soul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destroy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every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good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part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it.</w:t>
      </w:r>
    </w:p>
    <w:p w14:paraId="6A9D7850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EF81E81" w14:textId="130B1B3D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however,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third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layer.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addition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expression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negative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inclinations,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negative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qualities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themselves,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examine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roots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traits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actions.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made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possible?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baseless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come?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dealing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examination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contents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surface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levels,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comfortable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dealing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fundamental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examination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deepest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roots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one’s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soul.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soul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subterranean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layer,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whence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comes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drive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perversity.</w:t>
      </w:r>
    </w:p>
    <w:p w14:paraId="361D7ABE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3256FB8" w14:textId="1492BE69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point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certain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degree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based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Scriptural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verses.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Rambam,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introduction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chapter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Hilkhot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Ta’anit</w:t>
      </w:r>
      <w:proofErr w:type="spellEnd"/>
      <w:r w:rsidRPr="006B0BD4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derives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matter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verse: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confess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iniquity,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iniquity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fathers”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12" w:tgtFrame="_blank" w:history="1">
        <w:r w:rsidRPr="006B0BD4">
          <w:rPr>
            <w:rFonts w:ascii="Arial" w:eastAsia="Times New Roman" w:hAnsi="Arial" w:cs="Arial"/>
            <w:i/>
            <w:iCs/>
            <w:color w:val="6A6A6A"/>
            <w:sz w:val="24"/>
            <w:szCs w:val="24"/>
            <w:u w:val="single"/>
          </w:rPr>
          <w:t>Vayikra</w:t>
        </w:r>
        <w:r>
          <w:rPr>
            <w:rFonts w:ascii="Arial" w:eastAsia="Times New Roman" w:hAnsi="Arial" w:cs="Arial"/>
            <w:i/>
            <w:iCs/>
            <w:color w:val="6A6A6A"/>
            <w:sz w:val="24"/>
            <w:szCs w:val="24"/>
            <w:u w:val="single"/>
          </w:rPr>
          <w:t xml:space="preserve"> </w:t>
        </w:r>
      </w:hyperlink>
      <w:hyperlink r:id="rId13" w:tgtFrame="_blank" w:history="1">
        <w:r w:rsidRPr="006B0BD4">
          <w:rPr>
            <w:rFonts w:ascii="Arial" w:eastAsia="Times New Roman" w:hAnsi="Arial" w:cs="Arial"/>
            <w:color w:val="6A6A6A"/>
            <w:sz w:val="24"/>
            <w:szCs w:val="24"/>
            <w:u w:val="single"/>
          </w:rPr>
          <w:t>26:40</w:t>
        </w:r>
      </w:hyperlink>
      <w:r w:rsidRPr="006B0BD4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14:paraId="23FA9129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D33EA75" w14:textId="39550F45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verse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appears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rebuke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Parashat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Bechukotai</w:t>
      </w:r>
      <w:proofErr w:type="spellEnd"/>
      <w:r w:rsidRPr="006B0BD4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certain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difficulty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regarding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order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verses,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early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commentators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already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struggled.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first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says: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confess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iniquity,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iniquity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fathers,”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indicates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repentance;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immediately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afterwards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says: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walk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contrary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enemies”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(v.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41),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afterwards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repentance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part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people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Israel: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“Then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uncircumcised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hearts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humbled”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(v.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41),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hoped-for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salvation.</w:t>
      </w:r>
    </w:p>
    <w:p w14:paraId="5E9F85F8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03CC9BF" w14:textId="2677EFA6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answer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seems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clear.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Israel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indeed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begin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confess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owing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distress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suffering,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confessors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reached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outer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layer.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confessed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about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actions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grew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uncircumcised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heart,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about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heart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itself;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uncircumcised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heart.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purification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process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clearly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completed,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therefore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still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“walks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contrary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them,”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uncircumcised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heart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humbled.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qualities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humbled;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repair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soul,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rather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merely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repair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deeds.</w:t>
      </w:r>
    </w:p>
    <w:p w14:paraId="28E35E27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316C3F9" w14:textId="27E75CE1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cannot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achieve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repair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repairing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deeds,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deeds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repaired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achieving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repair.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possible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repair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without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repairing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soul.</w:t>
      </w:r>
    </w:p>
    <w:p w14:paraId="359FB697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77785DD" w14:textId="0C07FFD3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verse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unclear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make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amends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their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sin.”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dealing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atonement?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seems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far-fetched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understand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dealing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third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layer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man’s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self-examination: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locating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treating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roots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pinnacle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repair.</w:t>
      </w:r>
    </w:p>
    <w:p w14:paraId="4B2C9014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67FB58C" w14:textId="1E19BD48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apply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conclusions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own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circumstances,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examine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ourselves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respect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principles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upon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world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individual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collective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stand: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Torah,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Divine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service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practice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loving-kindness.</w:t>
      </w:r>
    </w:p>
    <w:p w14:paraId="07A02536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E870F75" w14:textId="23323FC4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comes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Yeshiva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order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build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himself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realms.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wishes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grow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Torah,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service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practice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loving-kindness.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constantly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engage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introspection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progressing,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difficulties.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finds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failing,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himself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extent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examining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external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cause,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inner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layer,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root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problem.</w:t>
      </w:r>
    </w:p>
    <w:p w14:paraId="25C04935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71AFF27" w14:textId="3DA3CC5B" w:rsidR="006B0BD4" w:rsidRPr="006B0BD4" w:rsidRDefault="006B0BD4" w:rsidP="006B0BD4">
      <w:pPr>
        <w:shd w:val="clear" w:color="auto" w:fill="FCFDFE"/>
        <w:spacing w:after="0" w:line="240" w:lineRule="auto"/>
        <w:jc w:val="both"/>
        <w:outlineLvl w:val="2"/>
        <w:rPr>
          <w:rFonts w:ascii="Arial" w:eastAsia="Times New Roman" w:hAnsi="Arial" w:cs="Arial"/>
          <w:caps/>
          <w:color w:val="000000"/>
          <w:sz w:val="27"/>
          <w:szCs w:val="27"/>
        </w:rPr>
      </w:pPr>
      <w:r w:rsidRPr="006B0BD4">
        <w:rPr>
          <w:rFonts w:ascii="Arial" w:eastAsia="Times New Roman" w:hAnsi="Arial" w:cs="Arial"/>
          <w:caps/>
          <w:color w:val="000000"/>
          <w:sz w:val="24"/>
          <w:szCs w:val="24"/>
        </w:rPr>
        <w:t>REPENTANCE</w:t>
      </w:r>
      <w:r>
        <w:rPr>
          <w:rFonts w:ascii="Arial" w:eastAsia="Times New Roman" w:hAnsi="Arial" w:cs="Arial"/>
          <w:cap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aps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ap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aps/>
          <w:color w:val="000000"/>
          <w:sz w:val="24"/>
          <w:szCs w:val="24"/>
        </w:rPr>
        <w:t>OBLIGATION,</w:t>
      </w:r>
      <w:r>
        <w:rPr>
          <w:rFonts w:ascii="Arial" w:eastAsia="Times New Roman" w:hAnsi="Arial" w:cs="Arial"/>
          <w:cap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aps/>
          <w:color w:val="000000"/>
          <w:sz w:val="24"/>
          <w:szCs w:val="24"/>
        </w:rPr>
        <w:t>MITZVA</w:t>
      </w:r>
      <w:r w:rsidRPr="006B0BD4">
        <w:rPr>
          <w:rFonts w:ascii="Arial" w:eastAsia="Times New Roman" w:hAnsi="Arial" w:cs="Arial"/>
          <w:caps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ap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aps/>
          <w:color w:val="000000"/>
          <w:sz w:val="24"/>
          <w:szCs w:val="24"/>
        </w:rPr>
        <w:t>OPPORTUNITY</w:t>
      </w:r>
    </w:p>
    <w:p w14:paraId="5CC53FC2" w14:textId="77777777" w:rsidR="006B0BD4" w:rsidRDefault="006B0BD4" w:rsidP="006B0BD4">
      <w:pPr>
        <w:shd w:val="clear" w:color="auto" w:fill="FCFDFE"/>
        <w:spacing w:after="0" w:line="240" w:lineRule="auto"/>
        <w:jc w:val="both"/>
        <w:outlineLvl w:val="2"/>
        <w:rPr>
          <w:rFonts w:ascii="Arial" w:eastAsia="Times New Roman" w:hAnsi="Arial" w:cs="Arial"/>
          <w:caps/>
          <w:color w:val="000000"/>
          <w:sz w:val="24"/>
          <w:szCs w:val="24"/>
        </w:rPr>
      </w:pPr>
    </w:p>
    <w:p w14:paraId="057D7BAB" w14:textId="17A83784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Many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leave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room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introspection.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always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ourselves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question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arises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proper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understanding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concept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baseless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hatred: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happened,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also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root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problem.</w:t>
      </w:r>
    </w:p>
    <w:p w14:paraId="162BD696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0FB8D24" w14:textId="12A21CCD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Yeshiva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student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finds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prayer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dry,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falls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category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“fixed”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prayer,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prayer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recited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rote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certainly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something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seek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atonement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repair.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fundamental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question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prayer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appears,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why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appear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way.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beit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midrash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yet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prayer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dry?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possible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answer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world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prayer;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possible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answer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lies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entirety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soul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weakness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prayer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might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expression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weakness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Torah.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Dryness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recognizes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borders.</w:t>
      </w:r>
    </w:p>
    <w:p w14:paraId="2AD3FB8E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A1470B4" w14:textId="0F092BF1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asks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himself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regarding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acts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loving-kindness,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might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practices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kindness,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“drags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feet.”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Perhaps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lacks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human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sensitivity.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perhaps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exerts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himself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good,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still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something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missing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personality.</w:t>
      </w:r>
    </w:p>
    <w:p w14:paraId="21663FDE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ED28BB1" w14:textId="528B8654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somebody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thinks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Yeshiva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grow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Torah,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things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simple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easy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problem.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encounters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difficulties,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point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various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factors: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problem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chavruta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shiur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like.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himself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well: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root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problem?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broke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those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crises?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Perhaps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roots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provide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lastRenderedPageBreak/>
        <w:t>sufficiently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strong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foundations.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learning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defective,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problem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learning;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might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stem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from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lack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love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Torah.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missing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basic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sense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connection,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itself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spiritual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catastrophe;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also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practical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ramifications,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influences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entire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spiritual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world.</w:t>
      </w:r>
    </w:p>
    <w:p w14:paraId="6AACF3D9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4E54F6C" w14:textId="0DDCD03B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stand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today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threshold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Tisha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be-Av.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such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time,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expected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conduct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fundamental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reckoning,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such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manner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understand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problems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located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us.</w:t>
      </w:r>
    </w:p>
    <w:p w14:paraId="0813C19F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5D4B327" w14:textId="56D272BB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someone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studying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Yeshiva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year,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learning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should,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something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going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problem.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obligation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repentance,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mitzva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repentance,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opportunity.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Perhaps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first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root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treated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root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opportunity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exploitation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neglect: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extent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merited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beit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midrash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exhaust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opportunities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available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him,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extent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does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allow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pass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by?</w:t>
      </w:r>
    </w:p>
    <w:p w14:paraId="78F7B8EA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9B8329" w14:textId="75A69CA1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have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given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great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privilege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bnei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Torah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privilege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can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determine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person’s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role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people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Israel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humanity.</w:t>
      </w:r>
    </w:p>
    <w:p w14:paraId="527DE623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212424" w14:textId="42D8393E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Let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hope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color w:val="000000"/>
          <w:sz w:val="24"/>
          <w:szCs w:val="24"/>
        </w:rPr>
        <w:t>Gemara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sought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but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find: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baseless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b/>
          <w:bCs/>
          <w:color w:val="000000"/>
          <w:sz w:val="24"/>
          <w:szCs w:val="24"/>
        </w:rPr>
        <w:t>love.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order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find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next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time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examine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ourselves,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begin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cultivate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already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today.</w:t>
      </w:r>
    </w:p>
    <w:p w14:paraId="42F2B3BE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A473FE6" w14:textId="21D9A8A9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Your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should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merit,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period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trouble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for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Israel,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rise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up,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grow,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aspire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increasingly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more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be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counted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among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God’s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servants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with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entails.</w:t>
      </w:r>
    </w:p>
    <w:p w14:paraId="73E6507E" w14:textId="77777777" w:rsid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409D047" w14:textId="31E7DE69" w:rsidR="006B0BD4" w:rsidRPr="006B0BD4" w:rsidRDefault="006B0BD4" w:rsidP="006B0BD4">
      <w:pPr>
        <w:shd w:val="clear" w:color="auto" w:fill="FCFDFE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B0BD4">
        <w:rPr>
          <w:rFonts w:ascii="Arial" w:eastAsia="Times New Roman" w:hAnsi="Arial" w:cs="Arial"/>
          <w:color w:val="000000"/>
          <w:sz w:val="24"/>
          <w:szCs w:val="24"/>
        </w:rPr>
        <w:t>(This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B0BD4">
        <w:rPr>
          <w:rFonts w:ascii="Arial" w:eastAsia="Times New Roman" w:hAnsi="Arial" w:cs="Arial"/>
          <w:i/>
          <w:iCs/>
          <w:color w:val="000000"/>
          <w:sz w:val="24"/>
          <w:szCs w:val="24"/>
        </w:rPr>
        <w:t>sicha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was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delivered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17</w:t>
      </w:r>
      <w:r w:rsidRPr="006B0BD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Tamuz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5768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0BD4">
        <w:rPr>
          <w:rFonts w:ascii="Arial" w:eastAsia="Times New Roman" w:hAnsi="Arial" w:cs="Arial"/>
          <w:color w:val="000000"/>
          <w:sz w:val="24"/>
          <w:szCs w:val="24"/>
        </w:rPr>
        <w:t>[2008].)</w:t>
      </w:r>
    </w:p>
    <w:p w14:paraId="6ED25A66" w14:textId="77777777" w:rsidR="00EB2FCF" w:rsidRDefault="00EB2FCF"/>
    <w:sectPr w:rsidR="00EB2F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13FA"/>
    <w:multiLevelType w:val="multilevel"/>
    <w:tmpl w:val="044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D4"/>
    <w:rsid w:val="006B0BD4"/>
    <w:rsid w:val="00E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FF759"/>
  <w15:chartTrackingRefBased/>
  <w15:docId w15:val="{1A7903B3-F6B6-4987-9101-8D1B553D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0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B0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B0BD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ield-item">
    <w:name w:val="field-item"/>
    <w:basedOn w:val="Normal"/>
    <w:rsid w:val="006B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faria-ref-wrapper">
    <w:name w:val="sefaria-ref-wrapper"/>
    <w:basedOn w:val="DefaultParagraphFont"/>
    <w:rsid w:val="006B0BD4"/>
  </w:style>
  <w:style w:type="character" w:styleId="Hyperlink">
    <w:name w:val="Hyperlink"/>
    <w:basedOn w:val="DefaultParagraphFont"/>
    <w:uiPriority w:val="99"/>
    <w:semiHidden/>
    <w:unhideWhenUsed/>
    <w:rsid w:val="006B0BD4"/>
    <w:rPr>
      <w:color w:val="0000FF"/>
      <w:u w:val="single"/>
    </w:rPr>
  </w:style>
  <w:style w:type="paragraph" w:styleId="BlockText">
    <w:name w:val="Block Text"/>
    <w:basedOn w:val="Normal"/>
    <w:uiPriority w:val="99"/>
    <w:semiHidden/>
    <w:unhideWhenUsed/>
    <w:rsid w:val="006B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18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faria.org/Gittin.50b?lang=he-en&amp;utm_source=torah.etzion.org.il&amp;utm_medium=sefaria_linker" TargetMode="External"/><Relationship Id="rId13" Type="http://schemas.openxmlformats.org/officeDocument/2006/relationships/hyperlink" Target="https://www.sefaria.org/Leviticus.26.40?lang=he-en&amp;utm_source=torah.etzion.org.il&amp;utm_medium=sefaria_link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faria.org/Gittin.50b?lang=he-en&amp;utm_source=torah.etzion.org.il&amp;utm_medium=sefaria_linker" TargetMode="External"/><Relationship Id="rId12" Type="http://schemas.openxmlformats.org/officeDocument/2006/relationships/hyperlink" Target="https://www.sefaria.org/Leviticus.26.40?lang=he-en&amp;utm_source=torah.etzion.org.il&amp;utm_medium=sefaria_link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faria.org/Megillah.26b?lang=he-en&amp;utm_source=torah.etzion.org.il&amp;utm_medium=sefaria_linker" TargetMode="External"/><Relationship Id="rId11" Type="http://schemas.openxmlformats.org/officeDocument/2006/relationships/hyperlink" Target="https://www.sefaria.org/Pirkei_Avot.1.2?lang=he-en&amp;utm_source=torah.etzion.org.il&amp;utm_medium=sefaria_linker" TargetMode="External"/><Relationship Id="rId5" Type="http://schemas.openxmlformats.org/officeDocument/2006/relationships/hyperlink" Target="https://www.sefaria.org/Megillah.26b?lang=he-en&amp;utm_source=torah.etzion.org.il&amp;utm_medium=sefaria_link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efaria.org/Pirkei_Avot.1.2?lang=he-en&amp;utm_source=torah.etzion.org.il&amp;utm_medium=sefaria_link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faria.org/Mishneh_Torah,_Repentance.7.3?lang=he-en&amp;utm_source=torah.etzion.org.il&amp;utm_medium=sefaria_link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2847</Words>
  <Characters>16229</Characters>
  <Application>Microsoft Office Word</Application>
  <DocSecurity>0</DocSecurity>
  <Lines>135</Lines>
  <Paragraphs>38</Paragraphs>
  <ScaleCrop>false</ScaleCrop>
  <Company/>
  <LinksUpToDate>false</LinksUpToDate>
  <CharactersWithSpaces>19038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2023-04-19T16:51:00Z</dcterms:created>
  <dcterms:modified xsi:type="dcterms:W3CDTF">2023-04-19T16:56:00Z</dcterms:modified>
</cp:coreProperties>
</file>