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1506" w14:textId="6F594A96" w:rsidR="00414B93" w:rsidRPr="00414B93" w:rsidRDefault="00414B93" w:rsidP="00414B93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Weep?</w:t>
      </w:r>
    </w:p>
    <w:p w14:paraId="54A8C95F" w14:textId="77777777" w:rsidR="00414B93" w:rsidRDefault="00414B93" w:rsidP="00414B93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A7B0A8D" w14:textId="11DD759B" w:rsidR="00414B93" w:rsidRPr="00414B93" w:rsidRDefault="00414B93" w:rsidP="00414B93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sicha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Harav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Aharon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Lichtenstein</w:t>
      </w:r>
    </w:p>
    <w:p w14:paraId="77F56783" w14:textId="77777777" w:rsidR="00414B93" w:rsidRDefault="00414B93" w:rsidP="00414B93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A5E0CB2" w14:textId="68598991" w:rsidR="00414B93" w:rsidRPr="00414B93" w:rsidRDefault="00414B93" w:rsidP="00414B93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Adapted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Tomer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Mevorach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Reuven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Ziegler</w:t>
      </w:r>
    </w:p>
    <w:p w14:paraId="1519F7C9" w14:textId="27CF385E" w:rsidR="00414B93" w:rsidRPr="00414B93" w:rsidRDefault="00414B93" w:rsidP="00414B93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Translated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Kaeren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Fish</w:t>
      </w:r>
    </w:p>
    <w:p w14:paraId="1C91133D" w14:textId="77777777" w:rsid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9BCE60" w14:textId="77777777" w:rsid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9F69B4" w14:textId="5D3E056F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well-known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" w:tgtFrame="_blank" w:history="1">
        <w:proofErr w:type="spellStart"/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Berakhot</w:t>
        </w:r>
        <w:proofErr w:type="spellEnd"/>
      </w:hyperlink>
      <w:hyperlink r:id="rId5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(28b)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relates:</w:t>
      </w:r>
    </w:p>
    <w:p w14:paraId="6848E9BA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C99BDB" w14:textId="0BABC06D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ill,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disciples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visit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began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weep.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disciples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“Light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right-hand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pillar,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mighty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hammer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weep?”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mortal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king…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kings,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blessed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moreover,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paths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Eden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Gehinnom,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weep?”</w:t>
      </w:r>
    </w:p>
    <w:p w14:paraId="476D22B5" w14:textId="6801BB30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teacher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us!”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[God’s]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mortals.”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disciples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all!?”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transgresses,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‘May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me.’”</w:t>
      </w:r>
    </w:p>
    <w:p w14:paraId="503B6EE5" w14:textId="77777777" w:rsid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F59DE01" w14:textId="62CED307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after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lengthy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response,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remains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open.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giant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history,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influenced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generations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imagine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Gehinnom?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experiences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deep-seated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arising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“right-hand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pillar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powerful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hammer.”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specifically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“light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confronts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terrible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great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mortals.</w:t>
      </w:r>
    </w:p>
    <w:p w14:paraId="131A175E" w14:textId="77777777" w:rsidR="00414B93" w:rsidRDefault="00414B93" w:rsidP="00414B93">
      <w:pPr>
        <w:shd w:val="clear" w:color="auto" w:fill="FCFDFE"/>
        <w:bidi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4A1CB2C5" w14:textId="57F82994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number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commentators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suggest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disturbed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refer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account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tgtFrame="_blank" w:history="1">
        <w:proofErr w:type="spellStart"/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Gittin</w:t>
        </w:r>
        <w:proofErr w:type="spellEnd"/>
      </w:hyperlink>
      <w:hyperlink r:id="rId7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(56a-b)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siege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tangible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danger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hung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over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divided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situation.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confidence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military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strength,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wanted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against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Empire.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combined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realistic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religious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outlook,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partial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salvation.</w:t>
      </w:r>
    </w:p>
    <w:p w14:paraId="6AFF3242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30DC19" w14:textId="5523C5F1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Although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former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group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surrender,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disgrace,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abandonment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land,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group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believed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correct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camp.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difficult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arrived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coincidence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ended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position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leadership.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great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assessed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scholarship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over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sects.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perceived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history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recognized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lastRenderedPageBreak/>
        <w:t>expressions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religious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life,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took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responsibility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whole.</w:t>
      </w:r>
    </w:p>
    <w:p w14:paraId="5B380842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3BC219" w14:textId="30B04378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"https://www.sefaria.org/Gittin.56?lang=he-en&amp;utm_source=torah.etzion.org.il&amp;utm_medium=sefaria_linker"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Gittin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8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56a-b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recounts:</w:t>
      </w:r>
    </w:p>
    <w:p w14:paraId="0FA1B69A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6E6A9C" w14:textId="3876BA9A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biryonim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group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Zealots)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“Let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peace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Romans].”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contrary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“Let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succeed.”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[i.e.,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biryonim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burnt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stores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barley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ensued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fight]...</w:t>
      </w:r>
    </w:p>
    <w:p w14:paraId="73FCA0B6" w14:textId="1529281F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Abba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Sikra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biryonim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nephew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privately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continue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everyone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starvation?”</w:t>
      </w:r>
    </w:p>
    <w:p w14:paraId="3DAE4F3E" w14:textId="17261CFA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[Abba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Sikra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[i.e.,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biryonim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me!”</w:t>
      </w:r>
    </w:p>
    <w:p w14:paraId="6322D15E" w14:textId="44A2387B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“Devise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escape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besieged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Jerusalem];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small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portion.”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escaped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general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Vespasian.]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…</w:t>
      </w:r>
    </w:p>
    <w:p w14:paraId="49C6E6CE" w14:textId="59C2EE49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[Vespasian]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else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place.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it.”</w:t>
      </w:r>
    </w:p>
    <w:p w14:paraId="6E9136A3" w14:textId="744240E0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“Give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Yavneh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scholars,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dynasty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Gamliel,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doctors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Tzadok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.”</w:t>
      </w:r>
    </w:p>
    <w:p w14:paraId="49E6F7A1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493F1A" w14:textId="06C86BCE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meets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nephew,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biryonim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apparent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discussion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already,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principle,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accepted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capable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arrange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clandestine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forces.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lengthy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conversation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Vespasian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opportunity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represented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weakness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submission.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things: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Tzadok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preserving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dynasty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Gamliel,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Yavneh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sages.</w:t>
      </w:r>
    </w:p>
    <w:p w14:paraId="3CB6B27B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0A93F9" w14:textId="68580DD8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concern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Tzadok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testifies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importance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eyes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minimize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dismiss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suffering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entire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siege.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second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concern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concern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community: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protection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dynasty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nesi’im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aristocracy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oligarchy,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symbol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Israelite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monarchy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represents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concern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Am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Yisrael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lastRenderedPageBreak/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chooses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Yavneh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sages.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choice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astounds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settle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Yavneh,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relinquishing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center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Jerusalem?</w:t>
      </w:r>
    </w:p>
    <w:p w14:paraId="47E9EE1A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F7DE16" w14:textId="768620FD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propose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answers.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predict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criticism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directed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given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possibility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perceived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Yavneh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sages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preferable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Yavneh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periphery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witnessing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boom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scholarship.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divided,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warring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subject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disputes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tainted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causeless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hatred.</w:t>
      </w:r>
    </w:p>
    <w:p w14:paraId="746037FB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87167E" w14:textId="40345EF4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voice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criticism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A507E8A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1B177A" w14:textId="4F5A53F6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Yosef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Akiva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applied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verse: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“[God]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turns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backwards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knowledge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foolish”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9" w:tgtFrame="_blank" w:history="1"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Yeshayahu</w:t>
        </w:r>
      </w:hyperlink>
      <w:hyperlink r:id="rId10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44:25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[Vespasian],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“Let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granted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little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saved.</w:t>
      </w:r>
    </w:p>
    <w:p w14:paraId="6D132C67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79F5252" w14:textId="6E598BBA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elects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smaller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certain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approved.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calculation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realistic,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pragmatic,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practical,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calculation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uncertainty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exactly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Romans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prepared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allow.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adopts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self-consciously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cautious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approach: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spiritual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future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gambled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ignore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realistic,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practical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prepared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suffice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“saving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little,”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certain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option.</w:t>
      </w:r>
    </w:p>
    <w:p w14:paraId="139B5512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D1805A" w14:textId="57DF78BC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presents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dissenting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testifies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approach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crisis,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danger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annihilation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fully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aware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opposing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interpret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weakness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submission.</w:t>
      </w:r>
    </w:p>
    <w:p w14:paraId="491B4B83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EF5ADD" w14:textId="49C5212D" w:rsidR="00414B93" w:rsidRP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Viewing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entirety</w:t>
      </w:r>
    </w:p>
    <w:p w14:paraId="372CAE5E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A1B117" w14:textId="1E3B833B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Prior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dramatic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encounter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described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above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Vespasian,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records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deterioration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amongst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Am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Yisrael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gloomy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situation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well-known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story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Kamtza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Bar-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Kamtza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demonstrates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depths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rampant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Bar-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Kamtza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wishing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avenge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despicable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behavior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subject,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attempted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wrath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Caesar:</w:t>
      </w:r>
    </w:p>
    <w:p w14:paraId="482A1474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25F02A" w14:textId="06532236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lastRenderedPageBreak/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[Bar-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Kamtza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Emperor</w:t>
      </w:r>
      <w:proofErr w:type="gram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rebelling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against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tell?”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“Send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altar].”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calf.</w:t>
      </w:r>
    </w:p>
    <w:p w14:paraId="787B2DC2" w14:textId="4915813E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While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[Bar-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Kamtza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blemish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upper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lip,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eye,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place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[Jews]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count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blemish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[Romans]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inclined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Government.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Avkulas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blemished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animals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altar.”</w:t>
      </w:r>
    </w:p>
    <w:p w14:paraId="289755A7" w14:textId="116512CC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proposed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Bar-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Kamza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against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Avkulas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blemish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consecrated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animals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death?”</w:t>
      </w:r>
    </w:p>
    <w:p w14:paraId="50BDA9FB" w14:textId="6BAD07F4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remarked,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“Through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scrupulousness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Avkulas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destroyed,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burnt,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ourselves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exiled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land.”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"https://www.sefaria.org/Gittin.56a?lang=he-en&amp;utm_source=torah.etzion.org.il&amp;utm_medium=sefaria_linker"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Gittin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11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56a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115F8AD9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4E9446" w14:textId="50D9747C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Avkulas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ignored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actual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situation,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refused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contemplate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emergency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deviation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standard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halakha.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eyes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easily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understand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ramifications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terms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emperor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accusation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rebellion.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interest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actual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situation,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emperor’s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psychology?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remains,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holding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Shulchan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Arukh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blame.</w:t>
      </w:r>
    </w:p>
    <w:p w14:paraId="195E5F1B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4126E1D" w14:textId="5F12B2FA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expresses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opinion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approach,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too.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conclusion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bottom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discussion,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criticizing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constricted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local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isolated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account,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distinction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major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minor,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mistaken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halakhic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approach.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Halakha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books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serve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blinders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ultimately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exile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land.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arises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mistaken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ruling.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turn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over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ruled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basis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opinion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terrible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destruction.</w:t>
      </w:r>
    </w:p>
    <w:p w14:paraId="54735218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37B139" w14:textId="08D2A34D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began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discussion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connects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deathbed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fateful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during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terrible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Destruction.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life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re-evaluate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actions.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aware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background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fears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mistaken;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easier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correct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doubt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breaks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internal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barriers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bursts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tears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sorrow,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repentance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regret.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placed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doubt,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measure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certainty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allowed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unavailable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looked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back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it.</w:t>
      </w:r>
    </w:p>
    <w:p w14:paraId="672140E7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28F968" w14:textId="4D47288F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lastRenderedPageBreak/>
        <w:t>Against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background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deliberation,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examination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alternatives,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narrow-sighted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refusal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alternatives.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Zecharia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Avkulas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certainty;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doubts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self-examination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narrow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elements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familiar,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opening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eyes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horizons.</w:t>
      </w:r>
    </w:p>
    <w:p w14:paraId="01C3C420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D84638A" w14:textId="1397BB2D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especially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weighty,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ask: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examined,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relationship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concerns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weighed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against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each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involved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messy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decision-making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level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expert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precise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weighing-up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right,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skilled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understanding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relationship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various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elements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mutual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influences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effects.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always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keep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Newton’s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accompanied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equal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opposite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reaction.</w:t>
      </w:r>
    </w:p>
    <w:p w14:paraId="4E47A9CF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F74DB0" w14:textId="3CF01A27" w:rsidR="00414B93" w:rsidRP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Deliberation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decision-making</w:t>
      </w:r>
    </w:p>
    <w:p w14:paraId="2E4A4E28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65A59E" w14:textId="5912AF2F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Beyond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values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assigned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various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decision-making.</w:t>
      </w:r>
    </w:p>
    <w:p w14:paraId="73A52AD9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FC70C0" w14:textId="01F68A1D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Yerushalayim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account,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related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present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room,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meeting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Minister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Netanyahu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term)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Secretary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Madeline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Albright.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Secretary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strongly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admonished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Minister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plans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build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threatened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remove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support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comply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demand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cease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building.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Secretary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understood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Minister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Minister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replied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required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consult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formulate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answer;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refused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comply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American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demands.</w:t>
      </w:r>
    </w:p>
    <w:p w14:paraId="2269AA44" w14:textId="77777777" w:rsid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B4A60B" w14:textId="45F55B79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mention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episode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advocate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specific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political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approach,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touches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issues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morality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public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life,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including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decision-making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processes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values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halakha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matters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supreme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importance.</w:t>
      </w:r>
    </w:p>
    <w:p w14:paraId="4AB5A7AD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1680BE" w14:textId="293AE572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Yerushalayim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speaker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lavishly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praised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Minister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unhesitating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response.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imagine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rabbi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sitting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responding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seek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guidance.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arrives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blood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chicken;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examines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evidence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accurately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situation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subject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halakhic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dispute.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investigate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further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study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opinions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depth.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Thus,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pertaining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lastRenderedPageBreak/>
        <w:t>blood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kashrut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chicken.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deliberates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seriously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over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these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halakhic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fateful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regarding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future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entire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instantly?</w:t>
      </w:r>
    </w:p>
    <w:p w14:paraId="35EE81CC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C77C2C" w14:textId="442DEB7F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political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needs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concerning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entire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community,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risk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jumping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otherwise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weak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hesitant?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needs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consult,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meditate,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gird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days.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anyone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audacity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affecting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taken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spot?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dismissed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hand,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scorning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glorifying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instant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decision-making?</w:t>
      </w:r>
    </w:p>
    <w:p w14:paraId="19F642CF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1D9A1A" w14:textId="50E1812F" w:rsidR="00414B93" w:rsidRP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Weighty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decisions</w:t>
      </w:r>
    </w:p>
    <w:p w14:paraId="176DAE8F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5AA782" w14:textId="0F846951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Obviously,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unique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place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world,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given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causes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tremble.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public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basis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trembling.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needs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example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Rabban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Yochanan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Zakkai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too,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Unlike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believe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regarding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divorced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considerations.</w:t>
      </w:r>
    </w:p>
    <w:p w14:paraId="65CE4FA1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32D3E8" w14:textId="2CFAFE5F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famous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midrash,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teach:</w:t>
      </w:r>
    </w:p>
    <w:p w14:paraId="36D1CFB8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DF8F2E" w14:textId="0D2AC91B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“A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Assaf: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inheritance”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"https://www.sefaria.org/Psalms.79.1?lang=he-en&amp;utm_source=torah.etzion.org.il&amp;utm_medium=sefaria_linker"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Tehillim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12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79:1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appropriate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psalm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introduced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“song”?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dirge!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Similarly,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David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ascended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ascent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olives,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ascended”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3" w:tgtFrame="_blank" w:history="1"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II</w:t>
        </w:r>
        <w:r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 xml:space="preserve"> </w:t>
        </w:r>
        <w:proofErr w:type="spellStart"/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Shemuel</w:t>
        </w:r>
        <w:proofErr w:type="spellEnd"/>
        <w:r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 xml:space="preserve"> </w:t>
        </w:r>
      </w:hyperlink>
      <w:hyperlink r:id="rId14" w:tgtFrame="_blank" w:history="1"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15:30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David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fled”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"https://www.sefaria.org/Psalms.3.1?lang=he-en&amp;utm_source=torah.etzion.org.il&amp;utm_medium=sefaria_linker"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Tehillim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15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3:1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)…</w:t>
      </w:r>
    </w:p>
    <w:p w14:paraId="54848B56" w14:textId="0530AF13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compared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difficult,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obey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angry,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entered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wedding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canopy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curtains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until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tearing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bridal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canopy,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beautiful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Moreover,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anger,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killed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brother’s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inherited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inherit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me.”</w:t>
      </w:r>
    </w:p>
    <w:p w14:paraId="7BE241D9" w14:textId="73EBC1D4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Assaf: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venting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anger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stones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wood,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children?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finished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anger;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poured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wrath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ignited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Zion”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Eikha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4:11).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Assaf: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inheritance.”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Midrash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Tehillim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mizmor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79)</w:t>
      </w:r>
    </w:p>
    <w:p w14:paraId="2A1AA5D4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AA1406" w14:textId="4062DD2F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Better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stones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painful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statement,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difficult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imagine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sorrow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psalm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determine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preservation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Sanctuary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certain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life,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necessary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immediate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answer?</w:t>
      </w:r>
    </w:p>
    <w:p w14:paraId="5B5883A4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FB0025" w14:textId="4E2B062D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deliberating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political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processes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processes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choose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alternatives,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values,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dangers.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ponder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weigh.</w:t>
      </w:r>
    </w:p>
    <w:p w14:paraId="6DBF0B4F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86796F" w14:textId="5AE704AB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terrible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bitter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Assaf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prophecy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“Heathen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inheritance;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defiled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holy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temple;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heaps.”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understood,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Assaf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already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known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sorrow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crises,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important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perspective.</w:t>
      </w:r>
    </w:p>
    <w:p w14:paraId="5521C2A5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A3746B" w14:textId="441978D5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opportunities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Heightening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awareness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distress,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sensitivity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life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suffering,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tears.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wonderful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midrash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speaks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Knesset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Yisrael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B3511FB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22CCB4" w14:textId="0E02C94B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“Master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universe,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princes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sacrifice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atones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Mashiach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brings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sacrifice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atones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sacrifice.”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entire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congregation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sins…”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6" w:tgtFrame="_blank" w:history="1"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Vayikra</w:t>
        </w:r>
      </w:hyperlink>
      <w:hyperlink r:id="rId17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4:13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4013E364" w14:textId="50214E1A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unable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sacrifices.”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seek,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‘Take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return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8" w:tgtFrame="_blank" w:history="1">
        <w:r w:rsidRPr="00414B93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Hoshea</w:t>
        </w:r>
      </w:hyperlink>
      <w:hyperlink r:id="rId19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14:3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forgive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transgressions.”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“words”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always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means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Moshe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spoke…”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"https://www.sefaria.org/Deuteronomy.1.1?lang=he-en&amp;utm_source=torah.etzion.org.il&amp;utm_medium=sefaria_linker"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Devarim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20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1:1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5607508A" w14:textId="2944B851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know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Torah].”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“Weep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accept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forefathers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enslaved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Egypt,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redeemed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written,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‘And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Bnei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groaned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labor,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cried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"https://www.sefaria.org/Exodus.2.23?lang=he-en&amp;utm_source=torah.etzion.org.il&amp;utm_medium=sefaria_linker"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Shemot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21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2:23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)”…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too,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angered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mercy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wept…</w:t>
      </w:r>
    </w:p>
    <w:p w14:paraId="71A99678" w14:textId="048E8F39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David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innocence…”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"https://www.sefaria.org/Psalms.26.6-7?lang=he-en&amp;utm_source=torah.etzion.org.il&amp;utm_medium=sefaria_linker"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Tehillim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22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26:6-7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continue,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“…to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offer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sacrifices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voice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thanksgiving”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thankful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Torah.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Shemot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Rabba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38)</w:t>
      </w:r>
    </w:p>
    <w:p w14:paraId="0DFF7C17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766EB6" w14:textId="6BBD7C36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demonstrates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sorrow,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elements.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expresses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excessive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self-confidence.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breaks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barriers;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allows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uplift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rededicate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owing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determination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emerge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sorrow.</w:t>
      </w:r>
    </w:p>
    <w:p w14:paraId="1D4830C9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8A9089" w14:textId="0318D838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midrash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appropriate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exile,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political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military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strength;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Eretz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Yisrael,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claim,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type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emerged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upstanding,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mighty,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believing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power.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Avraham,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inherit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land,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Bnei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Yisrael,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enslaved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Egypt,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Eretz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ethos,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precludes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spontaneous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fact,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precludes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lastRenderedPageBreak/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altogether.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Eretz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sometimes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outdated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expression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broken-hearted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helplessness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exile.</w:t>
      </w:r>
    </w:p>
    <w:p w14:paraId="75844BDC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69AEFE" w14:textId="084BDC93" w:rsidR="00414B93" w:rsidRP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midrash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comes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redeemed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Jerusalem.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Sorrow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broken-heartedness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suffering,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says,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“My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hidden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places”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"https://www.sefaria.org/Jeremiah.13.17?lang=he-en&amp;utm_source=torah.etzion.org.il&amp;utm_medium=sefaria_linker" \t "_blank" </w:instrText>
      </w:r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414B93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Yirmiyahu</w:t>
      </w:r>
      <w:proofErr w:type="spellEnd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23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414B93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13:17</w:t>
        </w:r>
      </w:hyperlink>
      <w:r w:rsidRPr="00414B93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exist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Eretz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Yisrael,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too.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makes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worthy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learn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properly.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Fateful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decisions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emerge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prayer.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forefend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sensitivity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disappear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cloud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pride.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setting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sun,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God’s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great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awesome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Jews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stand,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wrapped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i/>
          <w:iCs/>
          <w:color w:val="000000"/>
          <w:sz w:val="24"/>
          <w:szCs w:val="24"/>
        </w:rPr>
        <w:t>tallitot</w:t>
      </w:r>
      <w:proofErr w:type="spellEnd"/>
      <w:r w:rsidRPr="00414B93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praying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throat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arises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prayer:</w:t>
      </w:r>
    </w:p>
    <w:p w14:paraId="6F5F23A4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A7AB1D" w14:textId="2174C930" w:rsidR="00414B93" w:rsidRPr="00414B93" w:rsidRDefault="00414B93" w:rsidP="00414B93">
      <w:pPr>
        <w:shd w:val="clear" w:color="auto" w:fill="FCFDFE"/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will,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Who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hears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sound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weeping,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collect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tears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bottle,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deliver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harsh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cruel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decrees,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eyes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look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You.</w:t>
      </w:r>
    </w:p>
    <w:p w14:paraId="2FE739FF" w14:textId="77777777" w:rsidR="00414B93" w:rsidRDefault="00414B93" w:rsidP="00414B93">
      <w:pPr>
        <w:shd w:val="clear" w:color="auto" w:fill="FCFDFE"/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82C52BF" w14:textId="7E6535BC" w:rsidR="00414B93" w:rsidRPr="00414B93" w:rsidRDefault="00414B93" w:rsidP="00414B93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14B93">
        <w:rPr>
          <w:rFonts w:ascii="Arial" w:eastAsia="Times New Roman" w:hAnsi="Arial" w:cs="Arial"/>
          <w:color w:val="000000"/>
          <w:sz w:val="24"/>
          <w:szCs w:val="24"/>
        </w:rPr>
        <w:t>(This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4B93">
        <w:rPr>
          <w:rFonts w:ascii="Arial" w:eastAsia="Times New Roman" w:hAnsi="Arial" w:cs="Arial"/>
          <w:color w:val="000000"/>
          <w:sz w:val="24"/>
          <w:szCs w:val="24"/>
        </w:rPr>
        <w:t>sicha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delivered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29</w:t>
      </w:r>
      <w:r w:rsidRPr="00414B9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Iyar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5770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[May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13,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4B93">
        <w:rPr>
          <w:rFonts w:ascii="Arial" w:eastAsia="Times New Roman" w:hAnsi="Arial" w:cs="Arial"/>
          <w:color w:val="000000"/>
          <w:sz w:val="24"/>
          <w:szCs w:val="24"/>
        </w:rPr>
        <w:t>2010].)</w:t>
      </w:r>
    </w:p>
    <w:p w14:paraId="00E87A44" w14:textId="77777777" w:rsidR="00EB2FCF" w:rsidRDefault="00EB2FCF"/>
    <w:sectPr w:rsidR="00EB2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93"/>
    <w:rsid w:val="00414B93"/>
    <w:rsid w:val="00E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99D1"/>
  <w15:chartTrackingRefBased/>
  <w15:docId w15:val="{45517C45-DEFC-40B0-9899-BCB2449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faria-ref-wrapper">
    <w:name w:val="sefaria-ref-wrapper"/>
    <w:basedOn w:val="DefaultParagraphFont"/>
    <w:rsid w:val="00414B93"/>
  </w:style>
  <w:style w:type="character" w:styleId="Hyperlink">
    <w:name w:val="Hyperlink"/>
    <w:basedOn w:val="DefaultParagraphFont"/>
    <w:uiPriority w:val="99"/>
    <w:semiHidden/>
    <w:unhideWhenUsed/>
    <w:rsid w:val="00414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ria.org/Gittin.56?lang=he-en&amp;utm_source=torah.etzion.org.il&amp;utm_medium=sefaria_linker" TargetMode="External"/><Relationship Id="rId13" Type="http://schemas.openxmlformats.org/officeDocument/2006/relationships/hyperlink" Target="https://www.sefaria.org/II_Samuel.15.30?lang=he-en&amp;utm_source=torah.etzion.org.il&amp;utm_medium=sefaria_linker" TargetMode="External"/><Relationship Id="rId18" Type="http://schemas.openxmlformats.org/officeDocument/2006/relationships/hyperlink" Target="https://www.sefaria.org/Hosea.14.3?lang=he-en&amp;utm_source=torah.etzion.org.il&amp;utm_medium=sefaria_link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efaria.org/Exodus.2.23?lang=he-en&amp;utm_source=torah.etzion.org.il&amp;utm_medium=sefaria_linker" TargetMode="External"/><Relationship Id="rId7" Type="http://schemas.openxmlformats.org/officeDocument/2006/relationships/hyperlink" Target="https://www.sefaria.org/Gittin.56?lang=he-en&amp;utm_source=torah.etzion.org.il&amp;utm_medium=sefaria_linker" TargetMode="External"/><Relationship Id="rId12" Type="http://schemas.openxmlformats.org/officeDocument/2006/relationships/hyperlink" Target="https://www.sefaria.org/Psalms.79.1?lang=he-en&amp;utm_source=torah.etzion.org.il&amp;utm_medium=sefaria_linker" TargetMode="External"/><Relationship Id="rId17" Type="http://schemas.openxmlformats.org/officeDocument/2006/relationships/hyperlink" Target="https://www.sefaria.org/Leviticus.4.13?lang=he-en&amp;utm_source=torah.etzion.org.il&amp;utm_medium=sefaria_link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efaria.org/Leviticus.4.13?lang=he-en&amp;utm_source=torah.etzion.org.il&amp;utm_medium=sefaria_linker" TargetMode="External"/><Relationship Id="rId20" Type="http://schemas.openxmlformats.org/officeDocument/2006/relationships/hyperlink" Target="https://www.sefaria.org/Deuteronomy.1.1?lang=he-en&amp;utm_source=torah.etzion.org.il&amp;utm_medium=sefaria_link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faria.org/Gittin.56?lang=he-en&amp;utm_source=torah.etzion.org.il&amp;utm_medium=sefaria_linker" TargetMode="External"/><Relationship Id="rId11" Type="http://schemas.openxmlformats.org/officeDocument/2006/relationships/hyperlink" Target="https://www.sefaria.org/Gittin.56a?lang=he-en&amp;utm_source=torah.etzion.org.il&amp;utm_medium=sefaria_linke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efaria.org/Berakhot.28b?lang=he-en&amp;utm_source=torah.etzion.org.il&amp;utm_medium=sefaria_linker" TargetMode="External"/><Relationship Id="rId15" Type="http://schemas.openxmlformats.org/officeDocument/2006/relationships/hyperlink" Target="https://www.sefaria.org/Psalms.3.1?lang=he-en&amp;utm_source=torah.etzion.org.il&amp;utm_medium=sefaria_linker" TargetMode="External"/><Relationship Id="rId23" Type="http://schemas.openxmlformats.org/officeDocument/2006/relationships/hyperlink" Target="https://www.sefaria.org/Jeremiah.13.17?lang=he-en&amp;utm_source=torah.etzion.org.il&amp;utm_medium=sefaria_linker" TargetMode="External"/><Relationship Id="rId10" Type="http://schemas.openxmlformats.org/officeDocument/2006/relationships/hyperlink" Target="https://www.sefaria.org/Isaiah.44.25?lang=he-en&amp;utm_source=torah.etzion.org.il&amp;utm_medium=sefaria_linker" TargetMode="External"/><Relationship Id="rId19" Type="http://schemas.openxmlformats.org/officeDocument/2006/relationships/hyperlink" Target="https://www.sefaria.org/Hosea.14.3?lang=he-en&amp;utm_source=torah.etzion.org.il&amp;utm_medium=sefaria_linker" TargetMode="External"/><Relationship Id="rId4" Type="http://schemas.openxmlformats.org/officeDocument/2006/relationships/hyperlink" Target="https://www.sefaria.org/Berakhot.28b?lang=he-en&amp;utm_source=torah.etzion.org.il&amp;utm_medium=sefaria_linker" TargetMode="External"/><Relationship Id="rId9" Type="http://schemas.openxmlformats.org/officeDocument/2006/relationships/hyperlink" Target="https://www.sefaria.org/Isaiah.44.25?lang=he-en&amp;utm_source=torah.etzion.org.il&amp;utm_medium=sefaria_linker" TargetMode="External"/><Relationship Id="rId14" Type="http://schemas.openxmlformats.org/officeDocument/2006/relationships/hyperlink" Target="https://www.sefaria.org/II_Samuel.15.30?lang=he-en&amp;utm_source=torah.etzion.org.il&amp;utm_medium=sefaria_linker" TargetMode="External"/><Relationship Id="rId22" Type="http://schemas.openxmlformats.org/officeDocument/2006/relationships/hyperlink" Target="https://www.sefaria.org/Psalms.26.6-7?lang=he-en&amp;utm_source=torah.etzion.org.il&amp;utm_medium=sefaria_lin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3659</Words>
  <Characters>20861</Characters>
  <Application>Microsoft Office Word</Application>
  <DocSecurity>0</DocSecurity>
  <Lines>173</Lines>
  <Paragraphs>48</Paragraphs>
  <ScaleCrop>false</ScaleCrop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2023-04-19T17:04:00Z</dcterms:created>
  <dcterms:modified xsi:type="dcterms:W3CDTF">2023-04-19T17:05:00Z</dcterms:modified>
</cp:coreProperties>
</file>