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3679E" w14:textId="04FA0767" w:rsidR="00F42723" w:rsidRPr="00AD1413" w:rsidRDefault="00F42723" w:rsidP="00857EA0">
      <w:pPr>
        <w:pStyle w:val="1"/>
        <w:rPr>
          <w:rtl/>
        </w:rPr>
      </w:pPr>
      <w:r>
        <w:rPr>
          <w:rFonts w:hint="cs"/>
          <w:rtl/>
        </w:rPr>
        <w:t>מצווה ס"ח –</w:t>
      </w:r>
      <w:r w:rsidRPr="00AD1413">
        <w:rPr>
          <w:rFonts w:hint="cs"/>
          <w:rtl/>
        </w:rPr>
        <w:t xml:space="preserve"> </w:t>
      </w:r>
      <w:r>
        <w:rPr>
          <w:rFonts w:hint="cs"/>
          <w:rtl/>
        </w:rPr>
        <w:t>לא תשימון עליו נשך</w:t>
      </w:r>
    </w:p>
    <w:p w14:paraId="7EBADFCD" w14:textId="77777777" w:rsidR="00F42723" w:rsidRDefault="00F42723" w:rsidP="00857EA0">
      <w:pPr>
        <w:pStyle w:val="2"/>
        <w:rPr>
          <w:rtl/>
        </w:rPr>
      </w:pPr>
      <w:r>
        <w:rPr>
          <w:rFonts w:hint="cs"/>
          <w:rtl/>
        </w:rPr>
        <w:t>איסור המלווה והעדים</w:t>
      </w:r>
    </w:p>
    <w:p w14:paraId="504D06AA" w14:textId="397D9858" w:rsidR="00F42723" w:rsidRPr="00857EA0" w:rsidRDefault="00F42723" w:rsidP="00857EA0">
      <w:pPr>
        <w:ind w:left="720"/>
        <w:rPr>
          <w:sz w:val="22"/>
          <w:szCs w:val="22"/>
          <w:rtl/>
        </w:rPr>
      </w:pPr>
      <w:r w:rsidRPr="00857EA0">
        <w:rPr>
          <w:rFonts w:hint="cs"/>
          <w:sz w:val="22"/>
          <w:szCs w:val="22"/>
          <w:rtl/>
        </w:rPr>
        <w:t xml:space="preserve">"מתני'... </w:t>
      </w:r>
      <w:r w:rsidRPr="00857EA0">
        <w:rPr>
          <w:sz w:val="22"/>
          <w:szCs w:val="22"/>
          <w:rtl/>
        </w:rPr>
        <w:t>ואלו עוברין בלא תעשה: המלוה והלוה והערב והעדים, וחכמים אומרים: אף הסופר</w:t>
      </w:r>
      <w:r w:rsidRPr="00857EA0">
        <w:rPr>
          <w:rFonts w:hint="cs"/>
          <w:sz w:val="22"/>
          <w:szCs w:val="22"/>
          <w:rtl/>
        </w:rPr>
        <w:t>.</w:t>
      </w:r>
      <w:r w:rsidRPr="00857EA0">
        <w:rPr>
          <w:sz w:val="22"/>
          <w:szCs w:val="22"/>
          <w:rtl/>
        </w:rPr>
        <w:t xml:space="preserve"> עוברים משום </w:t>
      </w:r>
      <w:r w:rsidRPr="00857EA0">
        <w:rPr>
          <w:rFonts w:hint="cs"/>
          <w:sz w:val="22"/>
          <w:szCs w:val="22"/>
          <w:rtl/>
        </w:rPr>
        <w:t>'</w:t>
      </w:r>
      <w:r w:rsidRPr="00857EA0">
        <w:rPr>
          <w:sz w:val="22"/>
          <w:szCs w:val="22"/>
          <w:rtl/>
        </w:rPr>
        <w:t>לא תתן</w:t>
      </w:r>
      <w:r w:rsidRPr="00857EA0">
        <w:rPr>
          <w:rFonts w:hint="cs"/>
          <w:sz w:val="22"/>
          <w:szCs w:val="22"/>
          <w:rtl/>
        </w:rPr>
        <w:t>',</w:t>
      </w:r>
      <w:r w:rsidRPr="00857EA0">
        <w:rPr>
          <w:sz w:val="22"/>
          <w:szCs w:val="22"/>
          <w:rtl/>
        </w:rPr>
        <w:t xml:space="preserve"> ומשום </w:t>
      </w:r>
      <w:r w:rsidRPr="00857EA0">
        <w:rPr>
          <w:rFonts w:hint="cs"/>
          <w:sz w:val="22"/>
          <w:szCs w:val="22"/>
          <w:rtl/>
        </w:rPr>
        <w:t>'</w:t>
      </w:r>
      <w:r w:rsidRPr="00857EA0">
        <w:rPr>
          <w:sz w:val="22"/>
          <w:szCs w:val="22"/>
          <w:rtl/>
        </w:rPr>
        <w:t>אל תקח מאתו</w:t>
      </w:r>
      <w:r w:rsidRPr="00857EA0">
        <w:rPr>
          <w:rFonts w:hint="cs"/>
          <w:sz w:val="22"/>
          <w:szCs w:val="22"/>
          <w:rtl/>
        </w:rPr>
        <w:t>'</w:t>
      </w:r>
      <w:r w:rsidRPr="00857EA0">
        <w:rPr>
          <w:sz w:val="22"/>
          <w:szCs w:val="22"/>
          <w:rtl/>
        </w:rPr>
        <w:t xml:space="preserve">, ומשום </w:t>
      </w:r>
      <w:r w:rsidRPr="00857EA0">
        <w:rPr>
          <w:rFonts w:hint="cs"/>
          <w:sz w:val="22"/>
          <w:szCs w:val="22"/>
          <w:rtl/>
        </w:rPr>
        <w:t>'</w:t>
      </w:r>
      <w:r w:rsidRPr="00857EA0">
        <w:rPr>
          <w:sz w:val="22"/>
          <w:szCs w:val="22"/>
          <w:rtl/>
        </w:rPr>
        <w:t>לא תהיה לו כנושה</w:t>
      </w:r>
      <w:r w:rsidRPr="00857EA0">
        <w:rPr>
          <w:rFonts w:hint="cs"/>
          <w:sz w:val="22"/>
          <w:szCs w:val="22"/>
          <w:rtl/>
        </w:rPr>
        <w:t>'</w:t>
      </w:r>
      <w:r w:rsidRPr="00857EA0">
        <w:rPr>
          <w:sz w:val="22"/>
          <w:szCs w:val="22"/>
          <w:rtl/>
        </w:rPr>
        <w:t xml:space="preserve">, ומשום </w:t>
      </w:r>
      <w:r w:rsidRPr="00857EA0">
        <w:rPr>
          <w:rFonts w:hint="cs"/>
          <w:sz w:val="22"/>
          <w:szCs w:val="22"/>
          <w:rtl/>
        </w:rPr>
        <w:t>'</w:t>
      </w:r>
      <w:r w:rsidRPr="00857EA0">
        <w:rPr>
          <w:sz w:val="22"/>
          <w:szCs w:val="22"/>
          <w:rtl/>
        </w:rPr>
        <w:t>לא תשימון עליו נשך</w:t>
      </w:r>
      <w:r w:rsidRPr="00857EA0">
        <w:rPr>
          <w:rFonts w:hint="cs"/>
          <w:sz w:val="22"/>
          <w:szCs w:val="22"/>
          <w:rtl/>
        </w:rPr>
        <w:t>'</w:t>
      </w:r>
      <w:r w:rsidRPr="00857EA0">
        <w:rPr>
          <w:sz w:val="22"/>
          <w:szCs w:val="22"/>
          <w:rtl/>
        </w:rPr>
        <w:t xml:space="preserve">, ומשום </w:t>
      </w:r>
      <w:r w:rsidRPr="00857EA0">
        <w:rPr>
          <w:rFonts w:hint="cs"/>
          <w:sz w:val="22"/>
          <w:szCs w:val="22"/>
          <w:rtl/>
        </w:rPr>
        <w:t>'</w:t>
      </w:r>
      <w:r w:rsidRPr="00857EA0">
        <w:rPr>
          <w:sz w:val="22"/>
          <w:szCs w:val="22"/>
          <w:rtl/>
        </w:rPr>
        <w:t>ולפני עור לא תתן מכשול ויראת מאלהיך אני ה'</w:t>
      </w:r>
      <w:r w:rsidRPr="00857EA0">
        <w:rPr>
          <w:rFonts w:hint="cs"/>
          <w:sz w:val="22"/>
          <w:szCs w:val="22"/>
          <w:rtl/>
        </w:rPr>
        <w:t>'.</w:t>
      </w:r>
      <w:r w:rsidR="00857EA0">
        <w:rPr>
          <w:sz w:val="22"/>
          <w:szCs w:val="22"/>
          <w:rtl/>
        </w:rPr>
        <w:tab/>
      </w:r>
      <w:r w:rsidR="00857EA0">
        <w:rPr>
          <w:sz w:val="22"/>
          <w:szCs w:val="22"/>
          <w:rtl/>
        </w:rPr>
        <w:br/>
      </w:r>
      <w:r w:rsidRPr="00857EA0">
        <w:rPr>
          <w:rFonts w:hint="cs"/>
          <w:sz w:val="22"/>
          <w:szCs w:val="22"/>
          <w:rtl/>
        </w:rPr>
        <w:t xml:space="preserve">גמ'... </w:t>
      </w:r>
      <w:r w:rsidRPr="00857EA0">
        <w:rPr>
          <w:sz w:val="22"/>
          <w:szCs w:val="22"/>
          <w:rtl/>
        </w:rPr>
        <w:t>ואלו עוברין. אמר אביי: מלוה עובר בכולן</w:t>
      </w:r>
      <w:r w:rsidRPr="00857EA0">
        <w:rPr>
          <w:rFonts w:hint="cs"/>
          <w:sz w:val="22"/>
          <w:szCs w:val="22"/>
          <w:rtl/>
        </w:rPr>
        <w:t>,</w:t>
      </w:r>
      <w:r w:rsidRPr="00857EA0">
        <w:rPr>
          <w:sz w:val="22"/>
          <w:szCs w:val="22"/>
          <w:rtl/>
        </w:rPr>
        <w:t xml:space="preserve"> לוה עובר משום </w:t>
      </w:r>
      <w:r w:rsidRPr="00857EA0">
        <w:rPr>
          <w:rFonts w:hint="cs"/>
          <w:sz w:val="22"/>
          <w:szCs w:val="22"/>
          <w:rtl/>
        </w:rPr>
        <w:t>'</w:t>
      </w:r>
      <w:r w:rsidRPr="00857EA0">
        <w:rPr>
          <w:sz w:val="22"/>
          <w:szCs w:val="22"/>
          <w:rtl/>
        </w:rPr>
        <w:t>לא תשיך לאחיך</w:t>
      </w:r>
      <w:r w:rsidRPr="00857EA0">
        <w:rPr>
          <w:rFonts w:hint="cs"/>
          <w:sz w:val="22"/>
          <w:szCs w:val="22"/>
          <w:rtl/>
        </w:rPr>
        <w:t>'</w:t>
      </w:r>
      <w:r w:rsidRPr="00857EA0">
        <w:rPr>
          <w:sz w:val="22"/>
          <w:szCs w:val="22"/>
          <w:rtl/>
        </w:rPr>
        <w:t xml:space="preserve"> ו</w:t>
      </w:r>
      <w:r w:rsidRPr="00857EA0">
        <w:rPr>
          <w:rFonts w:hint="cs"/>
          <w:sz w:val="22"/>
          <w:szCs w:val="22"/>
          <w:rtl/>
        </w:rPr>
        <w:t>'</w:t>
      </w:r>
      <w:r w:rsidRPr="00857EA0">
        <w:rPr>
          <w:sz w:val="22"/>
          <w:szCs w:val="22"/>
          <w:rtl/>
        </w:rPr>
        <w:t>לאחיך לא תשיך</w:t>
      </w:r>
      <w:r w:rsidRPr="00857EA0">
        <w:rPr>
          <w:rFonts w:hint="cs"/>
          <w:sz w:val="22"/>
          <w:szCs w:val="22"/>
          <w:rtl/>
        </w:rPr>
        <w:t>'</w:t>
      </w:r>
      <w:r w:rsidRPr="00857EA0">
        <w:rPr>
          <w:sz w:val="22"/>
          <w:szCs w:val="22"/>
          <w:rtl/>
        </w:rPr>
        <w:t xml:space="preserve"> ו</w:t>
      </w:r>
      <w:r w:rsidRPr="00857EA0">
        <w:rPr>
          <w:rFonts w:hint="cs"/>
          <w:sz w:val="22"/>
          <w:szCs w:val="22"/>
          <w:rtl/>
        </w:rPr>
        <w:t>'</w:t>
      </w:r>
      <w:r w:rsidRPr="00857EA0">
        <w:rPr>
          <w:sz w:val="22"/>
          <w:szCs w:val="22"/>
          <w:rtl/>
        </w:rPr>
        <w:t>לפני עור לא תתן מכשול</w:t>
      </w:r>
      <w:r w:rsidRPr="00857EA0">
        <w:rPr>
          <w:rFonts w:hint="cs"/>
          <w:sz w:val="22"/>
          <w:szCs w:val="22"/>
          <w:rtl/>
        </w:rPr>
        <w:t>',</w:t>
      </w:r>
      <w:r w:rsidRPr="00857EA0">
        <w:rPr>
          <w:sz w:val="22"/>
          <w:szCs w:val="22"/>
          <w:rtl/>
        </w:rPr>
        <w:t xml:space="preserve"> ערב והעדים אין עוברין אלא משום </w:t>
      </w:r>
      <w:r w:rsidRPr="00857EA0">
        <w:rPr>
          <w:rFonts w:hint="cs"/>
          <w:sz w:val="22"/>
          <w:szCs w:val="22"/>
          <w:rtl/>
        </w:rPr>
        <w:t>'</w:t>
      </w:r>
      <w:r w:rsidRPr="00857EA0">
        <w:rPr>
          <w:sz w:val="22"/>
          <w:szCs w:val="22"/>
          <w:rtl/>
        </w:rPr>
        <w:t>לא תשימון עליו נשך</w:t>
      </w:r>
      <w:r w:rsidRPr="00857EA0">
        <w:rPr>
          <w:rFonts w:hint="cs"/>
          <w:sz w:val="22"/>
          <w:szCs w:val="22"/>
          <w:rtl/>
        </w:rPr>
        <w:t>'"</w:t>
      </w:r>
      <w:r w:rsidR="00857EA0">
        <w:rPr>
          <w:rFonts w:hint="cs"/>
          <w:sz w:val="22"/>
          <w:szCs w:val="22"/>
          <w:rtl/>
        </w:rPr>
        <w:t>.</w:t>
      </w:r>
      <w:r w:rsidR="00857EA0" w:rsidRPr="00857EA0">
        <w:rPr>
          <w:sz w:val="22"/>
          <w:szCs w:val="22"/>
          <w:rtl/>
        </w:rPr>
        <w:ptab w:relativeTo="margin" w:alignment="right" w:leader="none"/>
      </w:r>
      <w:r w:rsidR="00857EA0" w:rsidRPr="00857EA0">
        <w:rPr>
          <w:rFonts w:hint="cs"/>
          <w:sz w:val="22"/>
          <w:szCs w:val="22"/>
          <w:rtl/>
        </w:rPr>
        <w:t xml:space="preserve"> </w:t>
      </w:r>
      <w:r w:rsidR="00857EA0" w:rsidRPr="00857EA0">
        <w:rPr>
          <w:sz w:val="22"/>
          <w:szCs w:val="22"/>
          <w:rtl/>
        </w:rPr>
        <w:ptab w:relativeTo="margin" w:alignment="right" w:leader="none"/>
      </w:r>
      <w:r w:rsidR="00857EA0" w:rsidRPr="00857EA0">
        <w:rPr>
          <w:rFonts w:hint="cs"/>
          <w:sz w:val="22"/>
          <w:szCs w:val="22"/>
          <w:rtl/>
        </w:rPr>
        <w:t xml:space="preserve"> </w:t>
      </w:r>
      <w:r w:rsidRPr="00857EA0">
        <w:rPr>
          <w:rFonts w:hint="cs"/>
          <w:sz w:val="22"/>
          <w:szCs w:val="22"/>
          <w:rtl/>
        </w:rPr>
        <w:t>(בבא מציעא עה ע"ב)</w:t>
      </w:r>
    </w:p>
    <w:p w14:paraId="36058CE9" w14:textId="77777777" w:rsidR="00F42723" w:rsidRDefault="00F42723" w:rsidP="00F42723">
      <w:pPr>
        <w:rPr>
          <w:rtl/>
        </w:rPr>
      </w:pPr>
      <w:r>
        <w:rPr>
          <w:rFonts w:hint="cs"/>
          <w:rtl/>
        </w:rPr>
        <w:t xml:space="preserve">בהלוואה בריבית אף העדים עוברים באיסור דאורייתא של </w:t>
      </w:r>
      <w:r w:rsidRPr="0031651C">
        <w:rPr>
          <w:rtl/>
        </w:rPr>
        <w:t>"לא תשימון עליו נשך"</w:t>
      </w:r>
      <w:r>
        <w:rPr>
          <w:rFonts w:hint="cs"/>
          <w:rtl/>
        </w:rPr>
        <w:t>.</w:t>
      </w:r>
      <w:r>
        <w:rPr>
          <w:rStyle w:val="a5"/>
          <w:rFonts w:eastAsia="Calibri"/>
          <w:rtl/>
        </w:rPr>
        <w:footnoteReference w:id="2"/>
      </w:r>
      <w:r>
        <w:rPr>
          <w:rFonts w:hint="cs"/>
          <w:rtl/>
        </w:rPr>
        <w:t xml:space="preserve"> המנחת חינוך (ס"ק ב) מביא מחלוקת בין הראשונים אם עוברים בלאו זה גם כאשר כתבו במפורש את מרכיב הריבית בשטר ויש מקום להעריך שבית דין לא יגבה את מרכיב הריבית. ההגהות מרדכי (בבא מציעא תל"ט) נקט שבמקרה זה אין העדים עוברים על האיסור:</w:t>
      </w:r>
    </w:p>
    <w:p w14:paraId="0DFBA8BB" w14:textId="77777777" w:rsidR="00F42723" w:rsidRPr="00F42723" w:rsidRDefault="00F42723" w:rsidP="00F42723">
      <w:pPr>
        <w:ind w:left="720"/>
        <w:rPr>
          <w:sz w:val="22"/>
          <w:szCs w:val="22"/>
          <w:rtl/>
        </w:rPr>
      </w:pPr>
      <w:r w:rsidRPr="00F42723">
        <w:rPr>
          <w:rFonts w:hint="cs"/>
          <w:sz w:val="22"/>
          <w:szCs w:val="22"/>
          <w:rtl/>
        </w:rPr>
        <w:t>"</w:t>
      </w:r>
      <w:r w:rsidRPr="00F42723">
        <w:rPr>
          <w:sz w:val="22"/>
          <w:szCs w:val="22"/>
          <w:rtl/>
        </w:rPr>
        <w:t xml:space="preserve">דלא עברי עדים משום </w:t>
      </w:r>
      <w:r w:rsidRPr="00F42723">
        <w:rPr>
          <w:rFonts w:hint="cs"/>
          <w:sz w:val="22"/>
          <w:szCs w:val="22"/>
          <w:rtl/>
        </w:rPr>
        <w:t>'</w:t>
      </w:r>
      <w:r w:rsidRPr="00F42723">
        <w:rPr>
          <w:sz w:val="22"/>
          <w:szCs w:val="22"/>
          <w:rtl/>
        </w:rPr>
        <w:t>לא תשימון</w:t>
      </w:r>
      <w:r w:rsidRPr="00F42723">
        <w:rPr>
          <w:rFonts w:hint="cs"/>
          <w:sz w:val="22"/>
          <w:szCs w:val="22"/>
          <w:rtl/>
        </w:rPr>
        <w:t>'</w:t>
      </w:r>
      <w:r w:rsidRPr="00F42723">
        <w:rPr>
          <w:sz w:val="22"/>
          <w:szCs w:val="22"/>
          <w:rtl/>
        </w:rPr>
        <w:t xml:space="preserve"> אלא היכא שאינו מפורש בשטר שהוא רבית</w:t>
      </w:r>
      <w:r w:rsidRPr="00F42723">
        <w:rPr>
          <w:rFonts w:hint="cs"/>
          <w:sz w:val="22"/>
          <w:szCs w:val="22"/>
          <w:rtl/>
        </w:rPr>
        <w:t>,</w:t>
      </w:r>
      <w:r w:rsidRPr="00F42723">
        <w:rPr>
          <w:sz w:val="22"/>
          <w:szCs w:val="22"/>
          <w:rtl/>
        </w:rPr>
        <w:t xml:space="preserve"> דדלמא אתי לכלל גבייה</w:t>
      </w:r>
      <w:r w:rsidRPr="00F42723">
        <w:rPr>
          <w:rFonts w:hint="cs"/>
          <w:sz w:val="22"/>
          <w:szCs w:val="22"/>
          <w:rtl/>
        </w:rPr>
        <w:t>,</w:t>
      </w:r>
      <w:r w:rsidRPr="00F42723">
        <w:rPr>
          <w:sz w:val="22"/>
          <w:szCs w:val="22"/>
          <w:rtl/>
        </w:rPr>
        <w:t xml:space="preserve"> אבל היכא שמפורש בהדיא</w:t>
      </w:r>
      <w:r w:rsidRPr="00F42723">
        <w:rPr>
          <w:rFonts w:hint="cs"/>
          <w:sz w:val="22"/>
          <w:szCs w:val="22"/>
          <w:rtl/>
        </w:rPr>
        <w:t>,</w:t>
      </w:r>
      <w:r w:rsidRPr="00F42723">
        <w:rPr>
          <w:sz w:val="22"/>
          <w:szCs w:val="22"/>
          <w:rtl/>
        </w:rPr>
        <w:t xml:space="preserve"> דלא אתי לכלל גבייה</w:t>
      </w:r>
      <w:r w:rsidRPr="00F42723">
        <w:rPr>
          <w:rFonts w:hint="cs"/>
          <w:sz w:val="22"/>
          <w:szCs w:val="22"/>
          <w:rtl/>
        </w:rPr>
        <w:t>,</w:t>
      </w:r>
      <w:r w:rsidRPr="00F42723">
        <w:rPr>
          <w:sz w:val="22"/>
          <w:szCs w:val="22"/>
          <w:rtl/>
        </w:rPr>
        <w:t xml:space="preserve"> לא חשיב </w:t>
      </w:r>
      <w:r w:rsidRPr="00F42723">
        <w:rPr>
          <w:rFonts w:hint="cs"/>
          <w:sz w:val="22"/>
          <w:szCs w:val="22"/>
          <w:rtl/>
        </w:rPr>
        <w:t>'</w:t>
      </w:r>
      <w:r w:rsidRPr="00F42723">
        <w:rPr>
          <w:sz w:val="22"/>
          <w:szCs w:val="22"/>
          <w:rtl/>
        </w:rPr>
        <w:t>לא תשימון</w:t>
      </w:r>
      <w:r w:rsidRPr="00F42723">
        <w:rPr>
          <w:rFonts w:hint="cs"/>
          <w:sz w:val="22"/>
          <w:szCs w:val="22"/>
          <w:rtl/>
        </w:rPr>
        <w:t>'".</w:t>
      </w:r>
    </w:p>
    <w:p w14:paraId="0A84B87F" w14:textId="77777777" w:rsidR="00F42723" w:rsidRDefault="00F42723" w:rsidP="00F42723">
      <w:pPr>
        <w:rPr>
          <w:rtl/>
        </w:rPr>
      </w:pPr>
      <w:r>
        <w:rPr>
          <w:rFonts w:hint="cs"/>
          <w:rtl/>
        </w:rPr>
        <w:t>לשיטתו העדים עוברים על הלאו רק בחותמם על שטר שלא צוין בו שחלק מהחוב הוא משום ריבית, משום שבמקרה כזה יש צפי שהשטר יגיע לכדי גבייה. אולם התוספות (בבא קמא ל ע"ב ד"ה וחכמים) שללו שיטה זו וקבעו שהעדים עוברים על הלאו גם כאשר ברור למדי שבפועל לא יגבו את סכום הריבית.</w:t>
      </w:r>
    </w:p>
    <w:p w14:paraId="20A69A35" w14:textId="77777777" w:rsidR="00F42723" w:rsidRDefault="00F42723" w:rsidP="00F42723">
      <w:pPr>
        <w:rPr>
          <w:rtl/>
        </w:rPr>
      </w:pPr>
      <w:r>
        <w:rPr>
          <w:rFonts w:hint="cs"/>
          <w:rtl/>
        </w:rPr>
        <w:t xml:space="preserve">עוד הביא המנחת חינוך את ספקו של מהר"א ששון (שו"ת תורת אמת קס"ב) אם עדים המעידים על מלווה על פה עוברים אף הם בלאו של "לא תשימון", שכן האפשרות שהמלווה לא יגיע לכלל גבייה סבירה יותר מאשר במלווה בשטר. מסתבר שלספק זה יש מקום רק במסגרת עמדת ההגהות מרדכי, שהלאו מותנה בכך שהמלווה עומד בפועל לפירעון, ולא במסגרת שיטת התוספות, שלפיה הלאו חל על עצם ההשתתפות </w:t>
      </w:r>
      <w:r>
        <w:rPr>
          <w:rFonts w:hint="cs"/>
          <w:rtl/>
        </w:rPr>
        <w:t>ביצירת הלוואה בריבית, גם אם היא אינה צפויה להגיע לכלל גבייה.</w:t>
      </w:r>
    </w:p>
    <w:p w14:paraId="3276B454" w14:textId="77777777" w:rsidR="00F42723" w:rsidRDefault="00F42723" w:rsidP="00F42723">
      <w:pPr>
        <w:rPr>
          <w:rtl/>
        </w:rPr>
      </w:pPr>
      <w:r>
        <w:rPr>
          <w:rFonts w:hint="cs"/>
          <w:rtl/>
        </w:rPr>
        <w:t xml:space="preserve">ברקע חידושו של בעל ההגהות מרדכי עומדת קושיה גדולה שמביא המנחת חינוך בהמשך דבריו (ס"ק ג). על פי שיטת חכמים בברייתא (בבא קמא ל ע"ב ועוד), כאשר יש שטר שכתובה בו ריבית קצוצה, גובים באמצעות השטר את הקרן ולא את הריבית, ואין קונסים את המלווה בסכום הקרן בשל הריבית. והקשו הראשונים: כיצד ניתן לגבות באמצעות שטר זה? הלוא העדים פסולים לעדות משום שהם עוברים על איסור </w:t>
      </w:r>
      <w:r w:rsidRPr="00F068F0">
        <w:rPr>
          <w:rtl/>
        </w:rPr>
        <w:t>"לא תשימון עליו נשך"</w:t>
      </w:r>
      <w:r>
        <w:rPr>
          <w:rFonts w:hint="cs"/>
          <w:rtl/>
        </w:rPr>
        <w:t>! אומנם המנחת חינוך (ס"ק ג) האריך לדון אם יש מלקות בלאו זה, וציין שאם מדובר בעבירה שאין בה מלקות – פסול העדות בגינה אינו אלא מדרבנן (רמ"א חושן משפט לד, ב), אך גם אם העדים פסולים מדרבנן בלבד, לא ניתן לגבות באמצעות השטר!</w:t>
      </w:r>
    </w:p>
    <w:p w14:paraId="0EF0C286" w14:textId="77777777" w:rsidR="00F42723" w:rsidRDefault="00F42723" w:rsidP="00F42723">
      <w:pPr>
        <w:rPr>
          <w:rtl/>
        </w:rPr>
      </w:pPr>
      <w:r>
        <w:rPr>
          <w:rFonts w:hint="cs"/>
          <w:rtl/>
        </w:rPr>
        <w:t>תשובות רבות הוצעו לשאלה זו, ואחת מהן העלה ההגהות מרדכי: כיוון שהריבית כתובה בשטר במפורש, העדים אינם עוברים בלאו של "לא תשימון עליו נשך", שהרי הריבית אינה עשויה להיגבות באמצעות השטר. אולם התוספות הקשו על שיטה זו מדברי הגמרא בבבא קמא (ל ע"ב), שביארה שרבי מאיר, החולק על חכמים וסובר שקנסו שגם את הקרן אין לגבות באמצעות השטר, סבר כן משום "</w:t>
      </w:r>
      <w:r w:rsidRPr="007C5B6B">
        <w:rPr>
          <w:rtl/>
        </w:rPr>
        <w:t xml:space="preserve">דמשעת כתיבה דעבד ליה </w:t>
      </w:r>
      <w:r>
        <w:rPr>
          <w:rtl/>
        </w:rPr>
        <w:t>שׂוּ</w:t>
      </w:r>
      <w:r w:rsidRPr="007C5B6B">
        <w:rPr>
          <w:rtl/>
        </w:rPr>
        <w:t>מא</w:t>
      </w:r>
      <w:r>
        <w:rPr>
          <w:rFonts w:hint="cs"/>
          <w:rtl/>
        </w:rPr>
        <w:t xml:space="preserve">", דהיינו שעצם יצירת ההלוואה הייתה עבירה על איסור "לא תשימון עליו נשך". מבואר אפוא שמדובר בשטר שהריבית מפורשת בו, ויש בו איסור של "לא תשימון עליו נשך"! על כן, כאמור, לשיטתם </w:t>
      </w:r>
      <w:r w:rsidRPr="00367FF1">
        <w:rPr>
          <w:rtl/>
        </w:rPr>
        <w:t>גם אם השטר לא יגיע לכדי גבייה מציאותית, הוא משים על הלווה את חיוב הריבית, ובכך גופא עוברים על הלאו "לא תשימון".</w:t>
      </w:r>
    </w:p>
    <w:p w14:paraId="45635783" w14:textId="77777777" w:rsidR="00F42723" w:rsidRDefault="00F42723" w:rsidP="00F42723">
      <w:pPr>
        <w:rPr>
          <w:rtl/>
        </w:rPr>
      </w:pPr>
      <w:r>
        <w:rPr>
          <w:rFonts w:hint="cs"/>
          <w:rtl/>
        </w:rPr>
        <w:t xml:space="preserve">אולם נראה שקושיה זו אינה קשה על שיטת בעל ההגהות מרדכי, וכפי שביאר את שיטתו בטוב טעם ודעת בעל הקהלות יעקב (בבא קמא סימן כ"ה). דברי הגמרא הנזכרים, שלפיהם </w:t>
      </w:r>
      <w:r w:rsidRPr="00367FF1">
        <w:rPr>
          <w:rtl/>
        </w:rPr>
        <w:t xml:space="preserve">עוברים על </w:t>
      </w:r>
      <w:r>
        <w:rPr>
          <w:rFonts w:hint="cs"/>
          <w:rtl/>
        </w:rPr>
        <w:t xml:space="preserve">איסור שימת הנשך </w:t>
      </w:r>
      <w:r w:rsidRPr="00367FF1">
        <w:rPr>
          <w:rtl/>
        </w:rPr>
        <w:t>בעצם כתיבת השטר, אינם מתייחסים אלא למלו</w:t>
      </w:r>
      <w:r>
        <w:rPr>
          <w:rFonts w:hint="cs"/>
          <w:rtl/>
        </w:rPr>
        <w:t>ו</w:t>
      </w:r>
      <w:r w:rsidRPr="00367FF1">
        <w:rPr>
          <w:rtl/>
        </w:rPr>
        <w:t xml:space="preserve">ה, שבעצם כריתת </w:t>
      </w:r>
      <w:r>
        <w:rPr>
          <w:rFonts w:hint="cs"/>
          <w:rtl/>
        </w:rPr>
        <w:t xml:space="preserve">חוזה ההלוואה בריבית יוצר את </w:t>
      </w:r>
      <w:r w:rsidRPr="00367FF1">
        <w:rPr>
          <w:rtl/>
        </w:rPr>
        <w:t xml:space="preserve">חיוב </w:t>
      </w:r>
      <w:r>
        <w:rPr>
          <w:rFonts w:hint="cs"/>
          <w:rtl/>
        </w:rPr>
        <w:t>ה</w:t>
      </w:r>
      <w:r w:rsidRPr="00367FF1">
        <w:rPr>
          <w:rtl/>
        </w:rPr>
        <w:t xml:space="preserve">ריבית ועובר בכך על </w:t>
      </w:r>
      <w:r>
        <w:rPr>
          <w:rFonts w:hint="cs"/>
          <w:rtl/>
        </w:rPr>
        <w:t>ה</w:t>
      </w:r>
      <w:r w:rsidRPr="00367FF1">
        <w:rPr>
          <w:rtl/>
        </w:rPr>
        <w:t xml:space="preserve">איסור. העדים, לעומת זאת, אינם מחילים חיוב ריבית, והסיבה </w:t>
      </w:r>
      <w:r>
        <w:rPr>
          <w:rFonts w:hint="cs"/>
          <w:rtl/>
        </w:rPr>
        <w:t xml:space="preserve">לכך </w:t>
      </w:r>
      <w:r w:rsidRPr="00367FF1">
        <w:rPr>
          <w:rtl/>
        </w:rPr>
        <w:t xml:space="preserve">שגם הם שייכים בלאו </w:t>
      </w:r>
      <w:r>
        <w:rPr>
          <w:rFonts w:hint="cs"/>
          <w:rtl/>
        </w:rPr>
        <w:t xml:space="preserve">של </w:t>
      </w:r>
      <w:r w:rsidRPr="00367FF1">
        <w:rPr>
          <w:rtl/>
        </w:rPr>
        <w:t>"לא תשימון</w:t>
      </w:r>
      <w:r>
        <w:rPr>
          <w:rFonts w:hint="cs"/>
          <w:rtl/>
        </w:rPr>
        <w:t xml:space="preserve"> עליו נשך</w:t>
      </w:r>
      <w:r w:rsidRPr="00367FF1">
        <w:rPr>
          <w:rtl/>
        </w:rPr>
        <w:t xml:space="preserve">" היא שבחתימתם הם יוצרים חיזוק מציאותי לחוב </w:t>
      </w:r>
      <w:r>
        <w:rPr>
          <w:rFonts w:hint="cs"/>
          <w:rtl/>
        </w:rPr>
        <w:t>ב</w:t>
      </w:r>
      <w:r w:rsidRPr="00367FF1">
        <w:rPr>
          <w:rtl/>
        </w:rPr>
        <w:t xml:space="preserve">כך שבית דין יוכל לאכוף את גבייתו. חיזוק שכזה אינו מתקיים, כמובן, כאשר מדובר במסמך שברור מראש שבית דין </w:t>
      </w:r>
      <w:r w:rsidRPr="00367FF1">
        <w:rPr>
          <w:rtl/>
        </w:rPr>
        <w:lastRenderedPageBreak/>
        <w:t xml:space="preserve">לא יאכוף, ועל כן הם עוברים על </w:t>
      </w:r>
      <w:r>
        <w:rPr>
          <w:rFonts w:hint="cs"/>
          <w:rtl/>
        </w:rPr>
        <w:t>ה</w:t>
      </w:r>
      <w:r w:rsidRPr="00367FF1">
        <w:rPr>
          <w:rtl/>
        </w:rPr>
        <w:t xml:space="preserve">איסור רק כאשר מדובר בשטר </w:t>
      </w:r>
      <w:r>
        <w:rPr>
          <w:rFonts w:hint="cs"/>
          <w:rtl/>
        </w:rPr>
        <w:t>ה</w:t>
      </w:r>
      <w:r w:rsidRPr="00367FF1">
        <w:rPr>
          <w:rtl/>
        </w:rPr>
        <w:t>צפוי להתקבל בבית דין.</w:t>
      </w:r>
      <w:r>
        <w:rPr>
          <w:rFonts w:hint="cs"/>
          <w:rtl/>
        </w:rPr>
        <w:t xml:space="preserve"> התוספות, מבאר הקהלות יעקב, הבינו שאיסור "לא תשימון" של העדים אינו בגלל סיוע לעבירת ההלוואה בריבית, שהרי מתווכים למיניהם שסייעו להלוואה האסורה אינם עוברים אלא ב"לפני עיוור לא תיתן מכשול" ולא ב"לא תשימון" (ראו רמב"ם מלוה ולוה ד, ב). העדים עוברים ב"לא תשימון" משום שעשיית שטר מלווה עם ריבית נחשבת בפני עצמה למעשה של שימת נשך. אולם ההגהות מרדכי סבור כאמור שחיובם של העדים הוא מחמת הסיוע הראייתי (שלהבדיל מסיועם של המתווכים נכלל בלאו של "לא תשימון"), ורק חיובם של המלוה והלווה הוא על עצם יצירת החוב המשפטי, ללא קשר לאפשרות הסבירה של גבייתו בבית דין.</w:t>
      </w:r>
    </w:p>
    <w:p w14:paraId="0F210559" w14:textId="77777777" w:rsidR="00F42723" w:rsidRDefault="00F42723" w:rsidP="00F42723">
      <w:pPr>
        <w:rPr>
          <w:rtl/>
        </w:rPr>
      </w:pPr>
      <w:r>
        <w:rPr>
          <w:rFonts w:hint="cs"/>
          <w:rtl/>
        </w:rPr>
        <w:t xml:space="preserve">כך או כך, הלווה והמלווה עוברים באיסור </w:t>
      </w:r>
      <w:r w:rsidRPr="00367FF1">
        <w:rPr>
          <w:rtl/>
        </w:rPr>
        <w:t>"לא תשימון</w:t>
      </w:r>
      <w:r>
        <w:rPr>
          <w:rFonts w:hint="cs"/>
          <w:rtl/>
        </w:rPr>
        <w:t xml:space="preserve"> עליו נשך</w:t>
      </w:r>
      <w:r w:rsidRPr="00367FF1">
        <w:rPr>
          <w:rtl/>
        </w:rPr>
        <w:t>"</w:t>
      </w:r>
      <w:r>
        <w:rPr>
          <w:rFonts w:hint="cs"/>
          <w:rtl/>
        </w:rPr>
        <w:t xml:space="preserve"> בשל עצם החלתו של החוב הפסול של הריבית, וזאת</w:t>
      </w:r>
      <w:r w:rsidRPr="00367FF1">
        <w:rPr>
          <w:rtl/>
        </w:rPr>
        <w:t xml:space="preserve"> גם כאשר מדובר בחוב שמראש נראה שלא יוכל להיאכף בפועל. </w:t>
      </w:r>
      <w:r>
        <w:rPr>
          <w:rFonts w:hint="cs"/>
          <w:rtl/>
        </w:rPr>
        <w:t>נראה שעולה מכאן נקודה מחודשת: הלוואה על סך 100 שקלים יכולה ליצור חוב תקף הלכתית של 120 שקלים בתורת ריבית, על אף שהתורה אוסרת באיסור חמור את גבייתה של התוספת, ומכיוון שהתורה מכירה בחלותו ההלכתית של חיוב הריבית היא יכולה גם לאסור בלאו את עצם יצירת החוב, אף שהוא אינו צפוי להגיע לידי גבייה בפועל. כלומר, איסור ריבית הוא איסור חמור בדיני "יורה דעה", אך כשם שלריבית עצמה יש תוקף בהלוואה לנוכרי, כך יש לה תוקף בהלוואה ליהודי בדיני "חושן משפט", אלא שגבייתה ואף יצירת חיובה אסורות.</w:t>
      </w:r>
    </w:p>
    <w:p w14:paraId="00D6E920" w14:textId="77777777" w:rsidR="00F42723" w:rsidRDefault="00F42723" w:rsidP="00F42723">
      <w:pPr>
        <w:rPr>
          <w:rtl/>
        </w:rPr>
      </w:pPr>
      <w:r>
        <w:rPr>
          <w:rFonts w:hint="cs"/>
          <w:rtl/>
        </w:rPr>
        <w:t>נקודה אחרונה זו עולה גם בדברי הריטב"א במסכת קידושין (ו ע"ב ד"ה בהנאת, ועוד).</w:t>
      </w:r>
      <w:r>
        <w:rPr>
          <w:rStyle w:val="a5"/>
          <w:rFonts w:eastAsia="Calibri"/>
          <w:rtl/>
        </w:rPr>
        <w:footnoteReference w:id="3"/>
      </w:r>
      <w:r>
        <w:rPr>
          <w:rFonts w:hint="cs"/>
          <w:rtl/>
        </w:rPr>
        <w:t xml:space="preserve"> הריטב"א מתייחס לאדם שהלווה לאישה ארבעה זוזים תמורת חמישה, וקידש אותה בזוז החמישי. הריטב"א מבהיר שאם האישה כבר פרעה את הזוז החמישי, והאיש חזר וקידשה באותו זוז, היא מקודשת, שכן מעות ריבית שהלווה פרע למלווה הן ממון גמור של המלווה, ואף שמדובר בריבית קצוצה, שבית דין מוציא מידי המלווה, אין זה משום ליקוי בזכותו באותן מעות אלא חיוב מיוחד של השבה שחידשה התורה.</w:t>
      </w:r>
      <w:r>
        <w:rPr>
          <w:rStyle w:val="a5"/>
          <w:rFonts w:eastAsia="Calibri"/>
          <w:rtl/>
        </w:rPr>
        <w:footnoteReference w:id="4"/>
      </w:r>
      <w:r>
        <w:rPr>
          <w:rFonts w:hint="cs"/>
          <w:rtl/>
        </w:rPr>
        <w:t xml:space="preserve"> אם האישה טרם פרעה את הזוז החמישי היא אינה מתקדשת בו, אך זאת כחלק מההלכה הכללית שאישה אינה מתקדשת במלווה, ואף בארבעת זוזי הקרן היא אינה יכולה להתקדש קודם שפרעה אותם: "</w:t>
      </w:r>
      <w:r w:rsidRPr="00F3526A">
        <w:rPr>
          <w:rtl/>
        </w:rPr>
        <w:t>היינו מלוה</w:t>
      </w:r>
      <w:r>
        <w:rPr>
          <w:rFonts w:hint="cs"/>
          <w:rtl/>
        </w:rPr>
        <w:t>,</w:t>
      </w:r>
      <w:r w:rsidRPr="00F3526A">
        <w:rPr>
          <w:rtl/>
        </w:rPr>
        <w:t xml:space="preserve"> כלומר כיון דאכתי לא פרעתיה וחוב הוא אצלו</w:t>
      </w:r>
      <w:r>
        <w:rPr>
          <w:rFonts w:hint="cs"/>
          <w:rtl/>
        </w:rPr>
        <w:t>,</w:t>
      </w:r>
      <w:r w:rsidRPr="00F3526A">
        <w:rPr>
          <w:rtl/>
        </w:rPr>
        <w:t xml:space="preserve"> הרי הוא מקדש </w:t>
      </w:r>
      <w:r w:rsidRPr="00F3526A">
        <w:rPr>
          <w:rtl/>
        </w:rPr>
        <w:t>במלוה</w:t>
      </w:r>
      <w:r>
        <w:rPr>
          <w:rFonts w:hint="cs"/>
          <w:rtl/>
        </w:rPr>
        <w:t>,</w:t>
      </w:r>
      <w:r w:rsidRPr="00F3526A">
        <w:rPr>
          <w:rtl/>
        </w:rPr>
        <w:t xml:space="preserve"> דאמאי עדיף זוזא דרבית מזוזי דקרן</w:t>
      </w:r>
      <w:r>
        <w:rPr>
          <w:rFonts w:hint="cs"/>
          <w:rtl/>
        </w:rPr>
        <w:t>?". משמע מדברי הריטב"א שהריבית היא כאמור חוב משפטי תקף, שפירעונו שייך על פי דין לנושה, ואף בטרם פירעונו הוא חוב מוכר שדינו ככל מלווה לעניין קידושין ומקח וממכר.</w:t>
      </w:r>
    </w:p>
    <w:p w14:paraId="4FBA102B" w14:textId="77777777" w:rsidR="00F42723" w:rsidRDefault="00F42723" w:rsidP="00F42723">
      <w:pPr>
        <w:rPr>
          <w:rtl/>
        </w:rPr>
      </w:pPr>
      <w:r>
        <w:rPr>
          <w:rFonts w:hint="cs"/>
          <w:rtl/>
        </w:rPr>
        <w:t>אומנם, החזון איש (</w:t>
      </w:r>
      <w:r w:rsidRPr="003346F9">
        <w:rPr>
          <w:rtl/>
        </w:rPr>
        <w:t>אבן העזר מב</w:t>
      </w:r>
      <w:r>
        <w:rPr>
          <w:rFonts w:hint="cs"/>
          <w:rtl/>
        </w:rPr>
        <w:t>, א) מיאן לקבל פרשנות זאת בדברי הריטב"א:</w:t>
      </w:r>
    </w:p>
    <w:p w14:paraId="300B2D85" w14:textId="77777777" w:rsidR="00F42723" w:rsidRPr="00F42723" w:rsidRDefault="00F42723" w:rsidP="00F42723">
      <w:pPr>
        <w:ind w:left="720"/>
        <w:rPr>
          <w:sz w:val="22"/>
          <w:szCs w:val="22"/>
          <w:rtl/>
        </w:rPr>
      </w:pPr>
      <w:r w:rsidRPr="00F42723">
        <w:rPr>
          <w:rFonts w:hint="cs"/>
          <w:sz w:val="22"/>
          <w:szCs w:val="22"/>
          <w:rtl/>
        </w:rPr>
        <w:t xml:space="preserve">"אי אפשר לומר כן, דודאי אין הרבית חשיב חוב, דרחמנא אפקריה ואין הלוה חייב כלום, ואין החוב דבר בעין שיקנה המלוה, אלא אם הלוה </w:t>
      </w:r>
      <w:r w:rsidRPr="00F42723">
        <w:rPr>
          <w:rFonts w:hint="cs"/>
          <w:b/>
          <w:bCs/>
          <w:sz w:val="22"/>
          <w:szCs w:val="22"/>
          <w:rtl/>
        </w:rPr>
        <w:t>חייב</w:t>
      </w:r>
      <w:r w:rsidRPr="00F42723">
        <w:rPr>
          <w:rFonts w:hint="cs"/>
          <w:sz w:val="22"/>
          <w:szCs w:val="22"/>
          <w:rtl/>
        </w:rPr>
        <w:t xml:space="preserve"> לו קונה שיעבוד חוב, אבל אם התורה פטרתו ללוה אין כאן חוב".</w:t>
      </w:r>
    </w:p>
    <w:p w14:paraId="37DE1BD6" w14:textId="77777777" w:rsidR="00F42723" w:rsidRPr="003346F9" w:rsidRDefault="00F42723" w:rsidP="00F42723">
      <w:pPr>
        <w:rPr>
          <w:rtl/>
        </w:rPr>
      </w:pPr>
      <w:r>
        <w:rPr>
          <w:rFonts w:hint="cs"/>
          <w:rtl/>
        </w:rPr>
        <w:t>לפי גישה זו, לא ייתכן חוב תקף בדיני חושן משפט שהתורה אוסרת על גבייתו, משום שחוב מעצם הגדרתו מבוסס על כך שהחייב חייב לשלמו, ואם בפועל התורה אוסרת עליו לשלמו – אי אפשר לומר שהוא חייב בכך. על פי גישתו של החזון איש, שחוב הריבית אינו חוב קיים ותקף משפטית, על כורחנו שאיסור "לא תשימון עליו נשך" אינו נובע מעצם יצירתו של חוב הריבית אלא מיצירת מצב הצפוי לחייב את הלווה לפרוע למלווה חוב שעל פי דין אינו קיים. כאשר הריבית כתובה במפורש בתוך השטר ובית דין של ישראל אינו צפוי לגבות אותה, יש בכך קושי, והדבר צריך עיון.</w:t>
      </w:r>
    </w:p>
    <w:p w14:paraId="5EDEB662" w14:textId="77777777" w:rsidR="00F42723" w:rsidRDefault="00F42723" w:rsidP="00F42723">
      <w:pPr>
        <w:rPr>
          <w:rtl/>
        </w:rPr>
      </w:pPr>
      <w:r w:rsidRPr="00381927">
        <w:rPr>
          <w:rFonts w:hint="cs"/>
          <w:rtl/>
        </w:rPr>
        <w:t>א</w:t>
      </w:r>
      <w:r>
        <w:rPr>
          <w:rFonts w:hint="cs"/>
          <w:rtl/>
        </w:rPr>
        <w:t>ו</w:t>
      </w:r>
      <w:r w:rsidRPr="00381927">
        <w:rPr>
          <w:rFonts w:hint="cs"/>
          <w:rtl/>
        </w:rPr>
        <w:t>מנם</w:t>
      </w:r>
      <w:r>
        <w:rPr>
          <w:rFonts w:hint="cs"/>
          <w:rtl/>
        </w:rPr>
        <w:t>, מדברי רש"י בבבא מציעא (סב ע"א) עולה הבנה שונה. הגמרא שם הבינה שלשיטת תנא קמא "</w:t>
      </w:r>
      <w:r>
        <w:rPr>
          <w:rtl/>
        </w:rPr>
        <w:t>שׂוּ</w:t>
      </w:r>
      <w:r w:rsidRPr="007C5B6B">
        <w:rPr>
          <w:rtl/>
        </w:rPr>
        <w:t>מא</w:t>
      </w:r>
      <w:r w:rsidRPr="00F62251">
        <w:rPr>
          <w:rtl/>
        </w:rPr>
        <w:t xml:space="preserve"> מילתא היא</w:t>
      </w:r>
      <w:r>
        <w:rPr>
          <w:rFonts w:hint="cs"/>
          <w:rtl/>
        </w:rPr>
        <w:t>", דהיינו שיש איסור בעצם יצירת החוב, ולשיטה זו ניתן להלקות את המלווה ואת הערב משום שמדובר בלאו שלא ניתן לתיקון, אך לשיטת רבי נחמיה ורבי אליעזר בן יעקב, שהלכה כמותם, לא ניתן להלקותם "מפני שיש בהן קום עשה... לקרוע שטרא". רש"י מסביר שלשיטתם יש לומר "</w:t>
      </w:r>
      <w:r w:rsidRPr="005879D2">
        <w:rPr>
          <w:rtl/>
        </w:rPr>
        <w:t>ד</w:t>
      </w:r>
      <w:r>
        <w:rPr>
          <w:rFonts w:hint="cs"/>
          <w:rtl/>
        </w:rPr>
        <w:t>'</w:t>
      </w:r>
      <w:r w:rsidRPr="005879D2">
        <w:rPr>
          <w:rtl/>
        </w:rPr>
        <w:t>לא תשימון עליו נשך</w:t>
      </w:r>
      <w:r>
        <w:rPr>
          <w:rFonts w:hint="cs"/>
          <w:rtl/>
        </w:rPr>
        <w:t>'</w:t>
      </w:r>
      <w:r w:rsidRPr="005879D2">
        <w:rPr>
          <w:rtl/>
        </w:rPr>
        <w:t xml:space="preserve"> דקאמר רחמנא לאו א</w:t>
      </w:r>
      <w:r>
        <w:rPr>
          <w:rtl/>
        </w:rPr>
        <w:t>שׂוּ</w:t>
      </w:r>
      <w:r w:rsidRPr="007C5B6B">
        <w:rPr>
          <w:rtl/>
        </w:rPr>
        <w:t>מא</w:t>
      </w:r>
      <w:r w:rsidRPr="005879D2">
        <w:rPr>
          <w:rtl/>
        </w:rPr>
        <w:t xml:space="preserve"> גרידתא קפיד, אלא א</w:t>
      </w:r>
      <w:r>
        <w:rPr>
          <w:rtl/>
        </w:rPr>
        <w:t>שׂוּ</w:t>
      </w:r>
      <w:r w:rsidRPr="007C5B6B">
        <w:rPr>
          <w:rtl/>
        </w:rPr>
        <w:t>מא</w:t>
      </w:r>
      <w:r w:rsidRPr="005879D2">
        <w:rPr>
          <w:rtl/>
        </w:rPr>
        <w:t xml:space="preserve"> הבא לידי גיבוי, וכל כמה שלא גבו </w:t>
      </w:r>
      <w:r>
        <w:rPr>
          <w:rtl/>
        </w:rPr>
        <w:t>–</w:t>
      </w:r>
      <w:r w:rsidRPr="005879D2">
        <w:rPr>
          <w:rtl/>
        </w:rPr>
        <w:t xml:space="preserve"> איכא קום עשה לקרועי שטרא</w:t>
      </w:r>
      <w:r>
        <w:rPr>
          <w:rFonts w:hint="cs"/>
          <w:rtl/>
        </w:rPr>
        <w:t>". אם כן, עולה מכאן תפיסה שונה מכל מה שראינו עד כה, ולפיה אין לאו בעצם יצירת החוב אלא רק בגבייתו.</w:t>
      </w:r>
    </w:p>
    <w:p w14:paraId="2107BF0C" w14:textId="77777777" w:rsidR="00F42723" w:rsidRDefault="00F42723" w:rsidP="00F42723">
      <w:pPr>
        <w:rPr>
          <w:rtl/>
        </w:rPr>
      </w:pPr>
      <w:r>
        <w:rPr>
          <w:rFonts w:hint="cs"/>
          <w:rtl/>
        </w:rPr>
        <w:t>אומנם הגמרא מוכיחה את שיטת תנא קמא מהמשנה שפתחנו</w:t>
      </w:r>
      <w:r w:rsidRPr="006A7C2A">
        <w:rPr>
          <w:rFonts w:hint="cs"/>
          <w:rtl/>
        </w:rPr>
        <w:t xml:space="preserve"> </w:t>
      </w:r>
      <w:r>
        <w:rPr>
          <w:rFonts w:hint="cs"/>
          <w:rtl/>
        </w:rPr>
        <w:t>בה, המציינת שגם העדים עוברים בלאו, וטוענת "</w:t>
      </w:r>
      <w:r w:rsidRPr="00176A50">
        <w:rPr>
          <w:rtl/>
        </w:rPr>
        <w:t>בשלמא כולהו עבוד מעשה, אלא עדים מאי עבוד? אלא לאו שמע מינה דשומא מילתא היא</w:t>
      </w:r>
      <w:r>
        <w:rPr>
          <w:rFonts w:hint="cs"/>
          <w:rtl/>
        </w:rPr>
        <w:t>", אולם הריטב"א מסביר שלגבי העדים, שאינם שותפים בפירעון אלא רק בשלב ההלוואה, לכולי עלמא האיסור הוא בעצם ה</w:t>
      </w:r>
      <w:r>
        <w:rPr>
          <w:rtl/>
        </w:rPr>
        <w:t>שׂ</w:t>
      </w:r>
      <w:r>
        <w:rPr>
          <w:rFonts w:hint="cs"/>
          <w:rtl/>
        </w:rPr>
        <w:t xml:space="preserve">ימה, והמחלוקת היא אם להקיש וללמוד </w:t>
      </w:r>
      <w:r>
        <w:rPr>
          <w:rFonts w:hint="cs"/>
          <w:rtl/>
        </w:rPr>
        <w:lastRenderedPageBreak/>
        <w:t>מהעדים גם למלווה או שמא לחלק ולומר שהעדים עוברים בעצם ה</w:t>
      </w:r>
      <w:r>
        <w:rPr>
          <w:rtl/>
        </w:rPr>
        <w:t>שׂ</w:t>
      </w:r>
      <w:r>
        <w:rPr>
          <w:rFonts w:hint="cs"/>
          <w:rtl/>
        </w:rPr>
        <w:t>ימה ואילו עבירתו של המלווה נשלמת רק בגבייה. ומעין כך הביא גם המנחת חינוך אצלנו בסוף דבריו: "</w:t>
      </w:r>
      <w:r w:rsidRPr="00C52F1F">
        <w:rPr>
          <w:rtl/>
        </w:rPr>
        <w:t>אפשר נהי דהעדים עוברים בשעת שימה</w:t>
      </w:r>
      <w:r>
        <w:rPr>
          <w:rFonts w:hint="cs"/>
          <w:rtl/>
        </w:rPr>
        <w:t>,</w:t>
      </w:r>
      <w:r w:rsidRPr="00C52F1F">
        <w:rPr>
          <w:rtl/>
        </w:rPr>
        <w:t xml:space="preserve"> מ</w:t>
      </w:r>
      <w:r>
        <w:rPr>
          <w:rFonts w:hint="cs"/>
          <w:rtl/>
        </w:rPr>
        <w:t>כל מקום</w:t>
      </w:r>
      <w:r w:rsidRPr="00C52F1F">
        <w:rPr>
          <w:rtl/>
        </w:rPr>
        <w:t xml:space="preserve"> המלוה כיון שיש בידו לקרוע השטר ולא לגבות א</w:t>
      </w:r>
      <w:r>
        <w:rPr>
          <w:rFonts w:hint="cs"/>
          <w:rtl/>
        </w:rPr>
        <w:t>ינו עובר</w:t>
      </w:r>
      <w:r w:rsidRPr="00C52F1F">
        <w:rPr>
          <w:rtl/>
        </w:rPr>
        <w:t xml:space="preserve"> תיכף</w:t>
      </w:r>
      <w:r>
        <w:rPr>
          <w:rFonts w:hint="cs"/>
          <w:rtl/>
        </w:rPr>
        <w:t>"</w:t>
      </w:r>
      <w:r w:rsidRPr="00C52F1F">
        <w:rPr>
          <w:rFonts w:hint="cs"/>
          <w:rtl/>
        </w:rPr>
        <w:t>.</w:t>
      </w:r>
      <w:r>
        <w:rPr>
          <w:rFonts w:hint="cs"/>
          <w:rtl/>
        </w:rPr>
        <w:t xml:space="preserve"> בגמרא עצמה ניתן לפרש אחרת, שאף לרבי נחמיה ורבי אליעזר בן יעקב "</w:t>
      </w:r>
      <w:r>
        <w:rPr>
          <w:rtl/>
        </w:rPr>
        <w:t>שׂוּ</w:t>
      </w:r>
      <w:r w:rsidRPr="007C5B6B">
        <w:rPr>
          <w:rtl/>
        </w:rPr>
        <w:t>מא</w:t>
      </w:r>
      <w:r w:rsidRPr="00F62251">
        <w:rPr>
          <w:rtl/>
        </w:rPr>
        <w:t xml:space="preserve"> מילתא היא</w:t>
      </w:r>
      <w:r>
        <w:rPr>
          <w:rFonts w:hint="cs"/>
          <w:rtl/>
        </w:rPr>
        <w:t>" אלא שהיא ניתנת לתיקון בקריעת השטר, אך לפי פירושו של רש"י נראה שיש חיזוק לשיטתו של החזון איש שהתקשיתי בה לעיל. אומנם, כאמור, יש להתקשות בכך לאור הסוגיה בבבא קמא, שבה ביאר רש"י במפורש שהמלווה עבר באיסור "לא תשימון עליו נשך" בעצם ההלוואה, וזאת כשמדובר בשטר שהריבית כתובה בו במפורש ובית דין אינו צפוי לאכוף את גבייתו. סוף דבר, גדרו הבסיסי של לאו זה טעון בירור נוסף.</w:t>
      </w:r>
    </w:p>
    <w:p w14:paraId="4DCE95A5" w14:textId="77777777" w:rsidR="00F42723" w:rsidRDefault="00F42723" w:rsidP="00F42723">
      <w:pPr>
        <w:rPr>
          <w:rtl/>
        </w:rPr>
      </w:pPr>
    </w:p>
    <w:p w14:paraId="4138E2FC" w14:textId="77777777" w:rsidR="00F42723" w:rsidRPr="00093FDA" w:rsidRDefault="00F42723" w:rsidP="00F42723">
      <w:pPr>
        <w:pStyle w:val="2"/>
        <w:rPr>
          <w:rtl/>
        </w:rPr>
      </w:pPr>
      <w:r>
        <w:rPr>
          <w:rFonts w:hint="cs"/>
          <w:rtl/>
        </w:rPr>
        <w:t>תירוצים נוספים לכשרות העדים בשטר עם ריבית</w:t>
      </w:r>
    </w:p>
    <w:p w14:paraId="3E68BD28" w14:textId="77777777" w:rsidR="00F42723" w:rsidRDefault="00F42723" w:rsidP="00F42723">
      <w:pPr>
        <w:rPr>
          <w:rtl/>
        </w:rPr>
      </w:pPr>
      <w:r>
        <w:rPr>
          <w:rFonts w:hint="cs"/>
          <w:rtl/>
        </w:rPr>
        <w:t>כפי שראינו לעיל, הראשונים הקשו כיצד ניתן לגבות את הקרן בשטר שכתובה בו ריבית, שהרי העדים פסולים משום שעברו על איסור "לא תשימון עליו נשך". התוספות בבבא קמא הציעו שהציבור אינו מודע לכך שלאו זה אינו מתייחס רק ללווה ולמלווה אלא גם לעדים, ועל כן מדובר באנשים המורים לעצמם היתר, שאינם נפסלים לעדות. ועוד הציעו להעמיד את הברייתא במקרה של עדים האנוסים מחמת נפשות.</w:t>
      </w:r>
    </w:p>
    <w:p w14:paraId="2159E1D7" w14:textId="628E5513" w:rsidR="003A2794" w:rsidRPr="00F42723" w:rsidRDefault="00F42723" w:rsidP="00F42723">
      <w:pPr>
        <w:rPr>
          <w:rtl/>
        </w:rPr>
      </w:pPr>
      <w:r>
        <w:rPr>
          <w:rFonts w:hint="cs"/>
          <w:rtl/>
        </w:rPr>
        <w:t>הדוחק בהסברים אלו ניכר, ועל כן הציע קצות החושן (נב, א) הסבר שונה ומחודש. ה</w:t>
      </w:r>
      <w:r w:rsidRPr="00367FF1">
        <w:rPr>
          <w:rtl/>
        </w:rPr>
        <w:t>קצות</w:t>
      </w:r>
      <w:r>
        <w:rPr>
          <w:rFonts w:hint="cs"/>
          <w:rtl/>
        </w:rPr>
        <w:t xml:space="preserve"> </w:t>
      </w:r>
      <w:r w:rsidRPr="00367FF1">
        <w:rPr>
          <w:rtl/>
        </w:rPr>
        <w:t>הציע שפסולם של עדים שעברו על א</w:t>
      </w:r>
      <w:r>
        <w:rPr>
          <w:rFonts w:hint="cs"/>
          <w:rtl/>
        </w:rPr>
        <w:t>י</w:t>
      </w:r>
      <w:r w:rsidRPr="00367FF1">
        <w:rPr>
          <w:rtl/>
        </w:rPr>
        <w:t xml:space="preserve">סור חל בעקבות </w:t>
      </w:r>
      <w:r>
        <w:rPr>
          <w:rFonts w:hint="cs"/>
          <w:rtl/>
        </w:rPr>
        <w:t>העבירה</w:t>
      </w:r>
      <w:r w:rsidRPr="00367FF1">
        <w:rPr>
          <w:rtl/>
        </w:rPr>
        <w:t>, וה</w:t>
      </w:r>
      <w:r>
        <w:rPr>
          <w:rFonts w:hint="cs"/>
          <w:rtl/>
        </w:rPr>
        <w:t>עבירה</w:t>
      </w:r>
      <w:r w:rsidRPr="00367FF1">
        <w:rPr>
          <w:rtl/>
        </w:rPr>
        <w:t xml:space="preserve"> הי</w:t>
      </w:r>
      <w:r>
        <w:rPr>
          <w:rFonts w:hint="cs"/>
          <w:rtl/>
        </w:rPr>
        <w:t>ית</w:t>
      </w:r>
      <w:r w:rsidRPr="00367FF1">
        <w:rPr>
          <w:rtl/>
        </w:rPr>
        <w:t>ה רק בשעת החתימה. על כן, אומר הקצות, בשעה שה</w:t>
      </w:r>
      <w:r>
        <w:rPr>
          <w:rFonts w:hint="cs"/>
          <w:rtl/>
        </w:rPr>
        <w:t>עדי</w:t>
      </w:r>
      <w:r w:rsidRPr="00367FF1">
        <w:rPr>
          <w:rtl/>
        </w:rPr>
        <w:t xml:space="preserve">ם חתמו הם עדיין לא נפסלו לעדות, וממילא השטר כשר. </w:t>
      </w:r>
      <w:r>
        <w:rPr>
          <w:rFonts w:hint="cs"/>
          <w:rtl/>
        </w:rPr>
        <w:t xml:space="preserve">כמשל לכך הביא הקצות את חידושו של הר"ן (חולין יד ע"א), שהסביר שהשוחט בשבת שחיטתו כשרה שכן הוא אינו נעשה מומר לחילול שבת אלא בגמר השחיטה. </w:t>
      </w:r>
      <w:r w:rsidRPr="00367FF1">
        <w:rPr>
          <w:rtl/>
        </w:rPr>
        <w:t xml:space="preserve">גישה זו של </w:t>
      </w:r>
      <w:r>
        <w:rPr>
          <w:rFonts w:hint="cs"/>
          <w:rtl/>
        </w:rPr>
        <w:t xml:space="preserve">בעל </w:t>
      </w:r>
      <w:r w:rsidRPr="00367FF1">
        <w:rPr>
          <w:rtl/>
        </w:rPr>
        <w:t>קצות</w:t>
      </w:r>
      <w:r>
        <w:rPr>
          <w:rFonts w:hint="cs"/>
          <w:rtl/>
        </w:rPr>
        <w:t xml:space="preserve"> החושן לגבי פסילה לעדות</w:t>
      </w:r>
      <w:r w:rsidRPr="00367FF1">
        <w:rPr>
          <w:rtl/>
        </w:rPr>
        <w:t xml:space="preserve"> אינה פשוטה כלל ועיקר, וטעונה עיון מעמיק בסוגיה </w:t>
      </w:r>
      <w:r>
        <w:rPr>
          <w:rFonts w:hint="cs"/>
          <w:rtl/>
        </w:rPr>
        <w:t>בבבא קמא עג ע"א (והוא דן בה בהמשך דבריו)</w:t>
      </w:r>
      <w:r w:rsidRPr="00367FF1">
        <w:rPr>
          <w:rtl/>
        </w:rPr>
        <w:t>, ולא נאריך ב</w:t>
      </w:r>
      <w:r>
        <w:rPr>
          <w:rFonts w:hint="cs"/>
          <w:rtl/>
        </w:rPr>
        <w:t>כך</w:t>
      </w:r>
      <w:r w:rsidRPr="00367FF1">
        <w:rPr>
          <w:rtl/>
        </w:rPr>
        <w:t xml:space="preserve"> כעת. נציין רק שאם פסולו של עבריין נובע מהנחה שגם תהיה לו נכונות לשקר, סביר להניח שפסול זה מתחיל מהרגע שבו יש לו נכונות (שבסופו של דבר מתממשת) לבצע את המעשה האסור, ולא מסוף הביצוע.</w:t>
      </w:r>
      <w:r>
        <w:rPr>
          <w:rFonts w:hint="cs"/>
          <w:rtl/>
        </w:rPr>
        <w:t xml:space="preserve"> אם הפסול מבוסס על כך שחל עליו מעמד אישי של רשע, יש יותר מקום לומר שהדבר אינו מתרחש עד תום מעשה העבירה</w:t>
      </w:r>
      <w:r w:rsidRPr="00367FF1">
        <w:rPr>
          <w:rtl/>
        </w:rPr>
        <w:t>.</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1B8E507D"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w:t>
            </w:r>
            <w:bookmarkEnd w:id="0"/>
            <w:r w:rsidR="00050E1C">
              <w:rPr>
                <w:rFonts w:hint="cs"/>
                <w:rtl/>
              </w:rPr>
              <w:t>שמואל שמעוני</w:t>
            </w:r>
          </w:p>
          <w:bookmarkEnd w:id="1"/>
          <w:p w14:paraId="09926106" w14:textId="535B3F47" w:rsidR="001041A0" w:rsidRDefault="001041A0" w:rsidP="001041A0">
            <w:pPr>
              <w:pStyle w:val="aa"/>
              <w:rPr>
                <w:rtl/>
              </w:rPr>
            </w:pPr>
            <w:r>
              <w:rPr>
                <w:rtl/>
              </w:rPr>
              <w:t xml:space="preserve">עורך: </w:t>
            </w:r>
            <w:r>
              <w:rPr>
                <w:rFonts w:hint="cs"/>
                <w:rtl/>
              </w:rPr>
              <w:t>יהודה רוזנברג, תשפ"</w:t>
            </w:r>
            <w:r w:rsidR="001F6487">
              <w:rPr>
                <w:rFonts w:hint="cs"/>
                <w:rtl/>
              </w:rPr>
              <w:t>ג</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0459F">
      <w:pPr>
        <w:pStyle w:val="afd"/>
        <w:bidi/>
        <w:spacing w:line="280" w:lineRule="exact"/>
        <w:rPr>
          <w:rFonts w:ascii="Narkisim" w:hAnsi="Narkisim" w:cs="Narkisim"/>
          <w:rtl/>
          <w:lang w:bidi="he-IL"/>
        </w:rPr>
      </w:pPr>
    </w:p>
    <w:sectPr w:rsidR="000B0D5F" w:rsidRPr="00F701C4" w:rsidSect="002121E4">
      <w:headerReference w:type="even" r:id="rId14"/>
      <w:headerReference w:type="default" r:id="rId15"/>
      <w:headerReference w:type="first" r:id="rId16"/>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51896" w14:textId="77777777" w:rsidR="00E42E17" w:rsidRDefault="00E42E17" w:rsidP="0073336C">
      <w:r>
        <w:separator/>
      </w:r>
    </w:p>
    <w:p w14:paraId="18BCE84B" w14:textId="77777777" w:rsidR="00E42E17" w:rsidRDefault="00E42E17"/>
  </w:endnote>
  <w:endnote w:type="continuationSeparator" w:id="0">
    <w:p w14:paraId="7E7C0733" w14:textId="77777777" w:rsidR="00E42E17" w:rsidRDefault="00E42E17" w:rsidP="0073336C">
      <w:r>
        <w:continuationSeparator/>
      </w:r>
    </w:p>
    <w:p w14:paraId="772D2FBA" w14:textId="77777777" w:rsidR="00E42E17" w:rsidRDefault="00E42E17"/>
  </w:endnote>
  <w:endnote w:type="continuationNotice" w:id="1">
    <w:p w14:paraId="0813F5A6" w14:textId="77777777" w:rsidR="00E42E17" w:rsidRDefault="00E42E17">
      <w:pPr>
        <w:spacing w:after="0" w:line="240" w:lineRule="auto"/>
      </w:pPr>
    </w:p>
    <w:p w14:paraId="00C38C05" w14:textId="77777777" w:rsidR="00E42E17" w:rsidRDefault="00E42E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BEF23" w14:textId="77777777" w:rsidR="00E42E17" w:rsidRDefault="00E42E17" w:rsidP="0073336C">
      <w:r>
        <w:separator/>
      </w:r>
    </w:p>
    <w:p w14:paraId="21620C3A" w14:textId="77777777" w:rsidR="00E42E17" w:rsidRDefault="00E42E17"/>
  </w:footnote>
  <w:footnote w:type="continuationSeparator" w:id="0">
    <w:p w14:paraId="2B7CADB2" w14:textId="77777777" w:rsidR="00E42E17" w:rsidRDefault="00E42E17" w:rsidP="0073336C">
      <w:r>
        <w:continuationSeparator/>
      </w:r>
    </w:p>
    <w:p w14:paraId="69205DC7" w14:textId="77777777" w:rsidR="00E42E17" w:rsidRDefault="00E42E17"/>
  </w:footnote>
  <w:footnote w:type="continuationNotice" w:id="1">
    <w:p w14:paraId="24AD42AD" w14:textId="77777777" w:rsidR="00E42E17" w:rsidRDefault="00E42E17">
      <w:pPr>
        <w:spacing w:after="0" w:line="240" w:lineRule="auto"/>
      </w:pPr>
    </w:p>
    <w:p w14:paraId="25E3AC75" w14:textId="77777777" w:rsidR="00E42E17" w:rsidRDefault="00E42E17"/>
  </w:footnote>
  <w:footnote w:id="2">
    <w:p w14:paraId="127B7A30" w14:textId="77777777" w:rsidR="00F42723" w:rsidRPr="00C2500E" w:rsidRDefault="00F42723" w:rsidP="00046783">
      <w:pPr>
        <w:pStyle w:val="a3"/>
        <w:spacing w:line="240" w:lineRule="auto"/>
        <w:ind w:left="0" w:firstLine="0"/>
      </w:pPr>
      <w:r w:rsidRPr="00C2500E">
        <w:rPr>
          <w:rStyle w:val="a5"/>
          <w:rFonts w:eastAsia="Narkisim"/>
        </w:rPr>
        <w:footnoteRef/>
      </w:r>
      <w:r w:rsidRPr="00C2500E">
        <w:rPr>
          <w:rtl/>
        </w:rPr>
        <w:t xml:space="preserve"> מלשון הגמרא והרמב"ם (מלוה </w:t>
      </w:r>
      <w:r>
        <w:rPr>
          <w:rFonts w:hint="cs"/>
          <w:rtl/>
        </w:rPr>
        <w:t xml:space="preserve">ולוה </w:t>
      </w:r>
      <w:r w:rsidRPr="00C2500E">
        <w:rPr>
          <w:rtl/>
        </w:rPr>
        <w:t>ד</w:t>
      </w:r>
      <w:r>
        <w:rPr>
          <w:rFonts w:hint="cs"/>
          <w:rtl/>
        </w:rPr>
        <w:t xml:space="preserve">, </w:t>
      </w:r>
      <w:r w:rsidRPr="00C2500E">
        <w:rPr>
          <w:rtl/>
        </w:rPr>
        <w:t>ב) ניתן להבין שהלווה אינו עובר בלאו זה, אף שהערב עובר</w:t>
      </w:r>
      <w:r>
        <w:rPr>
          <w:rFonts w:hint="cs"/>
          <w:rtl/>
        </w:rPr>
        <w:t xml:space="preserve"> עליו</w:t>
      </w:r>
      <w:r w:rsidRPr="00C2500E">
        <w:rPr>
          <w:rtl/>
        </w:rPr>
        <w:t>, וכנראה הערב עובר בשל סיועו להלוואה ואילו הלווה עצמו אינו שייך בלאו זה (אלא רק באיסור "לא תשיך" ו"לפני עור"). אולם בתוספות (בבא קמא ל ע"ב ד"ה וחכמים) מבואר שהלווה שותף אף הוא בלאו.</w:t>
      </w:r>
    </w:p>
  </w:footnote>
  <w:footnote w:id="3">
    <w:p w14:paraId="260B4826" w14:textId="77777777" w:rsidR="00F42723" w:rsidRPr="00C2500E" w:rsidRDefault="00F42723" w:rsidP="00046783">
      <w:pPr>
        <w:pStyle w:val="a3"/>
        <w:spacing w:line="240" w:lineRule="auto"/>
        <w:ind w:left="0" w:firstLine="0"/>
        <w:rPr>
          <w:rtl/>
        </w:rPr>
      </w:pPr>
      <w:r w:rsidRPr="00C2500E">
        <w:rPr>
          <w:rStyle w:val="a5"/>
          <w:rFonts w:eastAsia="Narkisim"/>
        </w:rPr>
        <w:footnoteRef/>
      </w:r>
      <w:r w:rsidRPr="00C2500E">
        <w:rPr>
          <w:rtl/>
        </w:rPr>
        <w:t xml:space="preserve"> וראו גם דבריו בבבא מציעא סא ע"א ד"ה שכן, מה להנך.</w:t>
      </w:r>
    </w:p>
  </w:footnote>
  <w:footnote w:id="4">
    <w:p w14:paraId="19DBA2F0" w14:textId="77777777" w:rsidR="00F42723" w:rsidRPr="00C2500E" w:rsidRDefault="00F42723" w:rsidP="00046783">
      <w:pPr>
        <w:pStyle w:val="a3"/>
        <w:spacing w:line="240" w:lineRule="auto"/>
        <w:ind w:left="0" w:firstLine="0"/>
      </w:pPr>
      <w:r w:rsidRPr="00C2500E">
        <w:rPr>
          <w:rStyle w:val="a5"/>
          <w:rFonts w:eastAsia="Narkisim"/>
        </w:rPr>
        <w:footnoteRef/>
      </w:r>
      <w:r w:rsidRPr="00C2500E">
        <w:rPr>
          <w:rtl/>
        </w:rPr>
        <w:t xml:space="preserve"> "שהכתוב רוצה שיקיא מה שאכל" (לשון הריטב"א בבא מציעא סב ע"א).</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564B2EAB" w:rsidR="00383D8E" w:rsidRPr="006216C9" w:rsidRDefault="00C021A5" w:rsidP="0073336C">
          <w:pPr>
            <w:rPr>
              <w:rtl/>
            </w:rPr>
          </w:pPr>
          <w:r>
            <w:rPr>
              <w:rFonts w:hint="cs"/>
              <w:rtl/>
            </w:rPr>
            <w:t xml:space="preserve">עיונים </w:t>
          </w:r>
          <w:r w:rsidR="00E34668">
            <w:rPr>
              <w:rFonts w:hint="cs"/>
              <w:rtl/>
            </w:rPr>
            <w:t>במצוות בעקבות המנחת חינוך מאת הרב שמואל שמעוני</w:t>
          </w:r>
        </w:p>
      </w:tc>
      <w:tc>
        <w:tcPr>
          <w:tcW w:w="2976" w:type="dxa"/>
          <w:tcBorders>
            <w:bottom w:val="double" w:sz="4" w:space="0" w:color="auto"/>
          </w:tcBorders>
          <w:vAlign w:val="center"/>
        </w:tcPr>
        <w:p w14:paraId="7D40D3BB" w14:textId="0D991F74" w:rsidR="00383D8E" w:rsidRPr="006216C9" w:rsidRDefault="00000000"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25C"/>
    <w:multiLevelType w:val="hybridMultilevel"/>
    <w:tmpl w:val="1DB4F87E"/>
    <w:lvl w:ilvl="0" w:tplc="A3883A7A">
      <w:start w:val="1"/>
      <w:numFmt w:val="hebrew1"/>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94513"/>
    <w:multiLevelType w:val="hybridMultilevel"/>
    <w:tmpl w:val="938AC28A"/>
    <w:lvl w:ilvl="0" w:tplc="1CB832B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012B68"/>
    <w:multiLevelType w:val="hybridMultilevel"/>
    <w:tmpl w:val="54886FFA"/>
    <w:lvl w:ilvl="0" w:tplc="22DE1C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20929"/>
    <w:multiLevelType w:val="hybridMultilevel"/>
    <w:tmpl w:val="5C602B6E"/>
    <w:lvl w:ilvl="0" w:tplc="73B8FA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E196F"/>
    <w:multiLevelType w:val="hybridMultilevel"/>
    <w:tmpl w:val="2A567E34"/>
    <w:lvl w:ilvl="0" w:tplc="89A03A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A46AD"/>
    <w:multiLevelType w:val="hybridMultilevel"/>
    <w:tmpl w:val="175A6078"/>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70B95"/>
    <w:multiLevelType w:val="hybridMultilevel"/>
    <w:tmpl w:val="1C6E333A"/>
    <w:lvl w:ilvl="0" w:tplc="41A02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496379B"/>
    <w:multiLevelType w:val="hybridMultilevel"/>
    <w:tmpl w:val="7070FFC4"/>
    <w:lvl w:ilvl="0" w:tplc="694C0E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F06D40"/>
    <w:multiLevelType w:val="hybridMultilevel"/>
    <w:tmpl w:val="A47EE4FE"/>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1422B5"/>
    <w:multiLevelType w:val="hybridMultilevel"/>
    <w:tmpl w:val="E8D48E48"/>
    <w:lvl w:ilvl="0" w:tplc="E77076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9B0FF8"/>
    <w:multiLevelType w:val="hybridMultilevel"/>
    <w:tmpl w:val="EF6A4EAE"/>
    <w:lvl w:ilvl="0" w:tplc="D17C32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2E3150"/>
    <w:multiLevelType w:val="hybridMultilevel"/>
    <w:tmpl w:val="BDCA93E4"/>
    <w:lvl w:ilvl="0" w:tplc="E66C46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3803BB"/>
    <w:multiLevelType w:val="hybridMultilevel"/>
    <w:tmpl w:val="241A79BA"/>
    <w:lvl w:ilvl="0" w:tplc="1BD4EA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E56EAC"/>
    <w:multiLevelType w:val="hybridMultilevel"/>
    <w:tmpl w:val="B0621D2E"/>
    <w:lvl w:ilvl="0" w:tplc="B4CED6DC">
      <w:start w:val="1"/>
      <w:numFmt w:val="decimal"/>
      <w:lvlText w:val="%1."/>
      <w:lvlJc w:val="left"/>
      <w:pPr>
        <w:tabs>
          <w:tab w:val="num" w:pos="720"/>
        </w:tabs>
        <w:ind w:left="720" w:hanging="360"/>
      </w:pPr>
      <w:rPr>
        <w:rFonts w:hint="default"/>
        <w:lang w:val="en-US"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F060FB"/>
    <w:multiLevelType w:val="hybridMultilevel"/>
    <w:tmpl w:val="CA8A974C"/>
    <w:lvl w:ilvl="0" w:tplc="6C3CC5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FA20CA"/>
    <w:multiLevelType w:val="hybridMultilevel"/>
    <w:tmpl w:val="9B9AC866"/>
    <w:lvl w:ilvl="0" w:tplc="9474C3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6D32D1"/>
    <w:multiLevelType w:val="hybridMultilevel"/>
    <w:tmpl w:val="44329724"/>
    <w:lvl w:ilvl="0" w:tplc="60340C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C277C4"/>
    <w:multiLevelType w:val="hybridMultilevel"/>
    <w:tmpl w:val="CC3243DA"/>
    <w:lvl w:ilvl="0" w:tplc="7EEA7E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185278"/>
    <w:multiLevelType w:val="hybridMultilevel"/>
    <w:tmpl w:val="D8E458A8"/>
    <w:lvl w:ilvl="0" w:tplc="89F29B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7E0648"/>
    <w:multiLevelType w:val="hybridMultilevel"/>
    <w:tmpl w:val="F510ED26"/>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031D22"/>
    <w:multiLevelType w:val="hybridMultilevel"/>
    <w:tmpl w:val="FE70B3F6"/>
    <w:lvl w:ilvl="0" w:tplc="E70AF8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abstractNum w:abstractNumId="32" w15:restartNumberingAfterBreak="0">
    <w:nsid w:val="79E17E6C"/>
    <w:multiLevelType w:val="hybridMultilevel"/>
    <w:tmpl w:val="C99010BA"/>
    <w:lvl w:ilvl="0" w:tplc="E50A3FBE">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301DC9"/>
    <w:multiLevelType w:val="hybridMultilevel"/>
    <w:tmpl w:val="42D8A856"/>
    <w:lvl w:ilvl="0" w:tplc="7938BE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6D2B7D"/>
    <w:multiLevelType w:val="hybridMultilevel"/>
    <w:tmpl w:val="0D863CF8"/>
    <w:lvl w:ilvl="0" w:tplc="412A7328">
      <w:start w:val="1"/>
      <w:numFmt w:val="hebrew1"/>
      <w:lvlText w:val="%1."/>
      <w:lvlJc w:val="left"/>
      <w:pPr>
        <w:ind w:left="720" w:hanging="360"/>
      </w:pPr>
      <w:rPr>
        <w:rFonts w:hint="default"/>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5057805">
    <w:abstractNumId w:val="17"/>
  </w:num>
  <w:num w:numId="2" w16cid:durableId="1468352086">
    <w:abstractNumId w:val="12"/>
  </w:num>
  <w:num w:numId="3" w16cid:durableId="153424326">
    <w:abstractNumId w:val="19"/>
  </w:num>
  <w:num w:numId="4" w16cid:durableId="364327629">
    <w:abstractNumId w:val="10"/>
  </w:num>
  <w:num w:numId="5" w16cid:durableId="12722029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9358683">
    <w:abstractNumId w:val="29"/>
  </w:num>
  <w:num w:numId="7" w16cid:durableId="213397309">
    <w:abstractNumId w:val="27"/>
  </w:num>
  <w:num w:numId="8" w16cid:durableId="1528178987">
    <w:abstractNumId w:val="9"/>
  </w:num>
  <w:num w:numId="9" w16cid:durableId="96871540">
    <w:abstractNumId w:val="4"/>
  </w:num>
  <w:num w:numId="10" w16cid:durableId="1462114829">
    <w:abstractNumId w:val="20"/>
  </w:num>
  <w:num w:numId="11" w16cid:durableId="20296706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0716439">
    <w:abstractNumId w:val="21"/>
  </w:num>
  <w:num w:numId="13" w16cid:durableId="1785688986">
    <w:abstractNumId w:val="24"/>
  </w:num>
  <w:num w:numId="14" w16cid:durableId="1765957454">
    <w:abstractNumId w:val="14"/>
  </w:num>
  <w:num w:numId="15" w16cid:durableId="511725753">
    <w:abstractNumId w:val="23"/>
  </w:num>
  <w:num w:numId="16" w16cid:durableId="792988553">
    <w:abstractNumId w:val="32"/>
  </w:num>
  <w:num w:numId="17" w16cid:durableId="697782907">
    <w:abstractNumId w:val="16"/>
  </w:num>
  <w:num w:numId="18" w16cid:durableId="37363191">
    <w:abstractNumId w:val="22"/>
  </w:num>
  <w:num w:numId="19" w16cid:durableId="1107236762">
    <w:abstractNumId w:val="18"/>
  </w:num>
  <w:num w:numId="20" w16cid:durableId="780606052">
    <w:abstractNumId w:val="7"/>
  </w:num>
  <w:num w:numId="21" w16cid:durableId="1712221339">
    <w:abstractNumId w:val="5"/>
  </w:num>
  <w:num w:numId="22" w16cid:durableId="454374711">
    <w:abstractNumId w:val="2"/>
  </w:num>
  <w:num w:numId="23" w16cid:durableId="717781376">
    <w:abstractNumId w:val="0"/>
  </w:num>
  <w:num w:numId="24" w16cid:durableId="26686172">
    <w:abstractNumId w:val="34"/>
  </w:num>
  <w:num w:numId="25" w16cid:durableId="910458530">
    <w:abstractNumId w:val="30"/>
  </w:num>
  <w:num w:numId="26" w16cid:durableId="1300570656">
    <w:abstractNumId w:val="15"/>
  </w:num>
  <w:num w:numId="27" w16cid:durableId="559943378">
    <w:abstractNumId w:val="1"/>
  </w:num>
  <w:num w:numId="28" w16cid:durableId="736128408">
    <w:abstractNumId w:val="6"/>
  </w:num>
  <w:num w:numId="29" w16cid:durableId="1643538468">
    <w:abstractNumId w:val="28"/>
  </w:num>
  <w:num w:numId="30" w16cid:durableId="1743093136">
    <w:abstractNumId w:val="13"/>
  </w:num>
  <w:num w:numId="31" w16cid:durableId="731081409">
    <w:abstractNumId w:val="11"/>
  </w:num>
  <w:num w:numId="32" w16cid:durableId="987632398">
    <w:abstractNumId w:val="26"/>
  </w:num>
  <w:num w:numId="33" w16cid:durableId="20131771">
    <w:abstractNumId w:val="25"/>
  </w:num>
  <w:num w:numId="34" w16cid:durableId="363558864">
    <w:abstractNumId w:val="3"/>
  </w:num>
  <w:num w:numId="35" w16cid:durableId="15338831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BB6"/>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6783"/>
    <w:rsid w:val="0004723C"/>
    <w:rsid w:val="00047508"/>
    <w:rsid w:val="000478F5"/>
    <w:rsid w:val="0004794C"/>
    <w:rsid w:val="00047989"/>
    <w:rsid w:val="000500DA"/>
    <w:rsid w:val="0005014E"/>
    <w:rsid w:val="00050BFE"/>
    <w:rsid w:val="00050E1C"/>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3BC"/>
    <w:rsid w:val="00056413"/>
    <w:rsid w:val="00056637"/>
    <w:rsid w:val="00056DDC"/>
    <w:rsid w:val="00056EA2"/>
    <w:rsid w:val="000570BB"/>
    <w:rsid w:val="00057521"/>
    <w:rsid w:val="00057741"/>
    <w:rsid w:val="00057ADA"/>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B2E"/>
    <w:rsid w:val="000D2F68"/>
    <w:rsid w:val="000D37FF"/>
    <w:rsid w:val="000D4092"/>
    <w:rsid w:val="000D4260"/>
    <w:rsid w:val="000D477B"/>
    <w:rsid w:val="000D4A78"/>
    <w:rsid w:val="000D4C8C"/>
    <w:rsid w:val="000D518E"/>
    <w:rsid w:val="000D567C"/>
    <w:rsid w:val="000D5FBA"/>
    <w:rsid w:val="000D6B60"/>
    <w:rsid w:val="000D6F9C"/>
    <w:rsid w:val="000D6FFD"/>
    <w:rsid w:val="000D7059"/>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7AF5"/>
    <w:rsid w:val="000E7DFD"/>
    <w:rsid w:val="000F001B"/>
    <w:rsid w:val="000F0C93"/>
    <w:rsid w:val="000F101A"/>
    <w:rsid w:val="000F103D"/>
    <w:rsid w:val="000F1925"/>
    <w:rsid w:val="000F221D"/>
    <w:rsid w:val="000F2798"/>
    <w:rsid w:val="000F2BCE"/>
    <w:rsid w:val="000F3786"/>
    <w:rsid w:val="000F3828"/>
    <w:rsid w:val="000F3906"/>
    <w:rsid w:val="000F3C76"/>
    <w:rsid w:val="000F3DD0"/>
    <w:rsid w:val="000F3FA5"/>
    <w:rsid w:val="000F40C4"/>
    <w:rsid w:val="000F4E98"/>
    <w:rsid w:val="000F5573"/>
    <w:rsid w:val="000F5F27"/>
    <w:rsid w:val="000F6308"/>
    <w:rsid w:val="000F641A"/>
    <w:rsid w:val="000F6479"/>
    <w:rsid w:val="000F670D"/>
    <w:rsid w:val="000F671D"/>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775"/>
    <w:rsid w:val="00110844"/>
    <w:rsid w:val="00110E67"/>
    <w:rsid w:val="0011179C"/>
    <w:rsid w:val="0011183B"/>
    <w:rsid w:val="0011212D"/>
    <w:rsid w:val="00112B4E"/>
    <w:rsid w:val="00112FFD"/>
    <w:rsid w:val="001139E8"/>
    <w:rsid w:val="00113A12"/>
    <w:rsid w:val="00113B42"/>
    <w:rsid w:val="00113F1E"/>
    <w:rsid w:val="0011402E"/>
    <w:rsid w:val="00114D83"/>
    <w:rsid w:val="00114E26"/>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996"/>
    <w:rsid w:val="00137A3B"/>
    <w:rsid w:val="00137C0E"/>
    <w:rsid w:val="00140B4E"/>
    <w:rsid w:val="00141089"/>
    <w:rsid w:val="001412B1"/>
    <w:rsid w:val="001418FA"/>
    <w:rsid w:val="00141C9A"/>
    <w:rsid w:val="001423C5"/>
    <w:rsid w:val="0014240B"/>
    <w:rsid w:val="00143985"/>
    <w:rsid w:val="00143BDE"/>
    <w:rsid w:val="00144061"/>
    <w:rsid w:val="0014485A"/>
    <w:rsid w:val="00144C37"/>
    <w:rsid w:val="00144D5B"/>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522"/>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C79"/>
    <w:rsid w:val="001A6573"/>
    <w:rsid w:val="001A769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3E1D"/>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1AB"/>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4B6"/>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BFD"/>
    <w:rsid w:val="00215CA7"/>
    <w:rsid w:val="00215FDF"/>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B77"/>
    <w:rsid w:val="00223795"/>
    <w:rsid w:val="00223A24"/>
    <w:rsid w:val="00223C3C"/>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5EBF"/>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67E"/>
    <w:rsid w:val="002617BA"/>
    <w:rsid w:val="0026222A"/>
    <w:rsid w:val="0026322D"/>
    <w:rsid w:val="002635D1"/>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74D"/>
    <w:rsid w:val="002A58CD"/>
    <w:rsid w:val="002A6099"/>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4FB0"/>
    <w:rsid w:val="00305064"/>
    <w:rsid w:val="003055E6"/>
    <w:rsid w:val="003060D9"/>
    <w:rsid w:val="0030619B"/>
    <w:rsid w:val="003066AE"/>
    <w:rsid w:val="003066F2"/>
    <w:rsid w:val="00306C34"/>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9C"/>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64B"/>
    <w:rsid w:val="00351974"/>
    <w:rsid w:val="00351B8C"/>
    <w:rsid w:val="003531FA"/>
    <w:rsid w:val="0035411B"/>
    <w:rsid w:val="0035454D"/>
    <w:rsid w:val="003549DE"/>
    <w:rsid w:val="0035595A"/>
    <w:rsid w:val="00355FEB"/>
    <w:rsid w:val="0035603C"/>
    <w:rsid w:val="00356341"/>
    <w:rsid w:val="00357CA1"/>
    <w:rsid w:val="0036005C"/>
    <w:rsid w:val="00360F29"/>
    <w:rsid w:val="00361342"/>
    <w:rsid w:val="003615D0"/>
    <w:rsid w:val="00361AE6"/>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C57"/>
    <w:rsid w:val="00381DEB"/>
    <w:rsid w:val="00381E27"/>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603"/>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4C4"/>
    <w:rsid w:val="003A276F"/>
    <w:rsid w:val="003A2794"/>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05E"/>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5EF"/>
    <w:rsid w:val="003D57F1"/>
    <w:rsid w:val="003D5A44"/>
    <w:rsid w:val="003D5E86"/>
    <w:rsid w:val="003D6723"/>
    <w:rsid w:val="003D6F39"/>
    <w:rsid w:val="003D70C6"/>
    <w:rsid w:val="003D72F8"/>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5143"/>
    <w:rsid w:val="004A60A1"/>
    <w:rsid w:val="004A683B"/>
    <w:rsid w:val="004A7AF8"/>
    <w:rsid w:val="004A7C4B"/>
    <w:rsid w:val="004B01A9"/>
    <w:rsid w:val="004B0420"/>
    <w:rsid w:val="004B0481"/>
    <w:rsid w:val="004B083A"/>
    <w:rsid w:val="004B0B1E"/>
    <w:rsid w:val="004B197A"/>
    <w:rsid w:val="004B1B28"/>
    <w:rsid w:val="004B3339"/>
    <w:rsid w:val="004B34E9"/>
    <w:rsid w:val="004B361D"/>
    <w:rsid w:val="004B389D"/>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2D1"/>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939"/>
    <w:rsid w:val="005153C5"/>
    <w:rsid w:val="00515796"/>
    <w:rsid w:val="00515A8B"/>
    <w:rsid w:val="005160F8"/>
    <w:rsid w:val="00516261"/>
    <w:rsid w:val="005165E2"/>
    <w:rsid w:val="00516D58"/>
    <w:rsid w:val="00517A2D"/>
    <w:rsid w:val="00517CE3"/>
    <w:rsid w:val="00517EE1"/>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6925"/>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3A0"/>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0F3"/>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2DC0"/>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28AE"/>
    <w:rsid w:val="005A35CE"/>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713"/>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070E"/>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B3E"/>
    <w:rsid w:val="006310F4"/>
    <w:rsid w:val="006311B8"/>
    <w:rsid w:val="00631A00"/>
    <w:rsid w:val="00631FE6"/>
    <w:rsid w:val="00632576"/>
    <w:rsid w:val="0063297E"/>
    <w:rsid w:val="00632DE8"/>
    <w:rsid w:val="006338DA"/>
    <w:rsid w:val="00633ACA"/>
    <w:rsid w:val="00634112"/>
    <w:rsid w:val="0063413D"/>
    <w:rsid w:val="0063470C"/>
    <w:rsid w:val="00634DEC"/>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582"/>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ABB"/>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1D5"/>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770"/>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FEE"/>
    <w:rsid w:val="007110CC"/>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97B"/>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DF9"/>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0B3"/>
    <w:rsid w:val="00770939"/>
    <w:rsid w:val="00770E7B"/>
    <w:rsid w:val="00771625"/>
    <w:rsid w:val="00771760"/>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693"/>
    <w:rsid w:val="007A6F47"/>
    <w:rsid w:val="007A6F98"/>
    <w:rsid w:val="007A701F"/>
    <w:rsid w:val="007A7785"/>
    <w:rsid w:val="007A77BB"/>
    <w:rsid w:val="007A7B22"/>
    <w:rsid w:val="007A7B63"/>
    <w:rsid w:val="007A7C3D"/>
    <w:rsid w:val="007B02AA"/>
    <w:rsid w:val="007B0635"/>
    <w:rsid w:val="007B06A8"/>
    <w:rsid w:val="007B112D"/>
    <w:rsid w:val="007B118B"/>
    <w:rsid w:val="007B1367"/>
    <w:rsid w:val="007B199A"/>
    <w:rsid w:val="007B19D7"/>
    <w:rsid w:val="007B1AFD"/>
    <w:rsid w:val="007B21A2"/>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4B3"/>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374"/>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3522"/>
    <w:rsid w:val="00803C30"/>
    <w:rsid w:val="00804079"/>
    <w:rsid w:val="008048F2"/>
    <w:rsid w:val="00804B3F"/>
    <w:rsid w:val="00804F14"/>
    <w:rsid w:val="0080604D"/>
    <w:rsid w:val="0080672D"/>
    <w:rsid w:val="00807766"/>
    <w:rsid w:val="0080788E"/>
    <w:rsid w:val="00807FC5"/>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78AC"/>
    <w:rsid w:val="00820600"/>
    <w:rsid w:val="00820E72"/>
    <w:rsid w:val="00821BA9"/>
    <w:rsid w:val="00821E6F"/>
    <w:rsid w:val="008223DB"/>
    <w:rsid w:val="00823240"/>
    <w:rsid w:val="00823521"/>
    <w:rsid w:val="00823E41"/>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103"/>
    <w:rsid w:val="00846649"/>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C98"/>
    <w:rsid w:val="00855FCB"/>
    <w:rsid w:val="008560CE"/>
    <w:rsid w:val="00856C12"/>
    <w:rsid w:val="00856FE3"/>
    <w:rsid w:val="0085703C"/>
    <w:rsid w:val="00857535"/>
    <w:rsid w:val="00857921"/>
    <w:rsid w:val="00857988"/>
    <w:rsid w:val="00857C70"/>
    <w:rsid w:val="00857EA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69EA"/>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2FB"/>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B771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147"/>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93"/>
    <w:rsid w:val="00930FE4"/>
    <w:rsid w:val="009321DD"/>
    <w:rsid w:val="009321FD"/>
    <w:rsid w:val="00932DBC"/>
    <w:rsid w:val="00932DE2"/>
    <w:rsid w:val="00932DE8"/>
    <w:rsid w:val="00933468"/>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F34"/>
    <w:rsid w:val="009833FF"/>
    <w:rsid w:val="0098346F"/>
    <w:rsid w:val="00983535"/>
    <w:rsid w:val="0098369A"/>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2CBA"/>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AEB"/>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55C"/>
    <w:rsid w:val="00AB66C7"/>
    <w:rsid w:val="00AB6820"/>
    <w:rsid w:val="00AB6E32"/>
    <w:rsid w:val="00AB7304"/>
    <w:rsid w:val="00AB73D5"/>
    <w:rsid w:val="00AC0C67"/>
    <w:rsid w:val="00AC0F61"/>
    <w:rsid w:val="00AC1298"/>
    <w:rsid w:val="00AC12E8"/>
    <w:rsid w:val="00AC13F4"/>
    <w:rsid w:val="00AC18F0"/>
    <w:rsid w:val="00AC1F2B"/>
    <w:rsid w:val="00AC2081"/>
    <w:rsid w:val="00AC2678"/>
    <w:rsid w:val="00AC269F"/>
    <w:rsid w:val="00AC2806"/>
    <w:rsid w:val="00AC28A9"/>
    <w:rsid w:val="00AC2A83"/>
    <w:rsid w:val="00AC2DD8"/>
    <w:rsid w:val="00AC2DE1"/>
    <w:rsid w:val="00AC32A6"/>
    <w:rsid w:val="00AC56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B2A"/>
    <w:rsid w:val="00AD1E27"/>
    <w:rsid w:val="00AD2038"/>
    <w:rsid w:val="00AD2BF4"/>
    <w:rsid w:val="00AD2C2A"/>
    <w:rsid w:val="00AD2D9F"/>
    <w:rsid w:val="00AD3036"/>
    <w:rsid w:val="00AD3601"/>
    <w:rsid w:val="00AD414B"/>
    <w:rsid w:val="00AD4A0F"/>
    <w:rsid w:val="00AD59FF"/>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324"/>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72E"/>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79D"/>
    <w:rsid w:val="00AF7C67"/>
    <w:rsid w:val="00AF7FEE"/>
    <w:rsid w:val="00B006CF"/>
    <w:rsid w:val="00B00C5B"/>
    <w:rsid w:val="00B00F22"/>
    <w:rsid w:val="00B01054"/>
    <w:rsid w:val="00B011E8"/>
    <w:rsid w:val="00B01A63"/>
    <w:rsid w:val="00B01D45"/>
    <w:rsid w:val="00B01EC4"/>
    <w:rsid w:val="00B0276A"/>
    <w:rsid w:val="00B02D48"/>
    <w:rsid w:val="00B02EA4"/>
    <w:rsid w:val="00B02FBA"/>
    <w:rsid w:val="00B0309B"/>
    <w:rsid w:val="00B030A1"/>
    <w:rsid w:val="00B034CE"/>
    <w:rsid w:val="00B038FA"/>
    <w:rsid w:val="00B03E60"/>
    <w:rsid w:val="00B0459F"/>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0C69"/>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804"/>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2DBD"/>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3C4"/>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BF4"/>
    <w:rsid w:val="00BB3DB9"/>
    <w:rsid w:val="00BB47A1"/>
    <w:rsid w:val="00BB52ED"/>
    <w:rsid w:val="00BB6745"/>
    <w:rsid w:val="00BB686A"/>
    <w:rsid w:val="00BB7370"/>
    <w:rsid w:val="00BB7688"/>
    <w:rsid w:val="00BC04B9"/>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109"/>
    <w:rsid w:val="00BD7363"/>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0BE5"/>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2D7F"/>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B51"/>
    <w:rsid w:val="00C53C4A"/>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E26"/>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657"/>
    <w:rsid w:val="00C736D4"/>
    <w:rsid w:val="00C73BAB"/>
    <w:rsid w:val="00C73FAA"/>
    <w:rsid w:val="00C7590A"/>
    <w:rsid w:val="00C759E0"/>
    <w:rsid w:val="00C75BE6"/>
    <w:rsid w:val="00C76A0C"/>
    <w:rsid w:val="00C76B15"/>
    <w:rsid w:val="00C7792D"/>
    <w:rsid w:val="00C77CB9"/>
    <w:rsid w:val="00C80894"/>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67C1"/>
    <w:rsid w:val="00C969B5"/>
    <w:rsid w:val="00C96E9D"/>
    <w:rsid w:val="00C9772B"/>
    <w:rsid w:val="00C97BA2"/>
    <w:rsid w:val="00C97E38"/>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70DD"/>
    <w:rsid w:val="00CB76B4"/>
    <w:rsid w:val="00CB7722"/>
    <w:rsid w:val="00CB7DBC"/>
    <w:rsid w:val="00CC0180"/>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8B"/>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1C8"/>
    <w:rsid w:val="00D12553"/>
    <w:rsid w:val="00D126C3"/>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70C"/>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E0F"/>
    <w:rsid w:val="00D92647"/>
    <w:rsid w:val="00D928A6"/>
    <w:rsid w:val="00D92AB4"/>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0F26"/>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31"/>
    <w:rsid w:val="00DD7394"/>
    <w:rsid w:val="00DD7902"/>
    <w:rsid w:val="00DD797B"/>
    <w:rsid w:val="00DE03D8"/>
    <w:rsid w:val="00DE0439"/>
    <w:rsid w:val="00DE079A"/>
    <w:rsid w:val="00DE0E61"/>
    <w:rsid w:val="00DE12E6"/>
    <w:rsid w:val="00DE146B"/>
    <w:rsid w:val="00DE1548"/>
    <w:rsid w:val="00DE1653"/>
    <w:rsid w:val="00DE16AB"/>
    <w:rsid w:val="00DE18D1"/>
    <w:rsid w:val="00DE1BB5"/>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A80"/>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00F"/>
    <w:rsid w:val="00E25294"/>
    <w:rsid w:val="00E25B83"/>
    <w:rsid w:val="00E25EF1"/>
    <w:rsid w:val="00E261B0"/>
    <w:rsid w:val="00E26220"/>
    <w:rsid w:val="00E2632E"/>
    <w:rsid w:val="00E26415"/>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2E17"/>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3BD"/>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C2E"/>
    <w:rsid w:val="00E80C9A"/>
    <w:rsid w:val="00E80E6B"/>
    <w:rsid w:val="00E81289"/>
    <w:rsid w:val="00E81471"/>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566"/>
    <w:rsid w:val="00EC0B34"/>
    <w:rsid w:val="00EC2201"/>
    <w:rsid w:val="00EC2AB0"/>
    <w:rsid w:val="00EC4410"/>
    <w:rsid w:val="00EC4B2C"/>
    <w:rsid w:val="00EC4BD1"/>
    <w:rsid w:val="00EC4F4D"/>
    <w:rsid w:val="00EC5515"/>
    <w:rsid w:val="00EC577A"/>
    <w:rsid w:val="00EC57F7"/>
    <w:rsid w:val="00EC58D6"/>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1A"/>
    <w:rsid w:val="00EF2B3D"/>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0E"/>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723"/>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021"/>
    <w:rsid w:val="00F532B4"/>
    <w:rsid w:val="00F5353D"/>
    <w:rsid w:val="00F53774"/>
    <w:rsid w:val="00F53A30"/>
    <w:rsid w:val="00F53C11"/>
    <w:rsid w:val="00F53C47"/>
    <w:rsid w:val="00F53E37"/>
    <w:rsid w:val="00F53F1A"/>
    <w:rsid w:val="00F5498B"/>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0EE"/>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261"/>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20C3"/>
    <w:rsid w:val="00F9214D"/>
    <w:rsid w:val="00F9231C"/>
    <w:rsid w:val="00F934EA"/>
    <w:rsid w:val="00F935C6"/>
    <w:rsid w:val="00F935EB"/>
    <w:rsid w:val="00F938F9"/>
    <w:rsid w:val="00F93969"/>
    <w:rsid w:val="00F93BB5"/>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B0F"/>
    <w:rsid w:val="00FA3160"/>
    <w:rsid w:val="00FA31AA"/>
    <w:rsid w:val="00FA34F9"/>
    <w:rsid w:val="00FA358F"/>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1D8"/>
    <w:rsid w:val="00FA7360"/>
    <w:rsid w:val="00FA7676"/>
    <w:rsid w:val="00FA7761"/>
    <w:rsid w:val="00FA78EB"/>
    <w:rsid w:val="00FB0451"/>
    <w:rsid w:val="00FB0467"/>
    <w:rsid w:val="00FB15C9"/>
    <w:rsid w:val="00FB1D7A"/>
    <w:rsid w:val="00FB21F2"/>
    <w:rsid w:val="00FB255D"/>
    <w:rsid w:val="00FB2F16"/>
    <w:rsid w:val="00FB33DA"/>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7D4"/>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rsid w:val="00EB07AE"/>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nhideWhenUsed/>
    <w:rsid w:val="009D18C3"/>
    <w:rPr>
      <w:sz w:val="16"/>
      <w:szCs w:val="16"/>
    </w:rPr>
  </w:style>
  <w:style w:type="paragraph" w:styleId="af7">
    <w:name w:val="annotation text"/>
    <w:basedOn w:val="a"/>
    <w:link w:val="af8"/>
    <w:unhideWhenUsed/>
    <w:rsid w:val="009D18C3"/>
    <w:pPr>
      <w:spacing w:line="240" w:lineRule="auto"/>
    </w:pPr>
    <w:rPr>
      <w:sz w:val="20"/>
      <w:szCs w:val="20"/>
    </w:rPr>
  </w:style>
  <w:style w:type="character" w:customStyle="1" w:styleId="af8">
    <w:name w:val="טקסט הערה תו"/>
    <w:basedOn w:val="a0"/>
    <w:link w:val="af7"/>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DE03D8"/>
    <w:pPr>
      <w:ind w:left="720"/>
    </w:pPr>
    <w:rPr>
      <w:sz w:val="22"/>
      <w:szCs w:val="22"/>
    </w:rPr>
  </w:style>
  <w:style w:type="character" w:customStyle="1" w:styleId="14">
    <w:name w:val="ציטוט1 תו"/>
    <w:basedOn w:val="a0"/>
    <w:link w:val="13"/>
    <w:rsid w:val="00DE03D8"/>
    <w:rPr>
      <w:rFonts w:ascii="Narkisim" w:eastAsia="Calibri" w:hAnsi="Narkisim" w:cs="Narkisim"/>
      <w:noProof/>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paragraph" w:customStyle="1" w:styleId="32">
    <w:name w:val="כותרת3"/>
    <w:basedOn w:val="a"/>
    <w:next w:val="a"/>
    <w:rsid w:val="005553A0"/>
    <w:pPr>
      <w:spacing w:before="60" w:after="0" w:line="360" w:lineRule="auto"/>
    </w:pPr>
    <w:rPr>
      <w:rFonts w:ascii="Times New Roman" w:eastAsia="Times New Roman" w:hAnsi="Times New Roman"/>
      <w:b/>
      <w:bCs/>
      <w:noProof w:val="0"/>
      <w:sz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2.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4.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1591</Words>
  <Characters>7958</Characters>
  <Application>Microsoft Office Word</Application>
  <DocSecurity>0</DocSecurity>
  <Lines>66</Lines>
  <Paragraphs>19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9530</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9</cp:revision>
  <cp:lastPrinted>2001-10-24T10:13:00Z</cp:lastPrinted>
  <dcterms:created xsi:type="dcterms:W3CDTF">2023-06-28T21:12:00Z</dcterms:created>
  <dcterms:modified xsi:type="dcterms:W3CDTF">2023-06-28T21:16:00Z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