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1313" w14:textId="77777777" w:rsidR="009127EB" w:rsidRPr="0051665A" w:rsidRDefault="009127EB" w:rsidP="009127EB">
      <w:pPr>
        <w:pStyle w:val="a0"/>
        <w:keepNext w:val="0"/>
        <w:spacing w:line="280" w:lineRule="exact"/>
        <w:rPr>
          <w:rFonts w:hint="cs"/>
          <w:sz w:val="32"/>
          <w:szCs w:val="32"/>
          <w:rtl/>
        </w:rPr>
      </w:pPr>
      <w:r w:rsidRPr="0051665A">
        <w:rPr>
          <w:rFonts w:hint="eastAsia"/>
          <w:sz w:val="32"/>
          <w:szCs w:val="32"/>
          <w:rtl/>
        </w:rPr>
        <w:t>הרב</w:t>
      </w:r>
      <w:r w:rsidRPr="0051665A">
        <w:rPr>
          <w:sz w:val="32"/>
          <w:szCs w:val="32"/>
          <w:rtl/>
        </w:rPr>
        <w:t xml:space="preserve"> </w:t>
      </w:r>
      <w:r w:rsidRPr="0051665A">
        <w:rPr>
          <w:rFonts w:hint="cs"/>
          <w:sz w:val="32"/>
          <w:szCs w:val="32"/>
          <w:rtl/>
        </w:rPr>
        <w:t>אהרן ליכטנשטיין</w:t>
      </w:r>
    </w:p>
    <w:p w14:paraId="0E5590FA" w14:textId="77777777" w:rsidR="009127EB" w:rsidRPr="00AD2F28" w:rsidRDefault="009127EB" w:rsidP="009127EB">
      <w:pPr>
        <w:pStyle w:val="Heading1"/>
        <w:keepNext w:val="0"/>
        <w:rPr>
          <w:b/>
          <w:bCs/>
          <w:color w:val="000000"/>
          <w:sz w:val="32"/>
          <w:szCs w:val="32"/>
        </w:rPr>
      </w:pPr>
      <w:r>
        <w:rPr>
          <w:rFonts w:hint="cs"/>
          <w:b/>
          <w:bCs/>
          <w:color w:val="000000"/>
          <w:sz w:val="32"/>
          <w:szCs w:val="32"/>
          <w:rtl/>
        </w:rPr>
        <w:t>פרשת ויחי</w:t>
      </w:r>
    </w:p>
    <w:p w14:paraId="03A78ED5" w14:textId="77777777" w:rsidR="009127EB" w:rsidRPr="00AD2F28" w:rsidRDefault="009127EB" w:rsidP="009127EB">
      <w:pPr>
        <w:pStyle w:val="a0"/>
        <w:keepNext w:val="0"/>
        <w:spacing w:line="280" w:lineRule="exact"/>
        <w:rPr>
          <w:sz w:val="22"/>
          <w:szCs w:val="22"/>
          <w:rtl/>
        </w:rPr>
      </w:pPr>
    </w:p>
    <w:p w14:paraId="4E1F23D8" w14:textId="77777777" w:rsidR="009127EB" w:rsidRPr="0051665A" w:rsidRDefault="009127EB" w:rsidP="004536C8">
      <w:pPr>
        <w:pStyle w:val="Heading1"/>
        <w:keepNext w:val="0"/>
        <w:jc w:val="center"/>
        <w:rPr>
          <w:rFonts w:hint="cs"/>
          <w:color w:val="000000"/>
          <w:sz w:val="22"/>
          <w:szCs w:val="22"/>
          <w:rtl/>
        </w:rPr>
      </w:pPr>
      <w:r w:rsidRPr="00F4507A">
        <w:rPr>
          <w:b/>
          <w:bCs/>
          <w:color w:val="000000"/>
          <w:sz w:val="28"/>
          <w:szCs w:val="28"/>
          <w:rtl/>
        </w:rPr>
        <w:t>"איש אשר כברכתו ברך אותם"</w:t>
      </w:r>
      <w:r w:rsidRPr="0051665A">
        <w:rPr>
          <w:rStyle w:val="FootnoteReference"/>
          <w:color w:val="000000"/>
          <w:sz w:val="22"/>
          <w:szCs w:val="22"/>
          <w:rtl/>
        </w:rPr>
        <w:footnoteReference w:id="1"/>
      </w:r>
    </w:p>
    <w:p w14:paraId="1BAF0497" w14:textId="77777777" w:rsidR="009127EB" w:rsidRPr="0051665A" w:rsidRDefault="009127EB" w:rsidP="009127EB">
      <w:pPr>
        <w:rPr>
          <w:rFonts w:hint="cs"/>
          <w:sz w:val="22"/>
          <w:szCs w:val="22"/>
          <w:rtl/>
        </w:rPr>
      </w:pPr>
    </w:p>
    <w:p w14:paraId="244FD6A5" w14:textId="77777777" w:rsidR="009127EB" w:rsidRPr="00F4507A" w:rsidRDefault="009127EB" w:rsidP="009127EB">
      <w:pPr>
        <w:tabs>
          <w:tab w:val="clear" w:pos="225"/>
        </w:tabs>
        <w:autoSpaceDE/>
        <w:autoSpaceDN/>
        <w:spacing w:afterLines="120" w:after="288"/>
        <w:rPr>
          <w:color w:val="000000"/>
          <w:sz w:val="22"/>
          <w:szCs w:val="22"/>
        </w:rPr>
      </w:pPr>
      <w:r w:rsidRPr="00F4507A">
        <w:rPr>
          <w:rFonts w:hint="cs"/>
          <w:color w:val="000000"/>
          <w:sz w:val="22"/>
          <w:szCs w:val="22"/>
          <w:rtl/>
        </w:rPr>
        <w:t>כָּל אֵלֶּה שִׁבְטֵי יִשְׂרָאֵל שְׁנֵים עָשָׂר וְזֹאת אֲשֶׁר</w:t>
      </w:r>
      <w:r w:rsidRPr="00F4507A">
        <w:rPr>
          <w:rFonts w:hint="cs"/>
          <w:color w:val="000000"/>
          <w:sz w:val="22"/>
          <w:szCs w:val="22"/>
        </w:rPr>
        <w:t> </w:t>
      </w:r>
      <w:r w:rsidRPr="00F4507A">
        <w:rPr>
          <w:rFonts w:hint="cs"/>
          <w:color w:val="000000"/>
          <w:sz w:val="22"/>
          <w:szCs w:val="22"/>
          <w:rtl/>
        </w:rPr>
        <w:t xml:space="preserve">דִּבֶּר לָהֶם אֲבִיהֶם וַיְבָרֶךְ אוֹתָם אִישׁ אֲשֶׁר כְּבִרְכָתוֹ בֵּרַךְ אֹתָם   (מ"ט, </w:t>
      </w:r>
      <w:proofErr w:type="spellStart"/>
      <w:r w:rsidRPr="00F4507A">
        <w:rPr>
          <w:rFonts w:hint="cs"/>
          <w:color w:val="000000"/>
          <w:sz w:val="22"/>
          <w:szCs w:val="22"/>
          <w:rtl/>
        </w:rPr>
        <w:t>כח</w:t>
      </w:r>
      <w:proofErr w:type="spellEnd"/>
      <w:r w:rsidRPr="00F4507A">
        <w:rPr>
          <w:rFonts w:hint="cs"/>
          <w:color w:val="000000"/>
          <w:sz w:val="22"/>
          <w:szCs w:val="22"/>
          <w:rtl/>
        </w:rPr>
        <w:t>)</w:t>
      </w:r>
    </w:p>
    <w:p w14:paraId="25EA3DDA"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הפרשנים נחלקו בביאור המילים "איש אשר כברכתו". רש"י על אתר מפרש כי מילים אלו מוסבות על הברכות שפורטו קודם לכן, וכוונתן היא כי הברכות השונות תאמו את קורותיהם העתידיות של השבטים השונים:</w:t>
      </w:r>
    </w:p>
    <w:p w14:paraId="265399BB"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ברכה העתידה לבוא על כל אחד ואחד בירך אותם</w:t>
      </w:r>
      <w:r>
        <w:rPr>
          <w:rStyle w:val="FootnoteReference"/>
          <w:color w:val="000000"/>
          <w:rtl/>
        </w:rPr>
        <w:footnoteReference w:id="2"/>
      </w:r>
    </w:p>
    <w:p w14:paraId="703D63FC" w14:textId="77777777" w:rsidR="009127EB" w:rsidRPr="00F4507A" w:rsidRDefault="009127EB" w:rsidP="009127EB">
      <w:pPr>
        <w:tabs>
          <w:tab w:val="clear" w:pos="225"/>
        </w:tabs>
        <w:autoSpaceDE/>
        <w:autoSpaceDN/>
        <w:spacing w:afterLines="120" w:after="288"/>
        <w:rPr>
          <w:rFonts w:hint="cs"/>
          <w:color w:val="000000"/>
          <w:sz w:val="22"/>
          <w:szCs w:val="22"/>
          <w:rtl/>
        </w:rPr>
      </w:pPr>
      <w:proofErr w:type="spellStart"/>
      <w:r w:rsidRPr="00F4507A">
        <w:rPr>
          <w:rFonts w:hint="cs"/>
          <w:color w:val="000000"/>
          <w:sz w:val="22"/>
          <w:szCs w:val="22"/>
          <w:rtl/>
        </w:rPr>
        <w:t>ספורנו</w:t>
      </w:r>
      <w:proofErr w:type="spellEnd"/>
      <w:r w:rsidRPr="00F4507A">
        <w:rPr>
          <w:rFonts w:hint="cs"/>
          <w:color w:val="000000"/>
          <w:sz w:val="22"/>
          <w:szCs w:val="22"/>
          <w:rtl/>
        </w:rPr>
        <w:t>, לעומתו, הבין כי מדובר בברכות אחרות, נוספות על הברכות המפורטות למעלה בפרשה:</w:t>
      </w:r>
    </w:p>
    <w:p w14:paraId="7E31BE91"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לכל אחד מהם נתן ברכה צריכה לו ביחוד, כגון ליהודה </w:t>
      </w:r>
      <w:proofErr w:type="spellStart"/>
      <w:r w:rsidRPr="00F4507A">
        <w:rPr>
          <w:rFonts w:hint="cs"/>
          <w:color w:val="000000"/>
          <w:sz w:val="22"/>
          <w:szCs w:val="22"/>
          <w:rtl/>
        </w:rPr>
        <w:t>בענין</w:t>
      </w:r>
      <w:proofErr w:type="spellEnd"/>
      <w:r w:rsidRPr="00F4507A">
        <w:rPr>
          <w:rFonts w:hint="cs"/>
          <w:color w:val="000000"/>
          <w:sz w:val="22"/>
          <w:szCs w:val="22"/>
          <w:rtl/>
        </w:rPr>
        <w:t xml:space="preserve"> המלכות וליששכר </w:t>
      </w:r>
      <w:proofErr w:type="spellStart"/>
      <w:r w:rsidRPr="00F4507A">
        <w:rPr>
          <w:rFonts w:hint="cs"/>
          <w:color w:val="000000"/>
          <w:sz w:val="22"/>
          <w:szCs w:val="22"/>
          <w:rtl/>
        </w:rPr>
        <w:t>בענין</w:t>
      </w:r>
      <w:proofErr w:type="spellEnd"/>
      <w:r w:rsidRPr="00F4507A">
        <w:rPr>
          <w:rFonts w:hint="cs"/>
          <w:color w:val="000000"/>
          <w:sz w:val="22"/>
          <w:szCs w:val="22"/>
          <w:rtl/>
        </w:rPr>
        <w:t xml:space="preserve"> התורה וללוי </w:t>
      </w:r>
      <w:proofErr w:type="spellStart"/>
      <w:r w:rsidRPr="00F4507A">
        <w:rPr>
          <w:rFonts w:hint="cs"/>
          <w:color w:val="000000"/>
          <w:sz w:val="22"/>
          <w:szCs w:val="22"/>
          <w:rtl/>
        </w:rPr>
        <w:t>בענין</w:t>
      </w:r>
      <w:proofErr w:type="spellEnd"/>
      <w:r w:rsidRPr="00F4507A">
        <w:rPr>
          <w:rFonts w:hint="cs"/>
          <w:color w:val="000000"/>
          <w:sz w:val="22"/>
          <w:szCs w:val="22"/>
          <w:rtl/>
        </w:rPr>
        <w:t xml:space="preserve"> העבודה</w:t>
      </w:r>
      <w:r>
        <w:rPr>
          <w:rStyle w:val="FootnoteReference"/>
          <w:color w:val="000000"/>
          <w:rtl/>
        </w:rPr>
        <w:footnoteReference w:id="3"/>
      </w:r>
    </w:p>
    <w:p w14:paraId="5568C2FA"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אך נראה שהפירוש הפשוט ביותר לפסוק הוא פירושו של בעל אור החיים הקדוש:</w:t>
      </w:r>
    </w:p>
    <w:p w14:paraId="2F0CC5DE"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אשר כברכתו - פירוש: הראוי לו כפי בחינת נשמתו וכפי מעשיו. כי יש לך לדעת כי הנפשות כל אחת יש לה בחינת מעלה, יש שמעלתה כהונה ויש מלכות ויש כתר תורה ויש גבורה ויש עושר ויש הצלחה, ונתכוון יעקב בנבואה לברך כל אחד כפי ברכתו הראוי לו - המלך במלכות והכהן בכהונה וכן על זה הדרך...</w:t>
      </w:r>
    </w:p>
    <w:p w14:paraId="180F8F59"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לכל אחד מהשבטים היו מאפיינים אינדיבידואליים ייחודיים, ויעקב דאג לברך כל אחד כפי מה שמתאים לו וכפי נטיותיו וכישוריו. דבר כזה פשוט לביצוע במשפחה בת שניים שלושה ילדים; במשפחה שבה שנים עשר ילדים, הדרך הפשוטה ביותר היא 'להעלות את כולם על אותה רכבת', להוליך את כולם במסלול אחד, ולא להעניק חינוך שונה לכל אחד ואחד. אך יעקב אבינו לא הלך בדרך הקלה, אלא דאג לחנך את בניו תוך תשומת לב לשוני ביניהם ולדברים המייחדים כל אחד ואחד מהם.</w:t>
      </w:r>
    </w:p>
    <w:p w14:paraId="27FAF791"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שני קריטריונים לחינוך הילד מונה בעל אור החיים: "בחינת נשמתו ומעשיו". "בחינת נשמתו" של הילד – הלוא הם מאפייניו המיוחדים וכישוריו; המחנך צריך לשים לב במה מצטיין הילד והיכן עיקר כישרונו ולעודדו בכיוונים אלה. אך אין די בכך: על המחנך להתבונן גם ב"מעשיו" של הילד – מה משאלות לבו ובמה הוא חפץ, ולסייע לו להתקדם ולהשתפר בהם</w:t>
      </w:r>
      <w:r>
        <w:rPr>
          <w:rStyle w:val="FootnoteReference"/>
          <w:color w:val="000000"/>
          <w:rtl/>
        </w:rPr>
        <w:footnoteReference w:id="4"/>
      </w:r>
      <w:r w:rsidRPr="00F4507A">
        <w:rPr>
          <w:rFonts w:hint="cs"/>
          <w:color w:val="000000"/>
          <w:sz w:val="22"/>
          <w:szCs w:val="22"/>
          <w:rtl/>
        </w:rPr>
        <w:t>.</w:t>
      </w:r>
    </w:p>
    <w:p w14:paraId="61F82BEC"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מלבד השיקולים הללו של "בחינת נשמתו ומעשיו", קיים שיקול נוסף: צורכי הכלל. שומה על כל אדם לבדוק אילו </w:t>
      </w:r>
      <w:proofErr w:type="spellStart"/>
      <w:r w:rsidRPr="00F4507A">
        <w:rPr>
          <w:rFonts w:hint="cs"/>
          <w:color w:val="000000"/>
          <w:sz w:val="22"/>
          <w:szCs w:val="22"/>
          <w:rtl/>
        </w:rPr>
        <w:t>מכשרונותיו</w:t>
      </w:r>
      <w:proofErr w:type="spellEnd"/>
      <w:r w:rsidRPr="00F4507A">
        <w:rPr>
          <w:rFonts w:hint="cs"/>
          <w:color w:val="000000"/>
          <w:sz w:val="22"/>
          <w:szCs w:val="22"/>
          <w:rtl/>
        </w:rPr>
        <w:t xml:space="preserve"> ישרתו את הכלל בצורה הטובה ביותר, איפה יכול הוא להיות האיש הנכון במקום הנכון והיכן נדרשים ביותר מאפייניו הייחודיים. באופן כזה נוצרת חברה מושלמת, שכל אחד מפרטיה תופס את מקומו הראוי לו ביותר ומשרת את החברה כולה על הצד הטוב ביותר, ובד בבד נהנה מכישוריהם הייחודיים של חבריו.</w:t>
      </w:r>
    </w:p>
    <w:p w14:paraId="08B9EA0F"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יתר על כן: בחברה כזו סופג כל אחד משהו מייחודיותו של חברו. שנים עשר בניו של יעקב ייסדו בעם ישראל את שנים עשר שבטי י-ה. החלוקה לשבטים נשתמרה בעם ישראל עד גלות אשור, והיא הייתה משמעותית בתחומי חיים רבים ומגוונים</w:t>
      </w:r>
      <w:r>
        <w:rPr>
          <w:rStyle w:val="FootnoteReference"/>
          <w:color w:val="000000"/>
          <w:rtl/>
        </w:rPr>
        <w:footnoteReference w:id="5"/>
      </w:r>
      <w:r w:rsidRPr="00F4507A">
        <w:rPr>
          <w:rFonts w:hint="cs"/>
          <w:color w:val="000000"/>
          <w:sz w:val="22"/>
          <w:szCs w:val="22"/>
          <w:rtl/>
        </w:rPr>
        <w:t xml:space="preserve">; בהתאם לכך מברך יעקב כל שבט ושבט בנפרד, שבט </w:t>
      </w:r>
      <w:proofErr w:type="spellStart"/>
      <w:r w:rsidRPr="00F4507A">
        <w:rPr>
          <w:rFonts w:hint="cs"/>
          <w:color w:val="000000"/>
          <w:sz w:val="22"/>
          <w:szCs w:val="22"/>
          <w:rtl/>
        </w:rPr>
        <w:t>שבט</w:t>
      </w:r>
      <w:proofErr w:type="spellEnd"/>
      <w:r w:rsidRPr="00F4507A">
        <w:rPr>
          <w:rFonts w:hint="cs"/>
          <w:color w:val="000000"/>
          <w:sz w:val="22"/>
          <w:szCs w:val="22"/>
          <w:rtl/>
        </w:rPr>
        <w:t xml:space="preserve"> וברכתו הראויה לו על פי תכונותיו המיוחדות.</w:t>
      </w:r>
    </w:p>
    <w:p w14:paraId="5F54F573"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ברם, שלמותו של עם ישראל אינה רק סך כל הפנים שמבטאים השבטים השונים - כשלמותו של תַּצְרֵף (פאזל), שבו נותן כל אחד מן החלקים מרכיב אחד של התמונה וביחד בונים החלקים כולם את התמונה השלמה. על הפסוק "אִישׁ אֲשֶׁר כְּבִרְכָתוֹ </w:t>
      </w:r>
      <w:r w:rsidRPr="00F4507A">
        <w:rPr>
          <w:rFonts w:hint="cs"/>
          <w:b/>
          <w:bCs/>
          <w:color w:val="000000"/>
          <w:sz w:val="22"/>
          <w:szCs w:val="22"/>
          <w:rtl/>
        </w:rPr>
        <w:t>בֵּרַךְ אֹתָם</w:t>
      </w:r>
      <w:r w:rsidRPr="00F4507A">
        <w:rPr>
          <w:rFonts w:hint="cs"/>
          <w:color w:val="000000"/>
          <w:sz w:val="22"/>
          <w:szCs w:val="22"/>
          <w:rtl/>
        </w:rPr>
        <w:t xml:space="preserve">" אומר המדרש (בראשית רבה </w:t>
      </w:r>
      <w:proofErr w:type="spellStart"/>
      <w:r w:rsidRPr="00F4507A">
        <w:rPr>
          <w:rFonts w:hint="cs"/>
          <w:color w:val="000000"/>
          <w:sz w:val="22"/>
          <w:szCs w:val="22"/>
          <w:rtl/>
        </w:rPr>
        <w:t>צט</w:t>
      </w:r>
      <w:proofErr w:type="spellEnd"/>
      <w:r w:rsidRPr="00F4507A">
        <w:rPr>
          <w:rFonts w:hint="cs"/>
          <w:color w:val="000000"/>
          <w:sz w:val="22"/>
          <w:szCs w:val="22"/>
          <w:rtl/>
        </w:rPr>
        <w:t>, ד):</w:t>
      </w:r>
    </w:p>
    <w:p w14:paraId="595918DD"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כבר כתיב 'ויברך אותם', ומה תלמוד לומר 'איש אשר כברכתו ברך אתם'? אלא לפי שבירכן יהודה באריה, דן בנחש, נפתלי באילה, בנימין בזאב, חזר וכלל כולן כאחת </w:t>
      </w:r>
      <w:proofErr w:type="spellStart"/>
      <w:r w:rsidRPr="00F4507A">
        <w:rPr>
          <w:rFonts w:hint="cs"/>
          <w:color w:val="000000"/>
          <w:sz w:val="22"/>
          <w:szCs w:val="22"/>
          <w:rtl/>
        </w:rPr>
        <w:t>ועשאן</w:t>
      </w:r>
      <w:proofErr w:type="spellEnd"/>
      <w:r w:rsidRPr="00F4507A">
        <w:rPr>
          <w:rFonts w:hint="cs"/>
          <w:color w:val="000000"/>
          <w:sz w:val="22"/>
          <w:szCs w:val="22"/>
          <w:rtl/>
        </w:rPr>
        <w:t xml:space="preserve"> אריות </w:t>
      </w:r>
      <w:proofErr w:type="spellStart"/>
      <w:r w:rsidRPr="00F4507A">
        <w:rPr>
          <w:rFonts w:hint="cs"/>
          <w:color w:val="000000"/>
          <w:sz w:val="22"/>
          <w:szCs w:val="22"/>
          <w:rtl/>
        </w:rPr>
        <w:t>ועשאן</w:t>
      </w:r>
      <w:proofErr w:type="spellEnd"/>
      <w:r w:rsidRPr="00F4507A">
        <w:rPr>
          <w:rFonts w:hint="cs"/>
          <w:color w:val="000000"/>
          <w:sz w:val="22"/>
          <w:szCs w:val="22"/>
          <w:rtl/>
        </w:rPr>
        <w:t xml:space="preserve"> נחשים. תדע שהוא כן: 'יהי דן נחש' והוא קורא אותו אריה, </w:t>
      </w:r>
      <w:proofErr w:type="spellStart"/>
      <w:r w:rsidRPr="00F4507A">
        <w:rPr>
          <w:rFonts w:hint="cs"/>
          <w:color w:val="000000"/>
          <w:sz w:val="22"/>
          <w:szCs w:val="22"/>
          <w:rtl/>
        </w:rPr>
        <w:t>הדא</w:t>
      </w:r>
      <w:proofErr w:type="spellEnd"/>
      <w:r w:rsidRPr="00F4507A">
        <w:rPr>
          <w:rFonts w:hint="cs"/>
          <w:color w:val="000000"/>
          <w:sz w:val="22"/>
          <w:szCs w:val="22"/>
          <w:rtl/>
        </w:rPr>
        <w:t xml:space="preserve"> הוא </w:t>
      </w:r>
      <w:proofErr w:type="spellStart"/>
      <w:r w:rsidRPr="00F4507A">
        <w:rPr>
          <w:rFonts w:hint="cs"/>
          <w:color w:val="000000"/>
          <w:sz w:val="22"/>
          <w:szCs w:val="22"/>
          <w:rtl/>
        </w:rPr>
        <w:t>דכתיב</w:t>
      </w:r>
      <w:proofErr w:type="spellEnd"/>
      <w:r w:rsidRPr="00F4507A">
        <w:rPr>
          <w:rFonts w:hint="cs"/>
          <w:color w:val="000000"/>
          <w:sz w:val="22"/>
          <w:szCs w:val="22"/>
          <w:rtl/>
        </w:rPr>
        <w:t xml:space="preserve"> 'דן גור אריה' (דברים ל"ג, </w:t>
      </w:r>
      <w:proofErr w:type="spellStart"/>
      <w:r w:rsidRPr="00F4507A">
        <w:rPr>
          <w:rFonts w:hint="cs"/>
          <w:color w:val="000000"/>
          <w:sz w:val="22"/>
          <w:szCs w:val="22"/>
          <w:rtl/>
        </w:rPr>
        <w:t>כב</w:t>
      </w:r>
      <w:proofErr w:type="spellEnd"/>
      <w:r w:rsidRPr="00F4507A">
        <w:rPr>
          <w:rFonts w:hint="cs"/>
          <w:color w:val="000000"/>
          <w:sz w:val="22"/>
          <w:szCs w:val="22"/>
          <w:rtl/>
        </w:rPr>
        <w:t>). לקיים מה שנאמר 'כלך יפה רעיתי ומום אין בך' (שיר השירים ד', ז).</w:t>
      </w:r>
    </w:p>
    <w:p w14:paraId="4A1BB931"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כאשר כל אחד עוסק במה שמתאים לו נוצרת הפריה הדדית, וכל אחד מקבל מרעהו ומתפתח גם בתחומים שהם פחות טבעיים לו: דן, שיעקב המשילו לנחש, מקבל בברכת משה את תכונת האריה של יהודה; נפתלי, המשול לאיילה, סופג </w:t>
      </w:r>
      <w:r w:rsidRPr="00F4507A">
        <w:rPr>
          <w:rFonts w:hint="cs"/>
          <w:color w:val="000000"/>
          <w:sz w:val="22"/>
          <w:szCs w:val="22"/>
          <w:rtl/>
        </w:rPr>
        <w:lastRenderedPageBreak/>
        <w:t xml:space="preserve">משהו </w:t>
      </w:r>
      <w:proofErr w:type="spellStart"/>
      <w:r w:rsidRPr="00F4507A">
        <w:rPr>
          <w:rFonts w:hint="cs"/>
          <w:color w:val="000000"/>
          <w:sz w:val="22"/>
          <w:szCs w:val="22"/>
          <w:rtl/>
        </w:rPr>
        <w:t>מ'זאבותו</w:t>
      </w:r>
      <w:proofErr w:type="spellEnd"/>
      <w:r w:rsidRPr="00F4507A">
        <w:rPr>
          <w:rFonts w:hint="cs"/>
          <w:color w:val="000000"/>
          <w:sz w:val="22"/>
          <w:szCs w:val="22"/>
          <w:rtl/>
        </w:rPr>
        <w:t xml:space="preserve">' של בנימין; </w:t>
      </w:r>
      <w:proofErr w:type="spellStart"/>
      <w:r w:rsidRPr="00F4507A">
        <w:rPr>
          <w:rFonts w:hint="cs"/>
          <w:color w:val="000000"/>
          <w:sz w:val="22"/>
          <w:szCs w:val="22"/>
          <w:rtl/>
        </w:rPr>
        <w:t>וכו</w:t>
      </w:r>
      <w:proofErr w:type="spellEnd"/>
      <w:r w:rsidRPr="00F4507A">
        <w:rPr>
          <w:rFonts w:hint="cs"/>
          <w:color w:val="000000"/>
          <w:sz w:val="22"/>
          <w:szCs w:val="22"/>
          <w:rtl/>
        </w:rPr>
        <w:t>'.</w:t>
      </w:r>
    </w:p>
    <w:p w14:paraId="249C5DA7"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משמעותם הגדולה של דברינו בתחום החינוכי ברורה. מוסד חינוכי מוליך, בדרך כלל, את תלמידיו במסלול דומה. אך האם זאת אומרת כי עליו גם לשאוף לעצב את חניכיו בתבנית אחת זהה ולהוציא משעריו תלמידים שידמו זה לזה לחלוטין? חלילה! מי שזו תפיסתו החינוכית חוטא לפרט וחוטא לכלל. לכל תלמיד יש פן ייחודי משלו, וכל תלמיד צריך ללכת בדרך המתאימה לו ולמאפייניו.</w:t>
      </w:r>
    </w:p>
    <w:p w14:paraId="1DC182C5"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מאידך, תמיד יש לזכור </w:t>
      </w:r>
      <w:proofErr w:type="spellStart"/>
      <w:r w:rsidRPr="00F4507A">
        <w:rPr>
          <w:rFonts w:hint="cs"/>
          <w:color w:val="000000"/>
          <w:sz w:val="22"/>
          <w:szCs w:val="22"/>
          <w:rtl/>
        </w:rPr>
        <w:t>של"איש</w:t>
      </w:r>
      <w:proofErr w:type="spellEnd"/>
      <w:r w:rsidRPr="00F4507A">
        <w:rPr>
          <w:rFonts w:hint="cs"/>
          <w:color w:val="000000"/>
          <w:sz w:val="22"/>
          <w:szCs w:val="22"/>
          <w:rtl/>
        </w:rPr>
        <w:t xml:space="preserve"> אשר כברכתו ברך אֹתם" קודם "כל אלה שבטי ישראל שנים עשר". ההליכה בדרך האישית המיוחדת צריכה להיות מתוך תחושת מושרשות בעם ישראל וכחלק ממנו.</w:t>
      </w:r>
    </w:p>
    <w:p w14:paraId="23C294C3"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רש"י (מ"ט, ח) כותב כי לאחר שהוכיח יעקב את ראובן, שמעון ולוי, פחד יהודה שיעקב עומד להוכיחו על מעשה תמר. כיצד הידרדר יהודה עד כדי מעשה תמר? על כך מעיד הכתוב: "</w:t>
      </w:r>
      <w:r w:rsidRPr="00F4507A">
        <w:rPr>
          <w:rFonts w:hint="cs"/>
          <w:b/>
          <w:bCs/>
          <w:color w:val="000000"/>
          <w:sz w:val="22"/>
          <w:szCs w:val="22"/>
          <w:rtl/>
        </w:rPr>
        <w:t>וַיֵּרֶד יְהוּדָה מֵאֵת אֶחָיו</w:t>
      </w:r>
      <w:r w:rsidRPr="00F4507A">
        <w:rPr>
          <w:rFonts w:hint="cs"/>
          <w:color w:val="000000"/>
          <w:sz w:val="22"/>
          <w:szCs w:val="22"/>
          <w:rtl/>
        </w:rPr>
        <w:t> </w:t>
      </w:r>
      <w:proofErr w:type="spellStart"/>
      <w:r w:rsidRPr="00F4507A">
        <w:rPr>
          <w:rFonts w:hint="cs"/>
          <w:color w:val="000000"/>
          <w:sz w:val="22"/>
          <w:szCs w:val="22"/>
          <w:rtl/>
        </w:rPr>
        <w:t>וַיֵּט</w:t>
      </w:r>
      <w:proofErr w:type="spellEnd"/>
      <w:r w:rsidRPr="00F4507A">
        <w:rPr>
          <w:rFonts w:hint="cs"/>
          <w:color w:val="000000"/>
          <w:sz w:val="22"/>
          <w:szCs w:val="22"/>
          <w:rtl/>
        </w:rPr>
        <w:t xml:space="preserve"> עַד אִישׁ </w:t>
      </w:r>
      <w:proofErr w:type="spellStart"/>
      <w:r w:rsidRPr="00F4507A">
        <w:rPr>
          <w:rFonts w:hint="cs"/>
          <w:color w:val="000000"/>
          <w:sz w:val="22"/>
          <w:szCs w:val="22"/>
          <w:rtl/>
        </w:rPr>
        <w:t>עֲדֻלָּמִי</w:t>
      </w:r>
      <w:proofErr w:type="spellEnd"/>
      <w:r w:rsidRPr="00F4507A">
        <w:rPr>
          <w:rFonts w:hint="cs"/>
          <w:color w:val="000000"/>
          <w:sz w:val="22"/>
          <w:szCs w:val="22"/>
          <w:rtl/>
        </w:rPr>
        <w:t xml:space="preserve"> וּשְׁמוֹ </w:t>
      </w:r>
      <w:proofErr w:type="spellStart"/>
      <w:r w:rsidRPr="00F4507A">
        <w:rPr>
          <w:rFonts w:hint="cs"/>
          <w:color w:val="000000"/>
          <w:sz w:val="22"/>
          <w:szCs w:val="22"/>
          <w:rtl/>
        </w:rPr>
        <w:t>חִירָה</w:t>
      </w:r>
      <w:proofErr w:type="spellEnd"/>
      <w:r w:rsidRPr="00F4507A">
        <w:rPr>
          <w:rFonts w:hint="cs"/>
          <w:color w:val="000000"/>
          <w:sz w:val="22"/>
          <w:szCs w:val="22"/>
          <w:rtl/>
        </w:rPr>
        <w:t>" (ל"ח, א) – הכול התחיל מכך שיהודה 'ירד' ונפרד מאת אחיו וניסה להגשים את שאיפותיו האישיות מבלי לתת את לבו לצורכי הכלל ומבלי לראות עצמו כחלק ממנו.</w:t>
      </w:r>
    </w:p>
    <w:p w14:paraId="7AD1C478"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מסיבה זו צריך אדם לבחור את תחום עיסוקו רק לאחר שיתנסה בתחומי העשייה המרכזיים של עם ישראל ויקבל פרספקטיבה על תפקידו של עם ישראל בכלל. המשנה באבות (פ"א מ"ב) אומרת:</w:t>
      </w:r>
    </w:p>
    <w:p w14:paraId="5C6B224F"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שמעון הצדיק היה משיירי אנשי כנסת הגדולה הוא היה אומר: על שלושה דברים העולם עומד על התורה ועל העבודה ועל גמילות החסדים</w:t>
      </w:r>
    </w:p>
    <w:p w14:paraId="15100E23"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ברם, כבר לימדונו חז"ל (יבמות קט:):</w:t>
      </w:r>
    </w:p>
    <w:p w14:paraId="23FB1B99"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כל האומר: אין לו אלא תורה... אפילו תורה אין לו</w:t>
      </w:r>
    </w:p>
    <w:p w14:paraId="735E8FF9"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אין אדם רשאי לבחור לו אפיק מסוים קודם שיעסוק בכל שלושת התחומים ויקנה מכנה משותף עם </w:t>
      </w:r>
      <w:proofErr w:type="spellStart"/>
      <w:r w:rsidRPr="00F4507A">
        <w:rPr>
          <w:rFonts w:hint="cs"/>
          <w:color w:val="000000"/>
          <w:sz w:val="22"/>
          <w:szCs w:val="22"/>
          <w:rtl/>
        </w:rPr>
        <w:t>עם</w:t>
      </w:r>
      <w:proofErr w:type="spellEnd"/>
      <w:r w:rsidRPr="00F4507A">
        <w:rPr>
          <w:rFonts w:hint="cs"/>
          <w:color w:val="000000"/>
          <w:sz w:val="22"/>
          <w:szCs w:val="22"/>
          <w:rtl/>
        </w:rPr>
        <w:t xml:space="preserve"> ישראל כולו ותחושת מושרשות בכלל ישראל; רק אז יוכל לפנות לדרך המתאימה לכישוריו ולנטיותיו ולהתמקד באחד משלושת עמודי העולם האלה.</w:t>
      </w:r>
    </w:p>
    <w:p w14:paraId="0DC64A08"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וכן הדברים גם ביחס ללימוד תורה. עם ישראל זקוק לא רק לבקיאים בש"ס ופוסקים אלא גם לאנשים המתמחים בתנ"ך ובמחשבה. אך את הבסיס לתורת ישראל ואת המכנה המשותף לתורה כולה לא ניתן לקנות אלא באמצעות </w:t>
      </w:r>
      <w:r w:rsidRPr="00F4507A">
        <w:rPr>
          <w:rFonts w:hint="cs"/>
          <w:color w:val="000000"/>
          <w:sz w:val="22"/>
          <w:szCs w:val="22"/>
          <w:rtl/>
        </w:rPr>
        <w:t xml:space="preserve">הגמרא, </w:t>
      </w:r>
      <w:proofErr w:type="spellStart"/>
      <w:r w:rsidRPr="00F4507A">
        <w:rPr>
          <w:rFonts w:hint="cs"/>
          <w:color w:val="000000"/>
          <w:sz w:val="22"/>
          <w:szCs w:val="22"/>
          <w:rtl/>
        </w:rPr>
        <w:t>כדאיתא</w:t>
      </w:r>
      <w:proofErr w:type="spellEnd"/>
      <w:r w:rsidRPr="00F4507A">
        <w:rPr>
          <w:rFonts w:hint="cs"/>
          <w:color w:val="000000"/>
          <w:sz w:val="22"/>
          <w:szCs w:val="22"/>
          <w:rtl/>
        </w:rPr>
        <w:t xml:space="preserve"> </w:t>
      </w:r>
      <w:proofErr w:type="spellStart"/>
      <w:r w:rsidRPr="00F4507A">
        <w:rPr>
          <w:rFonts w:hint="cs"/>
          <w:color w:val="000000"/>
          <w:sz w:val="22"/>
          <w:szCs w:val="22"/>
          <w:rtl/>
        </w:rPr>
        <w:t>בגיטין</w:t>
      </w:r>
      <w:proofErr w:type="spellEnd"/>
      <w:r w:rsidRPr="00F4507A">
        <w:rPr>
          <w:rFonts w:hint="cs"/>
          <w:color w:val="000000"/>
          <w:sz w:val="22"/>
          <w:szCs w:val="22"/>
          <w:rtl/>
        </w:rPr>
        <w:t xml:space="preserve"> (ס:):</w:t>
      </w:r>
    </w:p>
    <w:p w14:paraId="0B12D114"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לא כרת הקב"ה ברית עם ישראל אלא בשביל דברים שבעל פה</w:t>
      </w:r>
    </w:p>
    <w:p w14:paraId="6BEB9A45" w14:textId="77777777" w:rsidR="009127EB" w:rsidRPr="00F4507A" w:rsidRDefault="009127EB" w:rsidP="009127EB">
      <w:pPr>
        <w:tabs>
          <w:tab w:val="clear" w:pos="225"/>
        </w:tabs>
        <w:autoSpaceDE/>
        <w:autoSpaceDN/>
        <w:spacing w:afterLines="120" w:after="288"/>
        <w:rPr>
          <w:rFonts w:hint="cs"/>
          <w:color w:val="000000"/>
          <w:sz w:val="22"/>
          <w:szCs w:val="22"/>
          <w:rtl/>
        </w:rPr>
      </w:pPr>
      <w:r w:rsidRPr="00F4507A">
        <w:rPr>
          <w:rFonts w:hint="cs"/>
          <w:color w:val="000000"/>
          <w:sz w:val="22"/>
          <w:szCs w:val="22"/>
          <w:rtl/>
        </w:rPr>
        <w:t xml:space="preserve">רק לאחר מספר שנים של לימוד גמרא אינטנסיבי, שמהלכן קונה התלמיד בסיס רחב, איתן ומוצק בתורה ככלל, יכול הוא לבחור בתחום התמחות ספציפי ההולם את </w:t>
      </w:r>
      <w:proofErr w:type="spellStart"/>
      <w:r w:rsidRPr="00F4507A">
        <w:rPr>
          <w:rFonts w:hint="cs"/>
          <w:color w:val="000000"/>
          <w:sz w:val="22"/>
          <w:szCs w:val="22"/>
          <w:rtl/>
        </w:rPr>
        <w:t>כשרונותיו</w:t>
      </w:r>
      <w:proofErr w:type="spellEnd"/>
      <w:r w:rsidRPr="00F4507A">
        <w:rPr>
          <w:rFonts w:hint="cs"/>
          <w:color w:val="000000"/>
          <w:sz w:val="22"/>
          <w:szCs w:val="22"/>
          <w:rtl/>
        </w:rPr>
        <w:t xml:space="preserve"> ואת נטיותיו.</w:t>
      </w:r>
    </w:p>
    <w:p w14:paraId="488A3723" w14:textId="77777777" w:rsidR="009127EB" w:rsidRPr="0051665A" w:rsidRDefault="009127EB" w:rsidP="009127EB">
      <w:pPr>
        <w:spacing w:afterLines="120" w:after="288"/>
        <w:rPr>
          <w:rFonts w:hint="cs"/>
          <w:color w:val="000000"/>
          <w:sz w:val="22"/>
          <w:szCs w:val="22"/>
          <w:rtl/>
        </w:rPr>
      </w:pPr>
    </w:p>
    <w:p w14:paraId="79720D1B" w14:textId="77777777" w:rsidR="009127EB" w:rsidRPr="0051665A" w:rsidRDefault="009127EB" w:rsidP="009127EB">
      <w:pPr>
        <w:spacing w:afterLines="120" w:after="288"/>
        <w:rPr>
          <w:rFonts w:hint="cs"/>
          <w:sz w:val="22"/>
          <w:szCs w:val="22"/>
          <w:rtl/>
        </w:rPr>
      </w:pPr>
    </w:p>
    <w:p w14:paraId="276DCB62" w14:textId="77777777" w:rsidR="009127EB" w:rsidRDefault="009127EB" w:rsidP="009127EB">
      <w:pPr>
        <w:rPr>
          <w:rFonts w:hint="cs"/>
          <w:rtl/>
        </w:rPr>
      </w:pPr>
    </w:p>
    <w:p w14:paraId="3A202AC5" w14:textId="77777777" w:rsidR="009127EB" w:rsidRDefault="009127EB" w:rsidP="009127EB">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9127EB" w14:paraId="2FAAA3C7" w14:textId="77777777" w:rsidTr="002B2243">
        <w:tblPrEx>
          <w:tblCellMar>
            <w:top w:w="0" w:type="dxa"/>
            <w:bottom w:w="0" w:type="dxa"/>
          </w:tblCellMar>
        </w:tblPrEx>
        <w:tc>
          <w:tcPr>
            <w:tcW w:w="283" w:type="dxa"/>
            <w:tcBorders>
              <w:top w:val="nil"/>
              <w:left w:val="nil"/>
              <w:bottom w:val="nil"/>
              <w:right w:val="nil"/>
            </w:tcBorders>
          </w:tcPr>
          <w:p w14:paraId="7F159BEF" w14:textId="77777777" w:rsidR="009127EB" w:rsidRDefault="009127EB" w:rsidP="002B2243">
            <w:pPr>
              <w:pStyle w:val="a"/>
              <w:rPr>
                <w:rtl/>
              </w:rPr>
            </w:pPr>
            <w:r>
              <w:rPr>
                <w:rtl/>
              </w:rPr>
              <w:t>*</w:t>
            </w:r>
          </w:p>
        </w:tc>
        <w:tc>
          <w:tcPr>
            <w:tcW w:w="4111" w:type="dxa"/>
            <w:tcBorders>
              <w:top w:val="nil"/>
              <w:left w:val="nil"/>
              <w:bottom w:val="nil"/>
              <w:right w:val="nil"/>
            </w:tcBorders>
          </w:tcPr>
          <w:p w14:paraId="7B0C0DE4" w14:textId="77777777" w:rsidR="009127EB" w:rsidRDefault="009127EB" w:rsidP="002B2243">
            <w:pPr>
              <w:pStyle w:val="a"/>
              <w:rPr>
                <w:rtl/>
              </w:rPr>
            </w:pPr>
            <w:r>
              <w:rPr>
                <w:rtl/>
              </w:rPr>
              <w:t>************************************************</w:t>
            </w:r>
          </w:p>
        </w:tc>
        <w:tc>
          <w:tcPr>
            <w:tcW w:w="284" w:type="dxa"/>
            <w:tcBorders>
              <w:top w:val="nil"/>
              <w:left w:val="nil"/>
              <w:bottom w:val="nil"/>
              <w:right w:val="nil"/>
            </w:tcBorders>
          </w:tcPr>
          <w:p w14:paraId="187DDD97" w14:textId="77777777" w:rsidR="009127EB" w:rsidRDefault="009127EB" w:rsidP="002B2243">
            <w:pPr>
              <w:pStyle w:val="a"/>
              <w:rPr>
                <w:rtl/>
              </w:rPr>
            </w:pPr>
            <w:r>
              <w:rPr>
                <w:rtl/>
              </w:rPr>
              <w:t>*</w:t>
            </w:r>
          </w:p>
        </w:tc>
      </w:tr>
      <w:tr w:rsidR="009127EB" w14:paraId="6989EE00" w14:textId="77777777" w:rsidTr="002B2243">
        <w:tblPrEx>
          <w:tblCellMar>
            <w:top w:w="0" w:type="dxa"/>
            <w:bottom w:w="0" w:type="dxa"/>
          </w:tblCellMar>
        </w:tblPrEx>
        <w:tc>
          <w:tcPr>
            <w:tcW w:w="283" w:type="dxa"/>
            <w:tcBorders>
              <w:top w:val="nil"/>
              <w:left w:val="nil"/>
              <w:bottom w:val="nil"/>
              <w:right w:val="nil"/>
            </w:tcBorders>
          </w:tcPr>
          <w:p w14:paraId="4059CC6E" w14:textId="77777777" w:rsidR="009127EB" w:rsidRDefault="009127EB" w:rsidP="002B2243">
            <w:pPr>
              <w:pStyle w:val="a"/>
              <w:rPr>
                <w:rtl/>
              </w:rPr>
            </w:pPr>
            <w:r>
              <w:rPr>
                <w:rtl/>
              </w:rPr>
              <w:t xml:space="preserve">* * * * * </w:t>
            </w:r>
          </w:p>
        </w:tc>
        <w:tc>
          <w:tcPr>
            <w:tcW w:w="4111" w:type="dxa"/>
            <w:tcBorders>
              <w:top w:val="nil"/>
              <w:left w:val="nil"/>
              <w:bottom w:val="nil"/>
              <w:right w:val="nil"/>
            </w:tcBorders>
          </w:tcPr>
          <w:p w14:paraId="50046835" w14:textId="77777777" w:rsidR="009127EB" w:rsidRDefault="009127EB" w:rsidP="002B2243">
            <w:pPr>
              <w:pStyle w:val="a"/>
              <w:rPr>
                <w:rtl/>
              </w:rPr>
            </w:pPr>
            <w:r>
              <w:rPr>
                <w:rtl/>
              </w:rPr>
              <w:t xml:space="preserve">כל הזכויות שמורות לישיבת הר עציון, </w:t>
            </w:r>
            <w:r>
              <w:rPr>
                <w:rFonts w:hint="cs"/>
                <w:rtl/>
              </w:rPr>
              <w:t>תשל"ב</w:t>
            </w:r>
          </w:p>
          <w:p w14:paraId="541EA7B3" w14:textId="77777777" w:rsidR="009127EB" w:rsidRDefault="009127EB" w:rsidP="002B2243">
            <w:pPr>
              <w:pStyle w:val="a"/>
              <w:rPr>
                <w:rtl/>
              </w:rPr>
            </w:pPr>
            <w:r>
              <w:rPr>
                <w:rtl/>
              </w:rPr>
              <w:t>************************************************</w:t>
            </w:r>
          </w:p>
          <w:p w14:paraId="37144DD4" w14:textId="77777777" w:rsidR="009127EB" w:rsidRDefault="009127EB" w:rsidP="002B2243">
            <w:pPr>
              <w:pStyle w:val="a"/>
              <w:rPr>
                <w:rtl/>
              </w:rPr>
            </w:pPr>
          </w:p>
          <w:p w14:paraId="20FA82A7" w14:textId="77777777" w:rsidR="009127EB" w:rsidRDefault="009127EB" w:rsidP="002B2243">
            <w:pPr>
              <w:pStyle w:val="a"/>
              <w:rPr>
                <w:rtl/>
              </w:rPr>
            </w:pPr>
            <w:r>
              <w:rPr>
                <w:rtl/>
              </w:rPr>
              <w:t>בית המדרש הוירטואלי שליד ישיבת הר עציון</w:t>
            </w:r>
          </w:p>
          <w:p w14:paraId="457302D4" w14:textId="77777777" w:rsidR="009127EB" w:rsidRDefault="009127EB" w:rsidP="002B2243">
            <w:pPr>
              <w:pStyle w:val="a"/>
              <w:rPr>
                <w:noProof w:val="0"/>
                <w:rtl/>
              </w:rPr>
            </w:pPr>
            <w:r>
              <w:rPr>
                <w:noProof w:val="0"/>
                <w:rtl/>
              </w:rPr>
              <w:t>האתר בעברית:</w:t>
            </w:r>
            <w:r>
              <w:rPr>
                <w:noProof w:val="0"/>
                <w:rtl/>
              </w:rPr>
              <w:tab/>
            </w:r>
            <w:hyperlink r:id="rId6" w:history="1">
              <w:r>
                <w:rPr>
                  <w:rStyle w:val="Hyperlink"/>
                </w:rPr>
                <w:t>http://www.etzion.org.il/vbm</w:t>
              </w:r>
            </w:hyperlink>
          </w:p>
          <w:p w14:paraId="684067C3" w14:textId="77777777" w:rsidR="009127EB" w:rsidRDefault="009127EB" w:rsidP="002B2243">
            <w:pPr>
              <w:pStyle w:val="a"/>
              <w:rPr>
                <w:noProof w:val="0"/>
                <w:rtl/>
              </w:rPr>
            </w:pPr>
            <w:r>
              <w:rPr>
                <w:noProof w:val="0"/>
                <w:rtl/>
              </w:rPr>
              <w:t>האתר באנגלית:</w:t>
            </w:r>
            <w:r>
              <w:rPr>
                <w:noProof w:val="0"/>
                <w:rtl/>
              </w:rPr>
              <w:tab/>
            </w:r>
            <w:hyperlink r:id="rId7" w:history="1">
              <w:r>
                <w:rPr>
                  <w:rStyle w:val="Hyperlink"/>
                </w:rPr>
                <w:t>http://www.vbm-torah.org</w:t>
              </w:r>
            </w:hyperlink>
          </w:p>
          <w:p w14:paraId="09D9A180" w14:textId="77777777" w:rsidR="009127EB" w:rsidRDefault="009127EB" w:rsidP="002B2243">
            <w:pPr>
              <w:pStyle w:val="a"/>
              <w:rPr>
                <w:rtl/>
              </w:rPr>
            </w:pPr>
          </w:p>
          <w:p w14:paraId="7D155010" w14:textId="77777777" w:rsidR="009127EB" w:rsidRDefault="009127EB" w:rsidP="002B2243">
            <w:pPr>
              <w:pStyle w:val="a"/>
              <w:rPr>
                <w:rtl/>
              </w:rPr>
            </w:pPr>
            <w:r>
              <w:rPr>
                <w:rtl/>
              </w:rPr>
              <w:t>משרדי בית המדרש הוירטואלי: 02-993</w:t>
            </w:r>
            <w:r>
              <w:rPr>
                <w:rFonts w:hint="cs"/>
                <w:rtl/>
              </w:rPr>
              <w:t>7300</w:t>
            </w:r>
            <w:r>
              <w:rPr>
                <w:rtl/>
              </w:rPr>
              <w:t xml:space="preserve"> שלוחה 5 </w:t>
            </w:r>
          </w:p>
          <w:p w14:paraId="35AD683B" w14:textId="77777777" w:rsidR="009127EB" w:rsidRDefault="009127EB" w:rsidP="002B2243">
            <w:pPr>
              <w:pStyle w:val="a"/>
              <w:rPr>
                <w:noProof w:val="0"/>
                <w:rtl/>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588460FF" w14:textId="77777777" w:rsidR="009127EB" w:rsidRDefault="009127EB" w:rsidP="002B2243">
            <w:pPr>
              <w:pStyle w:val="a"/>
              <w:rPr>
                <w:rtl/>
              </w:rPr>
            </w:pPr>
            <w:r>
              <w:rPr>
                <w:rtl/>
              </w:rPr>
              <w:t xml:space="preserve">* * * * * </w:t>
            </w:r>
          </w:p>
        </w:tc>
      </w:tr>
      <w:tr w:rsidR="009127EB" w14:paraId="2B36F520" w14:textId="77777777" w:rsidTr="002B2243">
        <w:tblPrEx>
          <w:tblCellMar>
            <w:top w:w="0" w:type="dxa"/>
            <w:bottom w:w="0" w:type="dxa"/>
          </w:tblCellMar>
        </w:tblPrEx>
        <w:tc>
          <w:tcPr>
            <w:tcW w:w="283" w:type="dxa"/>
            <w:tcBorders>
              <w:top w:val="nil"/>
              <w:left w:val="nil"/>
              <w:bottom w:val="nil"/>
              <w:right w:val="nil"/>
            </w:tcBorders>
          </w:tcPr>
          <w:p w14:paraId="6B7C6E42" w14:textId="77777777" w:rsidR="009127EB" w:rsidRDefault="009127EB" w:rsidP="002B2243">
            <w:pPr>
              <w:pStyle w:val="a"/>
              <w:rPr>
                <w:rtl/>
              </w:rPr>
            </w:pPr>
            <w:r>
              <w:rPr>
                <w:rtl/>
              </w:rPr>
              <w:t>*</w:t>
            </w:r>
          </w:p>
        </w:tc>
        <w:tc>
          <w:tcPr>
            <w:tcW w:w="4111" w:type="dxa"/>
            <w:tcBorders>
              <w:top w:val="nil"/>
              <w:left w:val="nil"/>
              <w:bottom w:val="nil"/>
              <w:right w:val="nil"/>
            </w:tcBorders>
          </w:tcPr>
          <w:p w14:paraId="1F9EC846" w14:textId="77777777" w:rsidR="009127EB" w:rsidRDefault="009127EB" w:rsidP="002B2243">
            <w:pPr>
              <w:pStyle w:val="a"/>
              <w:rPr>
                <w:rtl/>
              </w:rPr>
            </w:pPr>
            <w:r>
              <w:rPr>
                <w:rtl/>
              </w:rPr>
              <w:t>************************************************</w:t>
            </w:r>
          </w:p>
        </w:tc>
        <w:tc>
          <w:tcPr>
            <w:tcW w:w="284" w:type="dxa"/>
            <w:tcBorders>
              <w:top w:val="nil"/>
              <w:left w:val="nil"/>
              <w:bottom w:val="nil"/>
              <w:right w:val="nil"/>
            </w:tcBorders>
          </w:tcPr>
          <w:p w14:paraId="2975E74B" w14:textId="77777777" w:rsidR="009127EB" w:rsidRDefault="009127EB" w:rsidP="002B2243">
            <w:pPr>
              <w:pStyle w:val="a"/>
              <w:rPr>
                <w:rtl/>
              </w:rPr>
            </w:pPr>
            <w:r>
              <w:rPr>
                <w:rtl/>
              </w:rPr>
              <w:t>*</w:t>
            </w:r>
          </w:p>
        </w:tc>
      </w:tr>
    </w:tbl>
    <w:p w14:paraId="76668E09" w14:textId="77777777" w:rsidR="009127EB" w:rsidRPr="00117D7F" w:rsidRDefault="009127EB" w:rsidP="009127EB">
      <w:pPr>
        <w:rPr>
          <w:rtl/>
        </w:rPr>
      </w:pPr>
    </w:p>
    <w:p w14:paraId="5763DF10" w14:textId="77777777" w:rsidR="009127EB" w:rsidRPr="0051665A" w:rsidRDefault="009127EB" w:rsidP="009127EB">
      <w:pPr>
        <w:rPr>
          <w:rFonts w:hint="cs"/>
          <w:sz w:val="22"/>
          <w:szCs w:val="22"/>
          <w:rtl/>
        </w:rPr>
      </w:pPr>
    </w:p>
    <w:p w14:paraId="2D7142F4" w14:textId="77777777" w:rsidR="00C32A6D" w:rsidRDefault="00C32A6D"/>
    <w:sectPr w:rsidR="00C32A6D" w:rsidSect="009127EB">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0BF2" w14:textId="77777777" w:rsidR="00C20C46" w:rsidRDefault="00C20C46" w:rsidP="009127EB">
      <w:pPr>
        <w:spacing w:after="0" w:line="240" w:lineRule="auto"/>
      </w:pPr>
      <w:r>
        <w:separator/>
      </w:r>
    </w:p>
  </w:endnote>
  <w:endnote w:type="continuationSeparator" w:id="0">
    <w:p w14:paraId="07C596CB" w14:textId="77777777" w:rsidR="00C20C46" w:rsidRDefault="00C20C46" w:rsidP="0091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9665" w14:textId="77777777" w:rsidR="00C20C46" w:rsidRDefault="00C20C46" w:rsidP="009127EB">
      <w:pPr>
        <w:spacing w:after="0" w:line="240" w:lineRule="auto"/>
      </w:pPr>
      <w:r>
        <w:separator/>
      </w:r>
    </w:p>
  </w:footnote>
  <w:footnote w:type="continuationSeparator" w:id="0">
    <w:p w14:paraId="5339E671" w14:textId="77777777" w:rsidR="00C20C46" w:rsidRDefault="00C20C46" w:rsidP="009127EB">
      <w:pPr>
        <w:spacing w:after="0" w:line="240" w:lineRule="auto"/>
      </w:pPr>
      <w:r>
        <w:continuationSeparator/>
      </w:r>
    </w:p>
  </w:footnote>
  <w:footnote w:id="1">
    <w:p w14:paraId="33030B6E" w14:textId="77777777" w:rsidR="009127EB" w:rsidRPr="00F4507A" w:rsidRDefault="009127EB" w:rsidP="009127EB">
      <w:pPr>
        <w:pStyle w:val="FootnoteText"/>
        <w:rPr>
          <w:rFonts w:hint="cs"/>
          <w:szCs w:val="20"/>
        </w:rPr>
      </w:pPr>
      <w:r w:rsidRPr="00F4507A">
        <w:rPr>
          <w:rStyle w:val="FootnoteReference"/>
          <w:szCs w:val="20"/>
        </w:rPr>
        <w:footnoteRef/>
      </w:r>
      <w:r w:rsidRPr="00F4507A">
        <w:rPr>
          <w:szCs w:val="20"/>
          <w:rtl/>
        </w:rPr>
        <w:t xml:space="preserve"> </w:t>
      </w:r>
      <w:r w:rsidRPr="00F4507A">
        <w:rPr>
          <w:rStyle w:val="apple-style-span"/>
          <w:rFonts w:hint="cs"/>
          <w:color w:val="000000"/>
          <w:szCs w:val="20"/>
          <w:rtl/>
        </w:rPr>
        <w:t>השיחה הועברה בשבת פרשת ויחי תשס"ג בסעודה שלישית וסוכמה על ידי שאול ברט. הסיכום לא עבר את ביקורת הרב</w:t>
      </w:r>
      <w:r w:rsidRPr="00F4507A">
        <w:rPr>
          <w:rStyle w:val="apple-style-span"/>
          <w:rFonts w:hint="cs"/>
          <w:color w:val="000000"/>
          <w:szCs w:val="20"/>
        </w:rPr>
        <w:t>.</w:t>
      </w:r>
    </w:p>
  </w:footnote>
  <w:footnote w:id="2">
    <w:p w14:paraId="16DA51CE" w14:textId="77777777" w:rsidR="009127EB" w:rsidRPr="00F4507A" w:rsidRDefault="009127EB" w:rsidP="009127EB">
      <w:pPr>
        <w:pStyle w:val="FootnoteText"/>
        <w:rPr>
          <w:rFonts w:hint="cs"/>
          <w:szCs w:val="20"/>
          <w:rtl/>
        </w:rPr>
      </w:pPr>
      <w:r w:rsidRPr="00F4507A">
        <w:rPr>
          <w:rStyle w:val="FootnoteReference"/>
          <w:szCs w:val="20"/>
        </w:rPr>
        <w:footnoteRef/>
      </w:r>
      <w:r w:rsidRPr="00F4507A">
        <w:rPr>
          <w:szCs w:val="20"/>
          <w:rtl/>
        </w:rPr>
        <w:t xml:space="preserve"> </w:t>
      </w:r>
      <w:r w:rsidRPr="00F4507A">
        <w:rPr>
          <w:rStyle w:val="apple-style-span"/>
          <w:rFonts w:hint="cs"/>
          <w:color w:val="000000"/>
          <w:szCs w:val="20"/>
          <w:rtl/>
        </w:rPr>
        <w:t xml:space="preserve">ואם כן הפסוק "אִישׁ אֲשֶׁר כְּבִרְכָתוֹ בֵּרַךְ אֹתָם" מתבאר בדומה לפסוק "אִישׁ </w:t>
      </w:r>
      <w:proofErr w:type="spellStart"/>
      <w:r w:rsidRPr="00F4507A">
        <w:rPr>
          <w:rStyle w:val="apple-style-span"/>
          <w:rFonts w:hint="cs"/>
          <w:color w:val="000000"/>
          <w:szCs w:val="20"/>
          <w:rtl/>
        </w:rPr>
        <w:t>כַּחֲלֹמו</w:t>
      </w:r>
      <w:proofErr w:type="spellEnd"/>
      <w:r w:rsidRPr="00F4507A">
        <w:rPr>
          <w:rStyle w:val="apple-style-span"/>
          <w:rFonts w:hint="cs"/>
          <w:color w:val="000000"/>
          <w:szCs w:val="20"/>
          <w:rtl/>
        </w:rPr>
        <w:t xml:space="preserve">ֹ פָּתָר" (מ"א, </w:t>
      </w:r>
      <w:proofErr w:type="spellStart"/>
      <w:r w:rsidRPr="00F4507A">
        <w:rPr>
          <w:rStyle w:val="apple-style-span"/>
          <w:rFonts w:hint="cs"/>
          <w:color w:val="000000"/>
          <w:szCs w:val="20"/>
          <w:rtl/>
        </w:rPr>
        <w:t>יב</w:t>
      </w:r>
      <w:proofErr w:type="spellEnd"/>
      <w:r w:rsidRPr="00F4507A">
        <w:rPr>
          <w:rStyle w:val="apple-style-span"/>
          <w:rFonts w:hint="cs"/>
          <w:color w:val="000000"/>
          <w:szCs w:val="20"/>
          <w:rtl/>
        </w:rPr>
        <w:t>)</w:t>
      </w:r>
      <w:r w:rsidRPr="00F4507A">
        <w:rPr>
          <w:rStyle w:val="apple-style-span"/>
          <w:rFonts w:hint="cs"/>
          <w:color w:val="000000"/>
          <w:szCs w:val="20"/>
        </w:rPr>
        <w:t>.</w:t>
      </w:r>
    </w:p>
  </w:footnote>
  <w:footnote w:id="3">
    <w:p w14:paraId="50811351" w14:textId="539D4B97" w:rsidR="009127EB" w:rsidRPr="002865C7" w:rsidRDefault="009127EB" w:rsidP="009127EB">
      <w:pPr>
        <w:pStyle w:val="FootnoteText"/>
        <w:rPr>
          <w:rFonts w:ascii="Narkisim" w:hAnsi="Narkisim"/>
          <w:szCs w:val="20"/>
          <w:rtl/>
        </w:rPr>
      </w:pPr>
      <w:r w:rsidRPr="00F4507A">
        <w:rPr>
          <w:rStyle w:val="FootnoteReference"/>
          <w:szCs w:val="20"/>
        </w:rPr>
        <w:footnoteRef/>
      </w:r>
      <w:r w:rsidRPr="00F4507A">
        <w:rPr>
          <w:szCs w:val="20"/>
          <w:rtl/>
        </w:rPr>
        <w:t xml:space="preserve"> </w:t>
      </w:r>
      <w:r w:rsidR="00263D82" w:rsidRPr="002865C7">
        <w:rPr>
          <w:rFonts w:ascii="Narkisim" w:hAnsi="Narkisim"/>
          <w:szCs w:val="20"/>
          <w:rtl/>
        </w:rPr>
        <w:t xml:space="preserve">מן המילים "וללוי </w:t>
      </w:r>
      <w:proofErr w:type="spellStart"/>
      <w:r w:rsidR="00263D82" w:rsidRPr="002865C7">
        <w:rPr>
          <w:rFonts w:ascii="Narkisim" w:hAnsi="Narkisim"/>
          <w:szCs w:val="20"/>
          <w:rtl/>
        </w:rPr>
        <w:t>בענין</w:t>
      </w:r>
      <w:proofErr w:type="spellEnd"/>
      <w:r w:rsidR="00263D82" w:rsidRPr="002865C7">
        <w:rPr>
          <w:rFonts w:ascii="Narkisim" w:hAnsi="Narkisim"/>
          <w:szCs w:val="20"/>
          <w:rtl/>
        </w:rPr>
        <w:t xml:space="preserve"> העבודה" מוכח שמדובר בברכות נוספות, שהרי בברכות המפורטות בפרשה אין כל ברכה כזו ללוי.</w:t>
      </w:r>
    </w:p>
  </w:footnote>
  <w:footnote w:id="4">
    <w:p w14:paraId="02CEEF35" w14:textId="4653EEC4" w:rsidR="009127EB" w:rsidRPr="00F4507A" w:rsidRDefault="009127EB" w:rsidP="009127EB">
      <w:pPr>
        <w:pStyle w:val="FootnoteText"/>
        <w:rPr>
          <w:rFonts w:hint="cs"/>
          <w:szCs w:val="20"/>
          <w:rtl/>
        </w:rPr>
      </w:pPr>
      <w:r w:rsidRPr="00F4507A">
        <w:rPr>
          <w:rStyle w:val="FootnoteReference"/>
          <w:szCs w:val="20"/>
        </w:rPr>
        <w:footnoteRef/>
      </w:r>
      <w:r w:rsidRPr="00F4507A">
        <w:rPr>
          <w:szCs w:val="20"/>
          <w:rtl/>
        </w:rPr>
        <w:t xml:space="preserve"> </w:t>
      </w:r>
      <w:r w:rsidR="00263D82" w:rsidRPr="00F4507A">
        <w:rPr>
          <w:rStyle w:val="apple-style-span"/>
          <w:rFonts w:hint="cs"/>
          <w:color w:val="000000"/>
          <w:szCs w:val="20"/>
          <w:rtl/>
        </w:rPr>
        <w:t>יש לציין כי בעל אור החיים שולל בדבריו א הנחת הפסיכולוגיה במאה השמונה עשרה כי האדם נברא '</w:t>
      </w:r>
      <w:proofErr w:type="spellStart"/>
      <w:r w:rsidR="00263D82" w:rsidRPr="00F4507A">
        <w:rPr>
          <w:rStyle w:val="apple-style-span"/>
          <w:rFonts w:hint="cs"/>
          <w:color w:val="000000"/>
          <w:szCs w:val="20"/>
          <w:rtl/>
        </w:rPr>
        <w:t>טבולא</w:t>
      </w:r>
      <w:proofErr w:type="spellEnd"/>
      <w:r w:rsidR="00263D82" w:rsidRPr="00F4507A">
        <w:rPr>
          <w:rStyle w:val="apple-style-span"/>
          <w:rFonts w:hint="cs"/>
          <w:color w:val="000000"/>
          <w:szCs w:val="20"/>
          <w:rtl/>
        </w:rPr>
        <w:t xml:space="preserve"> </w:t>
      </w:r>
      <w:proofErr w:type="spellStart"/>
      <w:r w:rsidR="00263D82" w:rsidRPr="00F4507A">
        <w:rPr>
          <w:rStyle w:val="apple-style-span"/>
          <w:rFonts w:hint="cs"/>
          <w:color w:val="000000"/>
          <w:szCs w:val="20"/>
          <w:rtl/>
        </w:rPr>
        <w:t>רסא</w:t>
      </w:r>
      <w:proofErr w:type="spellEnd"/>
      <w:r w:rsidR="00263D82" w:rsidRPr="00F4507A">
        <w:rPr>
          <w:rStyle w:val="apple-style-span"/>
          <w:rFonts w:hint="cs"/>
          <w:color w:val="000000"/>
          <w:szCs w:val="20"/>
          <w:rtl/>
        </w:rPr>
        <w:t>' (לוח חלק) ואישיותו מעוצבת אך ורק על ידי חינוכו. מדבריו כאן אנו למדים כי בני האדם נולדים שונים מטבעם, ולכל נפש יש "בחינת מעלה" משלה</w:t>
      </w:r>
      <w:r w:rsidR="00263D82" w:rsidRPr="00F4507A">
        <w:rPr>
          <w:rStyle w:val="apple-style-span"/>
          <w:rFonts w:hint="cs"/>
          <w:color w:val="000000"/>
          <w:szCs w:val="20"/>
        </w:rPr>
        <w:t>.</w:t>
      </w:r>
    </w:p>
  </w:footnote>
  <w:footnote w:id="5">
    <w:p w14:paraId="57BB837E" w14:textId="77777777" w:rsidR="009127EB" w:rsidRPr="00F4507A" w:rsidRDefault="009127EB" w:rsidP="009127EB">
      <w:pPr>
        <w:pStyle w:val="FootnoteText"/>
        <w:rPr>
          <w:rFonts w:hint="cs"/>
          <w:szCs w:val="20"/>
          <w:rtl/>
        </w:rPr>
      </w:pPr>
      <w:r w:rsidRPr="00F4507A">
        <w:rPr>
          <w:rStyle w:val="FootnoteReference"/>
          <w:szCs w:val="20"/>
        </w:rPr>
        <w:footnoteRef/>
      </w:r>
      <w:r w:rsidRPr="00F4507A">
        <w:rPr>
          <w:szCs w:val="20"/>
          <w:rtl/>
        </w:rPr>
        <w:t xml:space="preserve"> </w:t>
      </w:r>
      <w:r w:rsidRPr="00F4507A">
        <w:rPr>
          <w:rStyle w:val="apple-style-span"/>
          <w:rFonts w:hint="cs"/>
          <w:color w:val="000000"/>
          <w:szCs w:val="20"/>
          <w:rtl/>
        </w:rPr>
        <w:t>והיא עתידה לשוב לעתיד לבוא, לכשייבנה בית המקדש ושמות השבטים ישובו וייחקקו על אבני החושן</w:t>
      </w:r>
      <w:r w:rsidRPr="00F4507A">
        <w:rPr>
          <w:rStyle w:val="apple-style-span"/>
          <w:rFonts w:hint="cs"/>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FA47" w14:textId="77777777" w:rsidR="002B2243" w:rsidRDefault="002B2243" w:rsidP="002B2243">
    <w:pPr>
      <w:pStyle w:val="Header"/>
      <w:rPr>
        <w:rtl/>
      </w:rPr>
    </w:pPr>
  </w:p>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2B2243" w14:paraId="3EEE87DE" w14:textId="77777777" w:rsidTr="002B2243">
      <w:tblPrEx>
        <w:tblCellMar>
          <w:top w:w="0" w:type="dxa"/>
          <w:bottom w:w="0" w:type="dxa"/>
        </w:tblCellMar>
      </w:tblPrEx>
      <w:tc>
        <w:tcPr>
          <w:tcW w:w="4927" w:type="dxa"/>
          <w:tcBorders>
            <w:top w:val="nil"/>
            <w:left w:val="nil"/>
            <w:bottom w:val="double" w:sz="4" w:space="0" w:color="auto"/>
            <w:right w:val="nil"/>
          </w:tcBorders>
        </w:tcPr>
        <w:p w14:paraId="5E613747" w14:textId="77777777" w:rsidR="002B2243" w:rsidRDefault="002B2243" w:rsidP="002B2243">
          <w:pPr>
            <w:pStyle w:val="Header"/>
            <w:rPr>
              <w:rtl/>
            </w:rPr>
          </w:pPr>
          <w:r>
            <w:rPr>
              <w:rtl/>
            </w:rPr>
            <w:t xml:space="preserve">בית המדרש </w:t>
          </w:r>
          <w:proofErr w:type="spellStart"/>
          <w:r>
            <w:rPr>
              <w:rtl/>
            </w:rPr>
            <w:t>הוירטואלי</w:t>
          </w:r>
          <w:proofErr w:type="spellEnd"/>
          <w:r>
            <w:rPr>
              <w:rtl/>
            </w:rPr>
            <w:t xml:space="preserve"> (</w:t>
          </w:r>
          <w:r>
            <w:t>V.B.M</w:t>
          </w:r>
          <w:r>
            <w:rPr>
              <w:rtl/>
            </w:rPr>
            <w:t xml:space="preserve">) </w:t>
          </w:r>
          <w:r>
            <w:rPr>
              <w:rFonts w:hint="cs"/>
              <w:rtl/>
            </w:rPr>
            <w:t xml:space="preserve">ע"ש ישראל </w:t>
          </w:r>
          <w:proofErr w:type="spellStart"/>
          <w:r>
            <w:rPr>
              <w:rFonts w:hint="cs"/>
              <w:rtl/>
            </w:rPr>
            <w:t>קושיצקי</w:t>
          </w:r>
          <w:proofErr w:type="spellEnd"/>
          <w:r>
            <w:rPr>
              <w:rtl/>
            </w:rPr>
            <w:br/>
            <w:t>שליד ישיבת הר עציון</w:t>
          </w:r>
        </w:p>
        <w:p w14:paraId="5292958E" w14:textId="77777777" w:rsidR="002B2243" w:rsidRDefault="002B2243" w:rsidP="002B2243">
          <w:pPr>
            <w:pStyle w:val="Header"/>
            <w:rPr>
              <w:rtl/>
            </w:rPr>
          </w:pPr>
          <w:r>
            <w:rPr>
              <w:rtl/>
            </w:rPr>
            <w:t>שיחות מאת ראשי הישיבה</w:t>
          </w:r>
        </w:p>
      </w:tc>
      <w:tc>
        <w:tcPr>
          <w:tcW w:w="4927" w:type="dxa"/>
          <w:tcBorders>
            <w:top w:val="nil"/>
            <w:left w:val="nil"/>
            <w:bottom w:val="double" w:sz="4" w:space="0" w:color="auto"/>
            <w:right w:val="nil"/>
          </w:tcBorders>
          <w:vAlign w:val="center"/>
        </w:tcPr>
        <w:p w14:paraId="5C803E9A" w14:textId="77777777" w:rsidR="002B2243" w:rsidRDefault="002B2243" w:rsidP="002B2243">
          <w:pPr>
            <w:pStyle w:val="Header"/>
            <w:bidi w:val="0"/>
          </w:pPr>
          <w:r>
            <w:t>www.etzion.org.il/vbm</w:t>
          </w:r>
        </w:p>
      </w:tc>
    </w:tr>
  </w:tbl>
  <w:p w14:paraId="5FDF1508" w14:textId="77777777" w:rsidR="002B2243" w:rsidRPr="00AC2D90" w:rsidRDefault="002B2243" w:rsidP="002B2243"/>
  <w:p w14:paraId="0C36B564" w14:textId="77777777" w:rsidR="002B2243" w:rsidRDefault="002B2243" w:rsidP="002B22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2B2243" w14:paraId="4323BB49" w14:textId="77777777">
      <w:tblPrEx>
        <w:tblCellMar>
          <w:top w:w="0" w:type="dxa"/>
          <w:bottom w:w="0" w:type="dxa"/>
        </w:tblCellMar>
      </w:tblPrEx>
      <w:tc>
        <w:tcPr>
          <w:tcW w:w="4927" w:type="dxa"/>
          <w:tcBorders>
            <w:top w:val="nil"/>
            <w:left w:val="nil"/>
            <w:bottom w:val="double" w:sz="4" w:space="0" w:color="auto"/>
            <w:right w:val="nil"/>
          </w:tcBorders>
        </w:tcPr>
        <w:p w14:paraId="17982BB0" w14:textId="77777777" w:rsidR="002B2243" w:rsidRDefault="002B2243" w:rsidP="002B2243">
          <w:pPr>
            <w:pStyle w:val="Header"/>
            <w:spacing w:after="0"/>
            <w:rPr>
              <w:rtl/>
            </w:rPr>
          </w:pPr>
          <w:r>
            <w:rPr>
              <w:rtl/>
            </w:rPr>
            <w:t xml:space="preserve">בית המדרש </w:t>
          </w:r>
          <w:proofErr w:type="spellStart"/>
          <w:r>
            <w:rPr>
              <w:rtl/>
            </w:rPr>
            <w:t>הוירטואלי</w:t>
          </w:r>
          <w:proofErr w:type="spellEnd"/>
          <w:r>
            <w:rPr>
              <w:rtl/>
            </w:rPr>
            <w:t xml:space="preserve">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br/>
          </w:r>
          <w:r>
            <w:rPr>
              <w:rtl/>
            </w:rPr>
            <w:t>שליד ישיבת הר עציון</w:t>
          </w:r>
        </w:p>
        <w:p w14:paraId="43D0CD03" w14:textId="77777777" w:rsidR="002B2243" w:rsidRDefault="002B2243" w:rsidP="002B2243">
          <w:pPr>
            <w:pStyle w:val="Header"/>
            <w:spacing w:after="0"/>
            <w:rPr>
              <w:rtl/>
            </w:rPr>
          </w:pPr>
          <w:r>
            <w:rPr>
              <w:rtl/>
            </w:rPr>
            <w:t>שיחות מאת ראשי הישיבה</w:t>
          </w:r>
        </w:p>
      </w:tc>
      <w:tc>
        <w:tcPr>
          <w:tcW w:w="4927" w:type="dxa"/>
          <w:tcBorders>
            <w:top w:val="nil"/>
            <w:left w:val="nil"/>
            <w:bottom w:val="double" w:sz="4" w:space="0" w:color="auto"/>
            <w:right w:val="nil"/>
          </w:tcBorders>
          <w:vAlign w:val="center"/>
        </w:tcPr>
        <w:p w14:paraId="3C55D045" w14:textId="77777777" w:rsidR="002B2243" w:rsidRDefault="002B2243" w:rsidP="002B2243">
          <w:pPr>
            <w:pStyle w:val="Header"/>
            <w:bidi w:val="0"/>
          </w:pPr>
          <w:r>
            <w:t>www.etzion.org.il/vbm</w:t>
          </w:r>
        </w:p>
      </w:tc>
    </w:tr>
  </w:tbl>
  <w:p w14:paraId="4CD4BFA7" w14:textId="77777777" w:rsidR="002B2243" w:rsidRDefault="002B2243" w:rsidP="002B2243">
    <w:pPr>
      <w:pStyle w:val="Head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EB"/>
    <w:rsid w:val="00263D82"/>
    <w:rsid w:val="002865C7"/>
    <w:rsid w:val="002B2243"/>
    <w:rsid w:val="004536C8"/>
    <w:rsid w:val="006A50FA"/>
    <w:rsid w:val="009127EB"/>
    <w:rsid w:val="00C20C46"/>
    <w:rsid w:val="00C32A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5261"/>
  <w15:chartTrackingRefBased/>
  <w15:docId w15:val="{474CBC5D-028F-4D1F-9A06-D71AC33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127EB"/>
    <w:pPr>
      <w:widowControl w:val="0"/>
      <w:tabs>
        <w:tab w:val="left" w:pos="225"/>
      </w:tabs>
      <w:autoSpaceDE w:val="0"/>
      <w:autoSpaceDN w:val="0"/>
      <w:bidi/>
      <w:spacing w:after="80" w:line="280" w:lineRule="exact"/>
      <w:jc w:val="both"/>
    </w:pPr>
    <w:rPr>
      <w:rFonts w:ascii="Times New Roman" w:eastAsia="Times New Roman" w:hAnsi="Times New Roman" w:cs="Narkisim"/>
    </w:rPr>
  </w:style>
  <w:style w:type="paragraph" w:styleId="Heading1">
    <w:name w:val="heading 1"/>
    <w:basedOn w:val="Normal"/>
    <w:next w:val="Normal"/>
    <w:link w:val="Heading1Char"/>
    <w:uiPriority w:val="99"/>
    <w:qFormat/>
    <w:rsid w:val="009127EB"/>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127EB"/>
    <w:rPr>
      <w:rFonts w:ascii="Arial" w:eastAsia="Times New Roman" w:hAnsi="Arial" w:cs="Narkisim"/>
      <w:sz w:val="20"/>
      <w:szCs w:val="24"/>
    </w:rPr>
  </w:style>
  <w:style w:type="paragraph" w:styleId="FootnoteText">
    <w:name w:val="footnote text"/>
    <w:basedOn w:val="Normal"/>
    <w:link w:val="FootnoteTextChar"/>
    <w:uiPriority w:val="99"/>
    <w:rsid w:val="009127EB"/>
    <w:pPr>
      <w:spacing w:line="240" w:lineRule="auto"/>
      <w:ind w:left="227" w:hanging="227"/>
    </w:pPr>
    <w:rPr>
      <w:position w:val="6"/>
      <w:szCs w:val="16"/>
    </w:rPr>
  </w:style>
  <w:style w:type="character" w:customStyle="1" w:styleId="FootnoteTextChar">
    <w:name w:val="Footnote Text Char"/>
    <w:link w:val="FootnoteText"/>
    <w:uiPriority w:val="99"/>
    <w:rsid w:val="009127EB"/>
    <w:rPr>
      <w:rFonts w:ascii="Times New Roman" w:eastAsia="Times New Roman" w:hAnsi="Times New Roman" w:cs="Narkisim"/>
      <w:position w:val="6"/>
      <w:sz w:val="20"/>
      <w:szCs w:val="16"/>
    </w:rPr>
  </w:style>
  <w:style w:type="character" w:styleId="FootnoteReference">
    <w:name w:val="footnote reference"/>
    <w:uiPriority w:val="99"/>
    <w:rsid w:val="009127EB"/>
    <w:rPr>
      <w:rFonts w:cs="Narkisim"/>
      <w:position w:val="6"/>
      <w:sz w:val="16"/>
      <w:szCs w:val="16"/>
      <w:lang w:bidi="he-IL"/>
    </w:rPr>
  </w:style>
  <w:style w:type="character" w:styleId="Hyperlink">
    <w:name w:val="Hyperlink"/>
    <w:uiPriority w:val="99"/>
    <w:rsid w:val="009127EB"/>
    <w:rPr>
      <w:rFonts w:cs="Narkisim"/>
      <w:color w:val="0000FF"/>
      <w:u w:val="single"/>
      <w:lang w:bidi="he-IL"/>
    </w:rPr>
  </w:style>
  <w:style w:type="paragraph" w:styleId="Header">
    <w:name w:val="header"/>
    <w:basedOn w:val="Normal"/>
    <w:link w:val="HeaderChar"/>
    <w:uiPriority w:val="99"/>
    <w:rsid w:val="009127EB"/>
    <w:pPr>
      <w:tabs>
        <w:tab w:val="center" w:pos="4153"/>
        <w:tab w:val="right" w:pos="8306"/>
      </w:tabs>
    </w:pPr>
  </w:style>
  <w:style w:type="character" w:customStyle="1" w:styleId="HeaderChar">
    <w:name w:val="Header Char"/>
    <w:link w:val="Header"/>
    <w:uiPriority w:val="99"/>
    <w:rsid w:val="009127EB"/>
    <w:rPr>
      <w:rFonts w:ascii="Times New Roman" w:eastAsia="Times New Roman" w:hAnsi="Times New Roman" w:cs="Narkisim"/>
      <w:sz w:val="20"/>
      <w:szCs w:val="20"/>
    </w:rPr>
  </w:style>
  <w:style w:type="paragraph" w:customStyle="1" w:styleId="a">
    <w:name w:val="לוגו תחתון"/>
    <w:basedOn w:val="Normal"/>
    <w:uiPriority w:val="99"/>
    <w:rsid w:val="009127EB"/>
    <w:pPr>
      <w:tabs>
        <w:tab w:val="right" w:pos="3895"/>
      </w:tabs>
      <w:spacing w:after="0" w:line="240" w:lineRule="auto"/>
      <w:jc w:val="center"/>
    </w:pPr>
    <w:rPr>
      <w:rFonts w:ascii="Arial" w:hAnsi="Arial"/>
      <w:b/>
      <w:bCs/>
      <w:noProof/>
      <w:sz w:val="16"/>
      <w:szCs w:val="16"/>
    </w:rPr>
  </w:style>
  <w:style w:type="paragraph" w:customStyle="1" w:styleId="a0">
    <w:name w:val="שיעור"/>
    <w:basedOn w:val="Normal"/>
    <w:uiPriority w:val="99"/>
    <w:rsid w:val="009127EB"/>
    <w:pPr>
      <w:keepNext/>
      <w:spacing w:after="0" w:line="240" w:lineRule="auto"/>
      <w:outlineLvl w:val="1"/>
    </w:pPr>
    <w:rPr>
      <w:rFonts w:ascii="Arial" w:hAnsi="Arial"/>
      <w:b/>
      <w:bCs/>
      <w:sz w:val="28"/>
      <w:szCs w:val="24"/>
    </w:rPr>
  </w:style>
  <w:style w:type="character" w:customStyle="1" w:styleId="apple-style-span">
    <w:name w:val="apple-style-span"/>
    <w:rsid w:val="0091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841</Words>
  <Characters>4797</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5627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כללי</dc:creator>
  <cp:keywords/>
  <cp:lastModifiedBy>user</cp:lastModifiedBy>
  <cp:revision>3</cp:revision>
  <cp:lastPrinted>2012-01-05T07:53:00Z</cp:lastPrinted>
  <dcterms:created xsi:type="dcterms:W3CDTF">2023-08-02T16:04:00Z</dcterms:created>
  <dcterms:modified xsi:type="dcterms:W3CDTF">2023-08-02T16:05:00Z</dcterms:modified>
</cp:coreProperties>
</file>