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206D" w14:textId="77777777" w:rsidR="00B103A1" w:rsidRPr="00BD6239" w:rsidRDefault="00E66D5D" w:rsidP="00CD7A60">
      <w:pPr>
        <w:pStyle w:val="Heading3"/>
        <w:jc w:val="left"/>
        <w:rPr>
          <w:rFonts w:asciiTheme="minorBidi" w:hAnsiTheme="minorBidi" w:cstheme="minorBidi"/>
          <w:b/>
          <w:bCs/>
          <w:color w:val="auto"/>
          <w:rtl/>
        </w:rPr>
      </w:pPr>
      <w:r w:rsidRPr="00BD6239">
        <w:rPr>
          <w:rFonts w:asciiTheme="minorBidi" w:hAnsiTheme="minorBidi" w:cstheme="minorBidi"/>
          <w:b/>
          <w:bCs/>
          <w:color w:val="auto"/>
          <w:rtl/>
        </w:rPr>
        <w:t xml:space="preserve">הרב </w:t>
      </w:r>
      <w:r w:rsidR="00CD7A60">
        <w:rPr>
          <w:rFonts w:asciiTheme="minorBidi" w:hAnsiTheme="minorBidi" w:cstheme="minorBidi" w:hint="cs"/>
          <w:b/>
          <w:bCs/>
          <w:color w:val="auto"/>
          <w:rtl/>
        </w:rPr>
        <w:t xml:space="preserve">אהרן </w:t>
      </w:r>
      <w:proofErr w:type="spellStart"/>
      <w:r w:rsidR="00CD7A60">
        <w:rPr>
          <w:rFonts w:asciiTheme="minorBidi" w:hAnsiTheme="minorBidi" w:cstheme="minorBidi" w:hint="cs"/>
          <w:b/>
          <w:bCs/>
          <w:color w:val="auto"/>
          <w:rtl/>
        </w:rPr>
        <w:t>ליכטשנטיין</w:t>
      </w:r>
      <w:proofErr w:type="spellEnd"/>
      <w:r w:rsidR="00CD7A60">
        <w:rPr>
          <w:rFonts w:asciiTheme="minorBidi" w:hAnsiTheme="minorBidi" w:cstheme="minorBidi" w:hint="cs"/>
          <w:b/>
          <w:bCs/>
          <w:color w:val="auto"/>
          <w:rtl/>
        </w:rPr>
        <w:t xml:space="preserve"> זצ"ל</w:t>
      </w:r>
    </w:p>
    <w:p w14:paraId="73D9D3EE" w14:textId="77777777" w:rsidR="00B103A1" w:rsidRPr="00BD6239" w:rsidRDefault="001E20E0" w:rsidP="00BD6239">
      <w:pPr>
        <w:pStyle w:val="a2"/>
        <w:spacing w:before="0" w:line="360" w:lineRule="auto"/>
        <w:rPr>
          <w:rFonts w:asciiTheme="minorBidi" w:hAnsiTheme="minorBidi" w:cstheme="minorBidi"/>
          <w:rtl/>
        </w:rPr>
      </w:pPr>
      <w:r>
        <w:rPr>
          <w:rFonts w:asciiTheme="minorBidi" w:hAnsiTheme="minorBidi" w:cstheme="minorBidi"/>
          <w:rtl/>
        </w:rPr>
        <w:t>שיחה ל</w:t>
      </w:r>
      <w:r>
        <w:rPr>
          <w:rFonts w:asciiTheme="minorBidi" w:hAnsiTheme="minorBidi" w:cstheme="minorBidi" w:hint="cs"/>
          <w:rtl/>
        </w:rPr>
        <w:t>פרש שמיני</w:t>
      </w:r>
    </w:p>
    <w:p w14:paraId="06A4459B" w14:textId="77777777" w:rsidR="00B103A1" w:rsidRPr="00BD6239" w:rsidRDefault="001E20E0" w:rsidP="002B1140">
      <w:pPr>
        <w:pStyle w:val="a1"/>
        <w:spacing w:line="360" w:lineRule="auto"/>
        <w:rPr>
          <w:rFonts w:asciiTheme="minorBidi" w:hAnsiTheme="minorBidi" w:cstheme="minorBidi"/>
          <w:rtl/>
        </w:rPr>
      </w:pPr>
      <w:r>
        <w:rPr>
          <w:rFonts w:asciiTheme="minorBidi" w:hAnsiTheme="minorBidi" w:cstheme="minorBidi" w:hint="cs"/>
          <w:rtl/>
        </w:rPr>
        <w:t>בשגרה ובחידוש</w:t>
      </w:r>
      <w:r w:rsidR="00B103A1" w:rsidRPr="00BD6239">
        <w:rPr>
          <w:rStyle w:val="FootnoteReference"/>
          <w:rFonts w:asciiTheme="minorBidi" w:hAnsiTheme="minorBidi" w:cstheme="minorBidi"/>
          <w:rtl/>
        </w:rPr>
        <w:footnoteReference w:customMarkFollows="1" w:id="1"/>
        <w:t>*</w:t>
      </w:r>
    </w:p>
    <w:p w14:paraId="670EED66" w14:textId="77777777" w:rsidR="001E20E0" w:rsidRDefault="001E20E0" w:rsidP="00050EA0">
      <w:pPr>
        <w:pStyle w:val="Quote"/>
        <w:spacing w:after="0"/>
      </w:pPr>
      <w:bookmarkStart w:id="0" w:name="OLE_LINK1"/>
      <w:r>
        <w:rPr>
          <w:rtl/>
        </w:rPr>
        <w:t xml:space="preserve">"ויהי ביום השמיני..." </w:t>
      </w:r>
      <w:r>
        <w:tab/>
      </w:r>
    </w:p>
    <w:p w14:paraId="42B654B2" w14:textId="77777777" w:rsidR="001E20E0" w:rsidRDefault="001E20E0" w:rsidP="00050EA0">
      <w:pPr>
        <w:pStyle w:val="Quote"/>
        <w:jc w:val="right"/>
        <w:rPr>
          <w:rtl/>
        </w:rPr>
      </w:pPr>
      <w:r>
        <w:t>)</w:t>
      </w:r>
      <w:r>
        <w:rPr>
          <w:rtl/>
        </w:rPr>
        <w:t xml:space="preserve">ויקרא </w:t>
      </w:r>
      <w:proofErr w:type="spellStart"/>
      <w:r>
        <w:rPr>
          <w:rtl/>
        </w:rPr>
        <w:t>ט',א</w:t>
      </w:r>
      <w:proofErr w:type="spellEnd"/>
      <w:r>
        <w:rPr>
          <w:rtl/>
        </w:rPr>
        <w:t>')</w:t>
      </w:r>
    </w:p>
    <w:p w14:paraId="67DC070E" w14:textId="77777777" w:rsidR="001E20E0" w:rsidRPr="0034193C" w:rsidRDefault="001E20E0" w:rsidP="00050EA0">
      <w:pPr>
        <w:rPr>
          <w:rtl/>
        </w:rPr>
      </w:pPr>
      <w:r>
        <w:rPr>
          <w:rtl/>
        </w:rPr>
        <w:t xml:space="preserve">רש"י </w:t>
      </w:r>
      <w:proofErr w:type="spellStart"/>
      <w:r>
        <w:rPr>
          <w:rtl/>
        </w:rPr>
        <w:t>וראב"ע</w:t>
      </w:r>
      <w:proofErr w:type="spellEnd"/>
      <w:r>
        <w:rPr>
          <w:rtl/>
        </w:rPr>
        <w:t xml:space="preserve"> חלוקים בשאלה על איזה יום מדובר בפסוק: לדעת רש"י, מדובר בראש חודש ניסן. לדבריו, לאחר שבמשך שבעת הימים הקודמים המשכן הוקם ופורק מדי יום, בא' בניסן הוא הוקם באופן סופי. לעומת זאת, לדעת </w:t>
      </w:r>
      <w:proofErr w:type="spellStart"/>
      <w:r>
        <w:rPr>
          <w:rtl/>
        </w:rPr>
        <w:t>ראב"ע</w:t>
      </w:r>
      <w:proofErr w:type="spellEnd"/>
      <w:r>
        <w:rPr>
          <w:rtl/>
        </w:rPr>
        <w:t xml:space="preserve"> מדובר בח' בניסן.</w:t>
      </w:r>
      <w:r>
        <w:t xml:space="preserve"> </w:t>
      </w:r>
    </w:p>
    <w:p w14:paraId="7F078E7B" w14:textId="77777777" w:rsidR="001E20E0" w:rsidRDefault="001E20E0" w:rsidP="001E20E0">
      <w:pPr>
        <w:rPr>
          <w:rtl/>
        </w:rPr>
      </w:pPr>
      <w:r>
        <w:rPr>
          <w:rtl/>
        </w:rPr>
        <w:t>בין כך ובין כך, מדובר ביום חגיגי ומיוחד.</w:t>
      </w:r>
      <w:r>
        <w:t xml:space="preserve"> </w:t>
      </w:r>
      <w:r>
        <w:rPr>
          <w:rtl/>
        </w:rPr>
        <w:t xml:space="preserve">הגמרא </w:t>
      </w:r>
      <w:proofErr w:type="spellStart"/>
      <w:r>
        <w:rPr>
          <w:rtl/>
        </w:rPr>
        <w:t>בגיטין</w:t>
      </w:r>
      <w:proofErr w:type="spellEnd"/>
      <w:r>
        <w:rPr>
          <w:rtl/>
        </w:rPr>
        <w:t xml:space="preserve"> ס</w:t>
      </w:r>
      <w:r>
        <w:rPr>
          <w:rFonts w:hint="cs"/>
          <w:rtl/>
        </w:rPr>
        <w:t xml:space="preserve"> ע"א</w:t>
      </w:r>
      <w:r>
        <w:rPr>
          <w:rtl/>
        </w:rPr>
        <w:t xml:space="preserve"> מספרת, כי שמונה פרשיות נאמרו באותו יום, והגמרא בשבת </w:t>
      </w:r>
      <w:r>
        <w:rPr>
          <w:rFonts w:hint="cs"/>
          <w:rtl/>
        </w:rPr>
        <w:t>פז ע"ב</w:t>
      </w:r>
      <w:r>
        <w:t xml:space="preserve"> </w:t>
      </w:r>
      <w:r>
        <w:rPr>
          <w:rtl/>
        </w:rPr>
        <w:t xml:space="preserve">מוסיפה שיום זה נטל עשר עטרות: ראשון למעשה בראשית, ראשון לכהונה, ראשון לעבודה, ראשון לאכילת קודשים </w:t>
      </w:r>
      <w:proofErr w:type="spellStart"/>
      <w:r>
        <w:rPr>
          <w:rtl/>
        </w:rPr>
        <w:t>וכו</w:t>
      </w:r>
      <w:proofErr w:type="spellEnd"/>
      <w:r>
        <w:rPr>
          <w:rtl/>
        </w:rPr>
        <w:t>'.</w:t>
      </w:r>
      <w:r>
        <w:t xml:space="preserve"> </w:t>
      </w:r>
    </w:p>
    <w:p w14:paraId="5FF20230" w14:textId="77777777" w:rsidR="001E20E0" w:rsidRDefault="001E20E0" w:rsidP="00050EA0">
      <w:pPr>
        <w:rPr>
          <w:rtl/>
        </w:rPr>
      </w:pPr>
      <w:r>
        <w:rPr>
          <w:rtl/>
        </w:rPr>
        <w:t>למרות ייחודיות היום אותה תיארנו, אין ספק שגולת הכותרת של היום הי</w:t>
      </w:r>
      <w:r>
        <w:rPr>
          <w:rFonts w:hint="cs"/>
          <w:rtl/>
        </w:rPr>
        <w:t>י</w:t>
      </w:r>
      <w:r>
        <w:rPr>
          <w:rtl/>
        </w:rPr>
        <w:t>תה ירידת האש והשכינה מן השמים בפעם הראשונה.</w:t>
      </w:r>
      <w:r>
        <w:t xml:space="preserve"> </w:t>
      </w:r>
      <w:r>
        <w:rPr>
          <w:rtl/>
        </w:rPr>
        <w:t>היה זה, אם כן, יום של חידוש וראשוניות, שסימל פתיחת פרק חדש בחיי עם ישראל!</w:t>
      </w:r>
    </w:p>
    <w:p w14:paraId="624ACEDE" w14:textId="77777777" w:rsidR="001E20E0" w:rsidRDefault="001E20E0" w:rsidP="00050EA0">
      <w:pPr>
        <w:rPr>
          <w:rtl/>
        </w:rPr>
      </w:pPr>
      <w:r>
        <w:rPr>
          <w:rtl/>
        </w:rPr>
        <w:t>אולם מצד שני, ניתן לדבר גם על פן הפוך הקיים באותו יום, שהרי בו החלה העבודה השגרתית במשכן; אותה עבודה יום-יומית, מלאה הלכות יבשות וחסרת אופי חגיגי ומיוחד.</w:t>
      </w:r>
      <w:r>
        <w:t xml:space="preserve"> </w:t>
      </w:r>
      <w:r>
        <w:rPr>
          <w:rtl/>
        </w:rPr>
        <w:t>אחד הביטויים ל'שינוי' שעבר על עבודת המשכן ביום הקמתו, מצוי בעובדה שבמשך שבעת הימים שימש משה ככהן וכרב, ואילו מהיום השמיני והלאה נכנסו אהרן ובניו לתפקיד. בהתאם לכך, הגמרא בעבודה זרה ל</w:t>
      </w:r>
      <w:r>
        <w:rPr>
          <w:rFonts w:hint="cs"/>
          <w:rtl/>
        </w:rPr>
        <w:t>ד ע"א</w:t>
      </w:r>
      <w:r>
        <w:t xml:space="preserve"> </w:t>
      </w:r>
      <w:r>
        <w:rPr>
          <w:rtl/>
        </w:rPr>
        <w:t xml:space="preserve">מסבירה, שבמשך שבעת הימים לבש משה בגדי לבן, ולא בגדי כהונה, ורש"י על אתר מנמק זאת בכך שבגדי הכהונה נועדו לכוהנים ואילו </w:t>
      </w:r>
      <w:r>
        <w:rPr>
          <w:rtl/>
        </w:rPr>
        <w:t xml:space="preserve">משה "היה זר אצלן, ועל פי הדיבור שימש". אמנם תוספות חולקים, ומסבירים שהסיבה לבגדי הלבן של משה </w:t>
      </w:r>
      <w:proofErr w:type="spellStart"/>
      <w:r>
        <w:rPr>
          <w:rtl/>
        </w:rPr>
        <w:t>היתה</w:t>
      </w:r>
      <w:proofErr w:type="spellEnd"/>
      <w:r>
        <w:rPr>
          <w:rtl/>
        </w:rPr>
        <w:t xml:space="preserve"> שהבגדים טרם התקדשו, אולם ברור שגם הם מסכימים ששימושו של משה ככהן היה אירוע מיוחד,  שאינו מתאים לחיי השגרה של המקדש שהתחילו ביום השמיני.</w:t>
      </w:r>
    </w:p>
    <w:p w14:paraId="6AEEF5E9" w14:textId="77777777" w:rsidR="001E20E0" w:rsidRDefault="001E20E0" w:rsidP="00050EA0">
      <w:pPr>
        <w:rPr>
          <w:rtl/>
        </w:rPr>
      </w:pPr>
      <w:r>
        <w:rPr>
          <w:rtl/>
        </w:rPr>
        <w:t>לעובדה שבמשך שבעת ימי המילואים שימש במקדש נביא, ולא כהן, יש משמעות רבה. הנבואה מסמלת את החידוש והראשוניות. קבלת נבואה היא אירוע מיוחד ונשגב, מלא רוחניות, ואילו הכהונה היא תפקיד של שגרה ועבודה יומיומית. הכהנים מבצעים מדי יום אותן פעולות בדיוק, והם צריכים להקפיד על פרטי פרטים של הלכות יבשות. זו גם הסיבה שהכהונה, בניגוד לנבואה, עוברת מאב לבן: חלק מהשגרה שבכהונה הוא שהבן נכנס במקום אביו, דבר המבטא אלמנט של רציפות.</w:t>
      </w:r>
    </w:p>
    <w:p w14:paraId="6C5CCE9F" w14:textId="77777777" w:rsidR="001E20E0" w:rsidRDefault="001E20E0" w:rsidP="00050EA0">
      <w:pPr>
        <w:rPr>
          <w:rtl/>
        </w:rPr>
      </w:pPr>
      <w:r>
        <w:rPr>
          <w:rtl/>
        </w:rPr>
        <w:t xml:space="preserve">מובן מאליו, שהשגרתיות הקיימת בעבודת הכהנים יוצרת חשש מסוים: שמא מרוב פרטים והלכות יבשות יאבדו הכהנים את החיות ואת הראשוניות? </w:t>
      </w:r>
    </w:p>
    <w:p w14:paraId="3F6FA804" w14:textId="77777777" w:rsidR="001E20E0" w:rsidRDefault="001E20E0" w:rsidP="00050EA0">
      <w:pPr>
        <w:rPr>
          <w:rtl/>
        </w:rPr>
      </w:pPr>
      <w:r>
        <w:rPr>
          <w:rtl/>
        </w:rPr>
        <w:t xml:space="preserve">נדמה, שתגובת התורה לבעיה זו היא חד-משמעית: אסור לעבודת ה' שתהיה "מצוות אנשים מלומדה"; אסור להתייחס אליה כאל דבר שגרתי ויומיומי, למרות היותה נדמית </w:t>
      </w:r>
      <w:proofErr w:type="spellStart"/>
      <w:r>
        <w:rPr>
          <w:rtl/>
        </w:rPr>
        <w:t>ככזו</w:t>
      </w:r>
      <w:proofErr w:type="spellEnd"/>
      <w:r>
        <w:rPr>
          <w:rtl/>
        </w:rPr>
        <w:t xml:space="preserve"> כלפי חוץ! הן העבודה במקדש והן עבודת ה' האישית של כל יהודי, צריכות לכלול את שני המרכיבים: את הכהונה ואת הנבואה. מחד, יש להקפיד על קוצו של יו"ד ואין לסטות במאומה מן ההלכה היבשה על פרטיה; אך מאידך, יש לעבוד את ה' מתוך חיות ורוחניות ולחפש כל הזמן את הדרך להתקדם ולחדש. </w:t>
      </w:r>
    </w:p>
    <w:p w14:paraId="398D7DD7" w14:textId="77777777" w:rsidR="001E20E0" w:rsidRDefault="001E20E0" w:rsidP="00050EA0">
      <w:pPr>
        <w:rPr>
          <w:rtl/>
        </w:rPr>
      </w:pPr>
      <w:r>
        <w:rPr>
          <w:rtl/>
        </w:rPr>
        <w:t xml:space="preserve">לפי דברינו, עבודת משה בשבעת ימי המילואים נועדה להקרין על כל העבודה שתיעשה במקדש מכאן ולהבא. ייתכן, שזהו הרעיון העומד בבסיסה של השיטה הגורסת </w:t>
      </w:r>
      <w:r>
        <w:rPr>
          <w:rtl/>
        </w:rPr>
        <w:lastRenderedPageBreak/>
        <w:t>שמשה עבד במשכן במשך כל ארבעים ה</w:t>
      </w:r>
      <w:r w:rsidR="002D0B80">
        <w:rPr>
          <w:rtl/>
        </w:rPr>
        <w:t xml:space="preserve">שנים שהיו ישראל במדבר (זבחים </w:t>
      </w:r>
      <w:proofErr w:type="spellStart"/>
      <w:r w:rsidR="002D0B80">
        <w:rPr>
          <w:rtl/>
        </w:rPr>
        <w:t>קא</w:t>
      </w:r>
      <w:proofErr w:type="spellEnd"/>
      <w:r w:rsidR="002D0B80">
        <w:rPr>
          <w:rFonts w:hint="cs"/>
          <w:rtl/>
        </w:rPr>
        <w:t xml:space="preserve"> ע"ב</w:t>
      </w:r>
      <w:r>
        <w:rPr>
          <w:rtl/>
        </w:rPr>
        <w:t>).</w:t>
      </w:r>
      <w:r>
        <w:t xml:space="preserve"> </w:t>
      </w:r>
    </w:p>
    <w:p w14:paraId="04217986" w14:textId="77777777" w:rsidR="001E20E0" w:rsidRDefault="001E20E0" w:rsidP="001E20E0">
      <w:pPr>
        <w:rPr>
          <w:rtl/>
        </w:rPr>
      </w:pPr>
      <w:r>
        <w:rPr>
          <w:rtl/>
        </w:rPr>
        <w:t>רעיון זה, של שילוב הראשוניות והחדשנות בתוך חיי יום-יום מלאי עבודות קבועות וידועות מראש - חשוב מאד לגבינו.</w:t>
      </w:r>
      <w:r>
        <w:t xml:space="preserve"> </w:t>
      </w:r>
      <w:r>
        <w:rPr>
          <w:rtl/>
        </w:rPr>
        <w:t>גם חיינו כתלמידי ישיבה הם מלאי שגרה ועבודה יומיומית. מוטל עלינו לחפש כל העת את החידוש והשינוי מחד, בלי לסטות במאומה מפרטי ההלכות היבשות מאידך. על כל אחד מאתנו לחפש את הנביא בתוך עבודת הכהונה!</w:t>
      </w:r>
    </w:p>
    <w:tbl>
      <w:tblPr>
        <w:tblpPr w:leftFromText="180" w:rightFromText="180" w:vertAnchor="text" w:horzAnchor="margin" w:tblpY="4836"/>
        <w:bidiVisual/>
        <w:tblW w:w="4678" w:type="dxa"/>
        <w:tblLayout w:type="fixed"/>
        <w:tblLook w:val="0000" w:firstRow="0" w:lastRow="0" w:firstColumn="0" w:lastColumn="0" w:noHBand="0" w:noVBand="0"/>
      </w:tblPr>
      <w:tblGrid>
        <w:gridCol w:w="283"/>
        <w:gridCol w:w="4111"/>
        <w:gridCol w:w="284"/>
      </w:tblGrid>
      <w:tr w:rsidR="008C7523" w14:paraId="01711043" w14:textId="77777777" w:rsidTr="008C7523">
        <w:trPr>
          <w:trHeight w:val="63"/>
        </w:trPr>
        <w:tc>
          <w:tcPr>
            <w:tcW w:w="283" w:type="dxa"/>
            <w:tcBorders>
              <w:top w:val="nil"/>
              <w:left w:val="nil"/>
              <w:bottom w:val="nil"/>
              <w:right w:val="nil"/>
            </w:tcBorders>
          </w:tcPr>
          <w:bookmarkEnd w:id="0"/>
          <w:p w14:paraId="133FCA0C" w14:textId="77777777" w:rsidR="008C7523" w:rsidRDefault="008C7523" w:rsidP="008C7523">
            <w:pPr>
              <w:pStyle w:val="a0"/>
              <w:jc w:val="left"/>
              <w:rPr>
                <w:noProof w:val="0"/>
              </w:rPr>
            </w:pPr>
            <w:r>
              <w:rPr>
                <w:noProof w:val="0"/>
                <w:rtl/>
              </w:rPr>
              <w:t>*</w:t>
            </w:r>
          </w:p>
        </w:tc>
        <w:tc>
          <w:tcPr>
            <w:tcW w:w="4111" w:type="dxa"/>
            <w:tcBorders>
              <w:top w:val="nil"/>
              <w:left w:val="nil"/>
              <w:bottom w:val="nil"/>
              <w:right w:val="nil"/>
            </w:tcBorders>
          </w:tcPr>
          <w:p w14:paraId="1136E2F6" w14:textId="77777777" w:rsidR="008C7523" w:rsidRDefault="008C7523" w:rsidP="008C7523">
            <w:pPr>
              <w:pStyle w:val="a0"/>
              <w:ind w:left="-170" w:right="-170"/>
              <w:jc w:val="left"/>
              <w:rPr>
                <w:noProof w:val="0"/>
              </w:rPr>
            </w:pPr>
            <w:r>
              <w:rPr>
                <w:noProof w:val="0"/>
                <w:rtl/>
              </w:rPr>
              <w:t>***************************************************************</w:t>
            </w:r>
          </w:p>
        </w:tc>
        <w:tc>
          <w:tcPr>
            <w:tcW w:w="284" w:type="dxa"/>
            <w:tcBorders>
              <w:top w:val="nil"/>
              <w:left w:val="nil"/>
              <w:bottom w:val="nil"/>
              <w:right w:val="nil"/>
            </w:tcBorders>
          </w:tcPr>
          <w:p w14:paraId="01ADBE7A" w14:textId="77777777" w:rsidR="008C7523" w:rsidRDefault="008C7523" w:rsidP="008C7523">
            <w:pPr>
              <w:pStyle w:val="a0"/>
              <w:jc w:val="left"/>
              <w:rPr>
                <w:noProof w:val="0"/>
              </w:rPr>
            </w:pPr>
            <w:r>
              <w:rPr>
                <w:noProof w:val="0"/>
                <w:rtl/>
              </w:rPr>
              <w:t>*</w:t>
            </w:r>
          </w:p>
        </w:tc>
      </w:tr>
      <w:tr w:rsidR="008C7523" w14:paraId="068C792E" w14:textId="77777777" w:rsidTr="008C7523">
        <w:tc>
          <w:tcPr>
            <w:tcW w:w="283" w:type="dxa"/>
            <w:tcBorders>
              <w:top w:val="nil"/>
              <w:left w:val="nil"/>
              <w:bottom w:val="nil"/>
              <w:right w:val="nil"/>
            </w:tcBorders>
          </w:tcPr>
          <w:p w14:paraId="698987D2" w14:textId="77777777" w:rsidR="008C7523" w:rsidRDefault="008C7523" w:rsidP="008C7523">
            <w:pPr>
              <w:pStyle w:val="a0"/>
              <w:jc w:val="left"/>
              <w:rPr>
                <w:noProof w:val="0"/>
              </w:rPr>
            </w:pPr>
            <w:r>
              <w:rPr>
                <w:noProof w:val="0"/>
                <w:rtl/>
              </w:rPr>
              <w:t>* * * * * * * * * *</w:t>
            </w:r>
          </w:p>
        </w:tc>
        <w:tc>
          <w:tcPr>
            <w:tcW w:w="4111" w:type="dxa"/>
            <w:tcBorders>
              <w:top w:val="nil"/>
              <w:left w:val="nil"/>
              <w:bottom w:val="nil"/>
              <w:right w:val="nil"/>
            </w:tcBorders>
          </w:tcPr>
          <w:p w14:paraId="5C2C7DF0" w14:textId="77777777" w:rsidR="008C7523" w:rsidRDefault="008C7523" w:rsidP="008C7523">
            <w:pPr>
              <w:pStyle w:val="a0"/>
              <w:rPr>
                <w:noProof w:val="0"/>
                <w:rtl/>
              </w:rPr>
            </w:pPr>
            <w:r>
              <w:rPr>
                <w:noProof w:val="0"/>
                <w:rtl/>
              </w:rPr>
              <w:t>כל הזכויות שמורות לישיבת הר עציון</w:t>
            </w:r>
            <w:r>
              <w:rPr>
                <w:rFonts w:hint="cs"/>
                <w:noProof w:val="0"/>
                <w:rtl/>
              </w:rPr>
              <w:t xml:space="preserve"> ולרב אהרן </w:t>
            </w:r>
            <w:proofErr w:type="spellStart"/>
            <w:r>
              <w:rPr>
                <w:rFonts w:hint="cs"/>
                <w:noProof w:val="0"/>
                <w:rtl/>
              </w:rPr>
              <w:t>ליכטשנטיין</w:t>
            </w:r>
            <w:proofErr w:type="spellEnd"/>
            <w:r>
              <w:rPr>
                <w:rFonts w:hint="cs"/>
                <w:noProof w:val="0"/>
                <w:rtl/>
              </w:rPr>
              <w:t xml:space="preserve"> זצ"ל</w:t>
            </w:r>
          </w:p>
          <w:p w14:paraId="31E85A8C" w14:textId="77777777" w:rsidR="008C7523" w:rsidRPr="00C5614D" w:rsidRDefault="008C7523" w:rsidP="008C7523">
            <w:pPr>
              <w:pStyle w:val="a0"/>
              <w:rPr>
                <w:rFonts w:ascii="Times New Roman" w:hAnsi="Times New Roman" w:cs="Times New Roman"/>
                <w:noProof w:val="0"/>
                <w:rtl/>
              </w:rPr>
            </w:pPr>
            <w:r>
              <w:rPr>
                <w:rFonts w:hint="cs"/>
                <w:noProof w:val="0"/>
                <w:rtl/>
              </w:rPr>
              <w:t>עורך: אלישע אורון, תשע"ט</w:t>
            </w:r>
          </w:p>
          <w:p w14:paraId="39E67817" w14:textId="77777777" w:rsidR="008C7523" w:rsidRDefault="008C7523" w:rsidP="008C7523">
            <w:pPr>
              <w:pStyle w:val="a0"/>
              <w:rPr>
                <w:noProof w:val="0"/>
                <w:rtl/>
              </w:rPr>
            </w:pPr>
            <w:r>
              <w:rPr>
                <w:noProof w:val="0"/>
                <w:rtl/>
              </w:rPr>
              <w:t>*******************************************************</w:t>
            </w:r>
          </w:p>
          <w:p w14:paraId="5999CBEB" w14:textId="77777777" w:rsidR="008C7523" w:rsidRDefault="008C7523" w:rsidP="008C7523">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7C30CDBC" w14:textId="77777777" w:rsidR="008C7523" w:rsidRDefault="0090038B" w:rsidP="008C7523">
            <w:pPr>
              <w:pStyle w:val="a0"/>
              <w:rPr>
                <w:noProof w:val="0"/>
                <w:rtl/>
              </w:rPr>
            </w:pPr>
            <w:hyperlink r:id="rId6" w:history="1">
              <w:r w:rsidR="008C7523">
                <w:rPr>
                  <w:rStyle w:val="Hyperlink"/>
                  <w:rFonts w:eastAsiaTheme="majorEastAsia"/>
                </w:rPr>
                <w:t>http://www.etzion.org.il</w:t>
              </w:r>
            </w:hyperlink>
          </w:p>
          <w:p w14:paraId="77519D8E" w14:textId="77777777" w:rsidR="008C7523" w:rsidRDefault="008C7523" w:rsidP="008C7523">
            <w:pPr>
              <w:pStyle w:val="a0"/>
              <w:rPr>
                <w:noProof w:val="0"/>
                <w:rtl/>
              </w:rPr>
            </w:pPr>
          </w:p>
          <w:p w14:paraId="11163EF5" w14:textId="77777777" w:rsidR="008C7523" w:rsidRDefault="008C7523" w:rsidP="008C7523">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02-9937300 שלוחה 5</w:t>
            </w:r>
          </w:p>
          <w:p w14:paraId="1D7A05E9" w14:textId="77777777" w:rsidR="008C7523" w:rsidRDefault="008C7523" w:rsidP="008C7523">
            <w:pPr>
              <w:pStyle w:val="a0"/>
              <w:rPr>
                <w:noProof w:val="0"/>
              </w:rPr>
            </w:pPr>
            <w:r>
              <w:rPr>
                <w:noProof w:val="0"/>
                <w:rtl/>
              </w:rPr>
              <w:t xml:space="preserve">דואל: </w:t>
            </w:r>
            <w:hyperlink r:id="rId7" w:history="1">
              <w:r>
                <w:rPr>
                  <w:rStyle w:val="Hyperlink"/>
                  <w:rFonts w:eastAsiaTheme="majorEastAsia"/>
                </w:rPr>
                <w:t>office@etzion.org.il</w:t>
              </w:r>
            </w:hyperlink>
          </w:p>
        </w:tc>
        <w:tc>
          <w:tcPr>
            <w:tcW w:w="284" w:type="dxa"/>
            <w:tcBorders>
              <w:top w:val="nil"/>
              <w:left w:val="nil"/>
              <w:bottom w:val="nil"/>
              <w:right w:val="nil"/>
            </w:tcBorders>
          </w:tcPr>
          <w:p w14:paraId="6D418B5E" w14:textId="77777777" w:rsidR="008C7523" w:rsidRDefault="008C7523" w:rsidP="008C7523">
            <w:pPr>
              <w:pStyle w:val="a0"/>
              <w:jc w:val="left"/>
              <w:rPr>
                <w:noProof w:val="0"/>
                <w:rtl/>
              </w:rPr>
            </w:pPr>
            <w:r>
              <w:rPr>
                <w:noProof w:val="0"/>
                <w:rtl/>
              </w:rPr>
              <w:t xml:space="preserve">* * * * * * * * * * </w:t>
            </w:r>
          </w:p>
        </w:tc>
      </w:tr>
      <w:tr w:rsidR="008C7523" w14:paraId="188170B6" w14:textId="77777777" w:rsidTr="008C7523">
        <w:tc>
          <w:tcPr>
            <w:tcW w:w="283" w:type="dxa"/>
            <w:tcBorders>
              <w:top w:val="nil"/>
              <w:left w:val="nil"/>
              <w:bottom w:val="nil"/>
              <w:right w:val="nil"/>
            </w:tcBorders>
          </w:tcPr>
          <w:p w14:paraId="5611A011" w14:textId="77777777" w:rsidR="008C7523" w:rsidRDefault="008C7523" w:rsidP="008C7523">
            <w:pPr>
              <w:pStyle w:val="a0"/>
              <w:jc w:val="left"/>
              <w:rPr>
                <w:noProof w:val="0"/>
              </w:rPr>
            </w:pPr>
            <w:r>
              <w:rPr>
                <w:noProof w:val="0"/>
                <w:rtl/>
              </w:rPr>
              <w:t>*</w:t>
            </w:r>
          </w:p>
        </w:tc>
        <w:tc>
          <w:tcPr>
            <w:tcW w:w="4111" w:type="dxa"/>
            <w:tcBorders>
              <w:top w:val="nil"/>
              <w:left w:val="nil"/>
              <w:bottom w:val="nil"/>
              <w:right w:val="nil"/>
            </w:tcBorders>
          </w:tcPr>
          <w:p w14:paraId="7D369B84" w14:textId="77777777" w:rsidR="008C7523" w:rsidRDefault="008C7523" w:rsidP="008C7523">
            <w:pPr>
              <w:pStyle w:val="a0"/>
              <w:ind w:left="-227" w:right="-227"/>
              <w:jc w:val="left"/>
              <w:rPr>
                <w:noProof w:val="0"/>
              </w:rPr>
            </w:pPr>
            <w:r>
              <w:rPr>
                <w:noProof w:val="0"/>
                <w:rtl/>
              </w:rPr>
              <w:t>***************************************************************</w:t>
            </w:r>
          </w:p>
        </w:tc>
        <w:tc>
          <w:tcPr>
            <w:tcW w:w="284" w:type="dxa"/>
            <w:tcBorders>
              <w:top w:val="nil"/>
              <w:left w:val="nil"/>
              <w:bottom w:val="nil"/>
              <w:right w:val="nil"/>
            </w:tcBorders>
          </w:tcPr>
          <w:p w14:paraId="32F91402" w14:textId="77777777" w:rsidR="008C7523" w:rsidRDefault="008C7523" w:rsidP="008C7523">
            <w:pPr>
              <w:pStyle w:val="a0"/>
              <w:jc w:val="left"/>
              <w:rPr>
                <w:noProof w:val="0"/>
                <w:rtl/>
              </w:rPr>
            </w:pPr>
            <w:r>
              <w:rPr>
                <w:noProof w:val="0"/>
                <w:rtl/>
              </w:rPr>
              <w:t>*</w:t>
            </w:r>
          </w:p>
        </w:tc>
      </w:tr>
    </w:tbl>
    <w:p w14:paraId="38CDC3BE" w14:textId="77777777" w:rsidR="003F7890" w:rsidRPr="00B103A1" w:rsidRDefault="003F7890" w:rsidP="00BD6239">
      <w:pPr>
        <w:jc w:val="left"/>
      </w:pPr>
    </w:p>
    <w:sectPr w:rsidR="003F7890" w:rsidRPr="00B103A1" w:rsidSect="005F798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6FB6" w14:textId="77777777" w:rsidR="0090038B" w:rsidRDefault="0090038B" w:rsidP="005F7985">
      <w:pPr>
        <w:spacing w:after="0" w:line="240" w:lineRule="auto"/>
      </w:pPr>
      <w:r>
        <w:separator/>
      </w:r>
    </w:p>
  </w:endnote>
  <w:endnote w:type="continuationSeparator" w:id="0">
    <w:p w14:paraId="65311C1D" w14:textId="77777777" w:rsidR="0090038B" w:rsidRDefault="0090038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FE56" w14:textId="77777777" w:rsidR="0090038B" w:rsidRDefault="0090038B" w:rsidP="005F7985">
      <w:pPr>
        <w:spacing w:after="0" w:line="240" w:lineRule="auto"/>
      </w:pPr>
      <w:r>
        <w:separator/>
      </w:r>
    </w:p>
  </w:footnote>
  <w:footnote w:type="continuationSeparator" w:id="0">
    <w:p w14:paraId="67B4CF05" w14:textId="77777777" w:rsidR="0090038B" w:rsidRDefault="0090038B" w:rsidP="005F7985">
      <w:pPr>
        <w:spacing w:after="0" w:line="240" w:lineRule="auto"/>
      </w:pPr>
      <w:r>
        <w:continuationSeparator/>
      </w:r>
    </w:p>
  </w:footnote>
  <w:footnote w:id="1">
    <w:p w14:paraId="550974C6" w14:textId="13859DA3" w:rsidR="00E66D5D" w:rsidRDefault="00B103A1" w:rsidP="001E20E0">
      <w:pPr>
        <w:pStyle w:val="FootnoteText"/>
        <w:ind w:left="225"/>
      </w:pPr>
      <w:r>
        <w:rPr>
          <w:rStyle w:val="FootnoteReference"/>
          <w:rtl/>
        </w:rPr>
        <w:t>*</w:t>
      </w:r>
      <w:r>
        <w:rPr>
          <w:rtl/>
        </w:rPr>
        <w:t xml:space="preserve"> </w:t>
      </w:r>
      <w:r>
        <w:rPr>
          <w:rtl/>
        </w:rPr>
        <w:tab/>
      </w:r>
      <w:r w:rsidR="00BD6239">
        <w:rPr>
          <w:rFonts w:hint="cs"/>
          <w:rtl/>
        </w:rPr>
        <w:t xml:space="preserve">השיחה נאמרה </w:t>
      </w:r>
      <w:r w:rsidR="001E20E0">
        <w:rPr>
          <w:rFonts w:hint="cs"/>
          <w:rtl/>
        </w:rPr>
        <w:t>בשבת פרש שמיני ה'תשנ"</w:t>
      </w:r>
      <w:r w:rsidR="0038658B">
        <w:rPr>
          <w:rFonts w:hint="cs"/>
          <w:rtl/>
        </w:rPr>
        <w:t xml:space="preserve">ה, סוכמה על ידי מתן </w:t>
      </w:r>
      <w:proofErr w:type="spellStart"/>
      <w:r w:rsidR="0038658B">
        <w:rPr>
          <w:rFonts w:hint="cs"/>
          <w:rtl/>
        </w:rPr>
        <w:t>גלידאי</w:t>
      </w:r>
      <w:proofErr w:type="spellEnd"/>
      <w:r w:rsidR="0038658B">
        <w:rPr>
          <w:rFonts w:hint="cs"/>
          <w:rtl/>
        </w:rPr>
        <w:t>, ונערכה</w:t>
      </w:r>
      <w:r w:rsidR="001E20E0">
        <w:rPr>
          <w:rFonts w:hint="cs"/>
          <w:rtl/>
        </w:rPr>
        <w:t xml:space="preserve"> ע"י שאול ברט. </w:t>
      </w:r>
      <w:r w:rsidR="0038658B">
        <w:rPr>
          <w:rFonts w:hint="cs"/>
          <w:rtl/>
        </w:rPr>
        <w:t>גרסה זו</w:t>
      </w:r>
      <w:r w:rsidR="001E20E0">
        <w:rPr>
          <w:rFonts w:hint="cs"/>
          <w:rtl/>
        </w:rPr>
        <w:t xml:space="preserve"> לא עבר</w:t>
      </w:r>
      <w:r w:rsidR="0038658B">
        <w:rPr>
          <w:rFonts w:hint="cs"/>
          <w:rtl/>
        </w:rPr>
        <w:t>ה</w:t>
      </w:r>
      <w:r w:rsidR="001E20E0">
        <w:rPr>
          <w:rFonts w:hint="cs"/>
          <w:rtl/>
        </w:rPr>
        <w:t xml:space="preserve">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25D0" w14:textId="77777777" w:rsidR="00C05872" w:rsidRDefault="00A67BC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64FC7">
      <w:rPr>
        <w:b/>
        <w:bCs/>
        <w:noProof/>
        <w:sz w:val="21"/>
        <w:rtl/>
      </w:rPr>
      <w:t>2</w:t>
    </w:r>
    <w:r>
      <w:rPr>
        <w:b/>
        <w:bCs/>
        <w:sz w:val="21"/>
        <w:rtl/>
      </w:rPr>
      <w:fldChar w:fldCharType="end"/>
    </w:r>
    <w:r>
      <w:rPr>
        <w:b/>
        <w:bCs/>
        <w:sz w:val="21"/>
        <w:rtl/>
      </w:rPr>
      <w:t xml:space="preserve"> -</w:t>
    </w:r>
  </w:p>
  <w:p w14:paraId="2C397953" w14:textId="77777777" w:rsidR="00C05872" w:rsidRDefault="00900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14:paraId="054FA553" w14:textId="77777777">
      <w:tc>
        <w:tcPr>
          <w:tcW w:w="4927" w:type="dxa"/>
          <w:tcBorders>
            <w:top w:val="nil"/>
            <w:left w:val="nil"/>
            <w:bottom w:val="double" w:sz="4" w:space="0" w:color="auto"/>
            <w:right w:val="nil"/>
          </w:tcBorders>
        </w:tcPr>
        <w:p w14:paraId="21EFB07C" w14:textId="77777777" w:rsidR="00C05872" w:rsidRDefault="00A67BCC">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03523B86" w14:textId="77777777" w:rsidR="00C05872" w:rsidRDefault="00A67BCC">
          <w:pPr>
            <w:pStyle w:val="Header"/>
            <w:tabs>
              <w:tab w:val="clear" w:pos="4153"/>
              <w:tab w:val="clear" w:pos="8306"/>
              <w:tab w:val="center" w:pos="4818"/>
              <w:tab w:val="right" w:pos="8220"/>
            </w:tabs>
            <w:spacing w:after="0"/>
            <w:rPr>
              <w:sz w:val="21"/>
              <w:rtl/>
            </w:rPr>
          </w:pPr>
          <w:r>
            <w:rPr>
              <w:sz w:val="21"/>
              <w:rtl/>
            </w:rPr>
            <w:t>שליד ישיבת הר עציון</w:t>
          </w:r>
        </w:p>
        <w:p w14:paraId="04C2392F" w14:textId="77777777" w:rsidR="00C05872" w:rsidRDefault="00A67BCC">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A1867B7" w14:textId="77777777" w:rsidR="00C05872" w:rsidRDefault="00A67BCC" w:rsidP="00CB6C0A">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B86212D" w14:textId="77777777" w:rsidR="00C05872" w:rsidRDefault="0090038B">
    <w:pPr>
      <w:pStyle w:val="Header"/>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16FCE"/>
    <w:rsid w:val="000458BC"/>
    <w:rsid w:val="00067E9B"/>
    <w:rsid w:val="000827D2"/>
    <w:rsid w:val="000A18FC"/>
    <w:rsid w:val="000B2BEA"/>
    <w:rsid w:val="000D00CA"/>
    <w:rsid w:val="000E5AFD"/>
    <w:rsid w:val="001032CB"/>
    <w:rsid w:val="00117B74"/>
    <w:rsid w:val="001502DB"/>
    <w:rsid w:val="001A2419"/>
    <w:rsid w:val="001C08DD"/>
    <w:rsid w:val="001E20E0"/>
    <w:rsid w:val="001F137C"/>
    <w:rsid w:val="00272817"/>
    <w:rsid w:val="0028771E"/>
    <w:rsid w:val="002A394A"/>
    <w:rsid w:val="002B1140"/>
    <w:rsid w:val="002D0B80"/>
    <w:rsid w:val="002D3217"/>
    <w:rsid w:val="002F287D"/>
    <w:rsid w:val="00301D0C"/>
    <w:rsid w:val="00315192"/>
    <w:rsid w:val="0033127E"/>
    <w:rsid w:val="00345D27"/>
    <w:rsid w:val="00380328"/>
    <w:rsid w:val="0038658B"/>
    <w:rsid w:val="003D7721"/>
    <w:rsid w:val="003E768B"/>
    <w:rsid w:val="003F7890"/>
    <w:rsid w:val="00402C36"/>
    <w:rsid w:val="00420F26"/>
    <w:rsid w:val="004360C9"/>
    <w:rsid w:val="00455395"/>
    <w:rsid w:val="004829C8"/>
    <w:rsid w:val="005149C3"/>
    <w:rsid w:val="00543BFF"/>
    <w:rsid w:val="00544704"/>
    <w:rsid w:val="00552BEB"/>
    <w:rsid w:val="00563957"/>
    <w:rsid w:val="005647CD"/>
    <w:rsid w:val="005B76C2"/>
    <w:rsid w:val="005E44BA"/>
    <w:rsid w:val="005F7985"/>
    <w:rsid w:val="006064E4"/>
    <w:rsid w:val="0061649C"/>
    <w:rsid w:val="00664FC7"/>
    <w:rsid w:val="00683AD6"/>
    <w:rsid w:val="006B1EF3"/>
    <w:rsid w:val="006B332C"/>
    <w:rsid w:val="0070000E"/>
    <w:rsid w:val="00707A86"/>
    <w:rsid w:val="00713A3A"/>
    <w:rsid w:val="007176D1"/>
    <w:rsid w:val="0077090A"/>
    <w:rsid w:val="00773F69"/>
    <w:rsid w:val="007873C0"/>
    <w:rsid w:val="007A6AB1"/>
    <w:rsid w:val="007B0711"/>
    <w:rsid w:val="007C5FA6"/>
    <w:rsid w:val="007E45DB"/>
    <w:rsid w:val="007E507C"/>
    <w:rsid w:val="007E7500"/>
    <w:rsid w:val="00835345"/>
    <w:rsid w:val="0086008D"/>
    <w:rsid w:val="00865437"/>
    <w:rsid w:val="00875FBB"/>
    <w:rsid w:val="0088360E"/>
    <w:rsid w:val="008C0DB5"/>
    <w:rsid w:val="008C5B82"/>
    <w:rsid w:val="008C7523"/>
    <w:rsid w:val="008D309C"/>
    <w:rsid w:val="008E56C4"/>
    <w:rsid w:val="009002A5"/>
    <w:rsid w:val="0090038B"/>
    <w:rsid w:val="009120C5"/>
    <w:rsid w:val="00913898"/>
    <w:rsid w:val="009215D9"/>
    <w:rsid w:val="0093798A"/>
    <w:rsid w:val="009724A7"/>
    <w:rsid w:val="0098126F"/>
    <w:rsid w:val="009B70F2"/>
    <w:rsid w:val="009C6C3A"/>
    <w:rsid w:val="009F1F91"/>
    <w:rsid w:val="009F301F"/>
    <w:rsid w:val="009F32DA"/>
    <w:rsid w:val="00A05D74"/>
    <w:rsid w:val="00A17CC0"/>
    <w:rsid w:val="00A67BCC"/>
    <w:rsid w:val="00AC4207"/>
    <w:rsid w:val="00AE1BD0"/>
    <w:rsid w:val="00AE71F8"/>
    <w:rsid w:val="00B103A1"/>
    <w:rsid w:val="00B2236F"/>
    <w:rsid w:val="00B243F4"/>
    <w:rsid w:val="00B65D5E"/>
    <w:rsid w:val="00B7243D"/>
    <w:rsid w:val="00B86A06"/>
    <w:rsid w:val="00BA11BC"/>
    <w:rsid w:val="00BC7C5F"/>
    <w:rsid w:val="00BD32A3"/>
    <w:rsid w:val="00BD38AD"/>
    <w:rsid w:val="00BD6239"/>
    <w:rsid w:val="00BE1240"/>
    <w:rsid w:val="00C25383"/>
    <w:rsid w:val="00CA3B41"/>
    <w:rsid w:val="00CB11E4"/>
    <w:rsid w:val="00CB6C0A"/>
    <w:rsid w:val="00CB73CC"/>
    <w:rsid w:val="00CC778C"/>
    <w:rsid w:val="00CD7A60"/>
    <w:rsid w:val="00CF363C"/>
    <w:rsid w:val="00D70DEE"/>
    <w:rsid w:val="00DB0EBF"/>
    <w:rsid w:val="00E526E4"/>
    <w:rsid w:val="00E53C48"/>
    <w:rsid w:val="00E66D5D"/>
    <w:rsid w:val="00E82DA9"/>
    <w:rsid w:val="00EA205A"/>
    <w:rsid w:val="00EA261D"/>
    <w:rsid w:val="00EA3490"/>
    <w:rsid w:val="00EC4407"/>
    <w:rsid w:val="00ED4AE0"/>
    <w:rsid w:val="00F325DB"/>
    <w:rsid w:val="00F95556"/>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2A29"/>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7C"/>
    <w:pPr>
      <w:autoSpaceDE w:val="0"/>
      <w:autoSpaceDN w:val="0"/>
      <w:bidi/>
      <w:spacing w:after="200" w:line="360"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7E45DB"/>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Heading5">
    <w:name w:val="heading 5"/>
    <w:aliases w:val="מקור"/>
    <w:basedOn w:val="Normal"/>
    <w:next w:val="Normal"/>
    <w:link w:val="Heading5Char"/>
    <w:autoRedefine/>
    <w:uiPriority w:val="99"/>
    <w:qFormat/>
    <w:rsid w:val="007C5FA6"/>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99"/>
    <w:qFormat/>
    <w:rsid w:val="007E507C"/>
    <w:pPr>
      <w:tabs>
        <w:tab w:val="right" w:pos="4620"/>
      </w:tabs>
      <w:spacing w:before="240"/>
      <w:ind w:left="567"/>
    </w:pPr>
    <w:rPr>
      <w:rFonts w:asciiTheme="minorHAnsi" w:hAnsiTheme="minorHAnsi"/>
      <w:sz w:val="22"/>
    </w:rPr>
  </w:style>
  <w:style w:type="character" w:customStyle="1" w:styleId="QuoteChar">
    <w:name w:val="Quote Char"/>
    <w:link w:val="Quote"/>
    <w:uiPriority w:val="29"/>
    <w:rsid w:val="007E507C"/>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7C5FA6"/>
    <w:rPr>
      <w:rFonts w:cs="Narkisim"/>
      <w:szCs w:val="20"/>
    </w:rPr>
  </w:style>
  <w:style w:type="character" w:customStyle="1" w:styleId="Heading4Char">
    <w:name w:val="Heading 4 Char"/>
    <w:link w:val="Heading4"/>
    <w:uiPriority w:val="99"/>
    <w:rsid w:val="009120C5"/>
    <w:rPr>
      <w:rFonts w:asciiTheme="minorBidi" w:hAnsiTheme="minorBidi"/>
      <w:b/>
      <w:bCs/>
      <w:sz w:val="24"/>
      <w:szCs w:val="26"/>
    </w:rPr>
  </w:style>
  <w:style w:type="paragraph" w:styleId="FootnoteText">
    <w:name w:val="footnote text"/>
    <w:aliases w:val="הערת שוליים"/>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כות"/>
    <w:basedOn w:val="Normal"/>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Normal"/>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2">
    <w:name w:val="מחבר"/>
    <w:basedOn w:val="Normal"/>
    <w:uiPriority w:val="99"/>
    <w:rsid w:val="00B103A1"/>
    <w:pPr>
      <w:keepNext/>
      <w:widowControl w:val="0"/>
      <w:spacing w:before="240" w:after="0" w:line="240" w:lineRule="auto"/>
      <w:jc w:val="left"/>
    </w:pPr>
    <w:rPr>
      <w:b/>
      <w:bCs/>
      <w:sz w:val="26"/>
      <w:szCs w:val="26"/>
    </w:rPr>
  </w:style>
  <w:style w:type="paragraph" w:styleId="Footer">
    <w:name w:val="footer"/>
    <w:basedOn w:val="Normal"/>
    <w:link w:val="FooterChar"/>
    <w:uiPriority w:val="99"/>
    <w:unhideWhenUsed/>
    <w:rsid w:val="00CB6C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C0A"/>
    <w:rPr>
      <w:rFonts w:ascii="Times New Roman" w:hAnsi="Times New Roman" w:cs="Narkisim"/>
      <w:sz w:val="20"/>
      <w:szCs w:val="24"/>
    </w:rPr>
  </w:style>
  <w:style w:type="character" w:customStyle="1" w:styleId="Heading3Char">
    <w:name w:val="Heading 3 Char"/>
    <w:basedOn w:val="DefaultParagraphFont"/>
    <w:link w:val="Heading3"/>
    <w:uiPriority w:val="9"/>
    <w:rsid w:val="007E45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14201">
      <w:bodyDiv w:val="1"/>
      <w:marLeft w:val="0"/>
      <w:marRight w:val="0"/>
      <w:marTop w:val="0"/>
      <w:marBottom w:val="0"/>
      <w:divBdr>
        <w:top w:val="none" w:sz="0" w:space="0" w:color="auto"/>
        <w:left w:val="none" w:sz="0" w:space="0" w:color="auto"/>
        <w:bottom w:val="none" w:sz="0" w:space="0" w:color="auto"/>
        <w:right w:val="none" w:sz="0" w:space="0" w:color="auto"/>
      </w:divBdr>
    </w:div>
    <w:div w:id="1823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etzion.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2917</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user</cp:lastModifiedBy>
  <cp:revision>2</cp:revision>
  <dcterms:created xsi:type="dcterms:W3CDTF">2023-08-15T16:44:00Z</dcterms:created>
  <dcterms:modified xsi:type="dcterms:W3CDTF">2023-08-15T16:44:00Z</dcterms:modified>
</cp:coreProperties>
</file>