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4FA3D" w14:textId="77777777" w:rsidR="00B103A1" w:rsidRPr="00BD6239" w:rsidRDefault="0041351B" w:rsidP="0041351B">
      <w:pPr>
        <w:pStyle w:val="Heading3"/>
        <w:jc w:val="left"/>
        <w:rPr>
          <w:rFonts w:asciiTheme="minorBidi" w:hAnsiTheme="minorBidi" w:cstheme="minorBidi"/>
          <w:b/>
          <w:bCs/>
          <w:color w:val="auto"/>
          <w:rtl/>
        </w:rPr>
      </w:pPr>
      <w:r>
        <w:rPr>
          <w:rFonts w:asciiTheme="minorBidi" w:hAnsiTheme="minorBidi" w:cstheme="minorBidi"/>
          <w:b/>
          <w:bCs/>
          <w:color w:val="auto"/>
          <w:rtl/>
        </w:rPr>
        <w:t>הר</w:t>
      </w:r>
      <w:r>
        <w:rPr>
          <w:rFonts w:asciiTheme="minorBidi" w:hAnsiTheme="minorBidi" w:cstheme="minorBidi" w:hint="cs"/>
          <w:b/>
          <w:bCs/>
          <w:color w:val="auto"/>
          <w:rtl/>
        </w:rPr>
        <w:t xml:space="preserve">ב יעקב מדן </w:t>
      </w:r>
      <w:proofErr w:type="spellStart"/>
      <w:r>
        <w:rPr>
          <w:rFonts w:asciiTheme="minorBidi" w:hAnsiTheme="minorBidi" w:cstheme="minorBidi" w:hint="cs"/>
          <w:b/>
          <w:bCs/>
          <w:color w:val="auto"/>
          <w:rtl/>
        </w:rPr>
        <w:t>שליט"א</w:t>
      </w:r>
      <w:proofErr w:type="spellEnd"/>
    </w:p>
    <w:p w14:paraId="5330F1A4" w14:textId="41B4334D" w:rsidR="00B103A1" w:rsidRPr="00BD6239" w:rsidRDefault="001E20E0" w:rsidP="00BD6239">
      <w:pPr>
        <w:pStyle w:val="a2"/>
        <w:spacing w:before="0" w:line="360" w:lineRule="auto"/>
        <w:rPr>
          <w:rFonts w:asciiTheme="minorBidi" w:hAnsiTheme="minorBidi" w:cstheme="minorBidi"/>
          <w:rtl/>
        </w:rPr>
      </w:pPr>
      <w:r>
        <w:rPr>
          <w:rFonts w:asciiTheme="minorBidi" w:hAnsiTheme="minorBidi" w:cstheme="minorBidi"/>
          <w:rtl/>
        </w:rPr>
        <w:t>שיחה ל</w:t>
      </w:r>
      <w:r>
        <w:rPr>
          <w:rFonts w:asciiTheme="minorBidi" w:hAnsiTheme="minorBidi" w:cstheme="minorBidi" w:hint="cs"/>
          <w:rtl/>
        </w:rPr>
        <w:t>פרש</w:t>
      </w:r>
      <w:r w:rsidR="000F468D">
        <w:rPr>
          <w:rFonts w:asciiTheme="minorBidi" w:hAnsiTheme="minorBidi" w:cstheme="minorBidi" w:hint="cs"/>
          <w:rtl/>
        </w:rPr>
        <w:t>יות תזריע-מצורע</w:t>
      </w:r>
    </w:p>
    <w:p w14:paraId="17B3079B" w14:textId="77777777" w:rsidR="00B103A1" w:rsidRPr="00BD6239" w:rsidRDefault="0041351B" w:rsidP="002B1140">
      <w:pPr>
        <w:pStyle w:val="a1"/>
        <w:spacing w:line="360" w:lineRule="auto"/>
        <w:rPr>
          <w:rFonts w:asciiTheme="minorBidi" w:hAnsiTheme="minorBidi" w:cstheme="minorBidi"/>
          <w:rtl/>
        </w:rPr>
      </w:pPr>
      <w:r>
        <w:rPr>
          <w:rFonts w:asciiTheme="minorBidi" w:hAnsiTheme="minorBidi" w:cstheme="minorBidi" w:hint="cs"/>
          <w:rtl/>
        </w:rPr>
        <w:t>בשורות ומצורעים</w:t>
      </w:r>
      <w:r w:rsidR="00B103A1" w:rsidRPr="00BD6239">
        <w:rPr>
          <w:rStyle w:val="FootnoteReference"/>
          <w:rFonts w:asciiTheme="minorBidi" w:hAnsiTheme="minorBidi" w:cstheme="minorBidi"/>
          <w:rtl/>
        </w:rPr>
        <w:footnoteReference w:customMarkFollows="1" w:id="1"/>
        <w:t>*</w:t>
      </w:r>
    </w:p>
    <w:p w14:paraId="4A3795C8" w14:textId="77777777" w:rsidR="0041351B" w:rsidRDefault="0041351B" w:rsidP="006C6EB8">
      <w:pPr>
        <w:spacing w:after="120" w:line="288" w:lineRule="exact"/>
        <w:rPr>
          <w:rtl/>
        </w:rPr>
      </w:pPr>
      <w:bookmarkStart w:id="0" w:name="OLE_LINK1"/>
      <w:r>
        <w:rPr>
          <w:rFonts w:hint="cs"/>
          <w:rtl/>
        </w:rPr>
        <w:t>עניין מרכזי שבו דנות פרשיות השבוע הוא המצורע, ולכן אי אפשר שלא להזכיר את דברי הרמב"ם אודותיו:</w:t>
      </w:r>
    </w:p>
    <w:p w14:paraId="5179F6A4" w14:textId="77777777" w:rsidR="0041351B" w:rsidRDefault="0041351B" w:rsidP="006C6EB8">
      <w:pPr>
        <w:pStyle w:val="Quote"/>
        <w:spacing w:after="120" w:line="288" w:lineRule="exact"/>
        <w:rPr>
          <w:rtl/>
        </w:rPr>
      </w:pPr>
      <w:r>
        <w:rPr>
          <w:rFonts w:hint="cs"/>
          <w:rtl/>
        </w:rPr>
        <w:t>"</w:t>
      </w:r>
      <w:r>
        <w:rPr>
          <w:rtl/>
        </w:rPr>
        <w:t xml:space="preserve">ועל עניין זה מזהיר בתורה ואומר השמר בנגע הצרעת זכור את אשר עשה </w:t>
      </w:r>
      <w:r>
        <w:rPr>
          <w:rFonts w:hint="cs"/>
          <w:rtl/>
        </w:rPr>
        <w:t>ה'</w:t>
      </w:r>
      <w:r>
        <w:rPr>
          <w:rtl/>
        </w:rPr>
        <w:t xml:space="preserve"> א</w:t>
      </w:r>
      <w:r>
        <w:rPr>
          <w:rFonts w:hint="cs"/>
          <w:rtl/>
        </w:rPr>
        <w:t>-</w:t>
      </w:r>
      <w:proofErr w:type="spellStart"/>
      <w:r>
        <w:rPr>
          <w:rtl/>
        </w:rPr>
        <w:t>להיך</w:t>
      </w:r>
      <w:proofErr w:type="spellEnd"/>
      <w:r>
        <w:rPr>
          <w:rtl/>
        </w:rPr>
        <w:t xml:space="preserve"> למרים בדרך, הרי הוא אומר התבוננו מה אירע למרים הנביאה</w:t>
      </w:r>
      <w:r>
        <w:rPr>
          <w:rFonts w:hint="cs"/>
          <w:rtl/>
        </w:rPr>
        <w:t>...</w:t>
      </w:r>
      <w:r>
        <w:rPr>
          <w:rtl/>
        </w:rPr>
        <w:t xml:space="preserve"> </w:t>
      </w:r>
    </w:p>
    <w:p w14:paraId="4EF7DB60" w14:textId="77777777" w:rsidR="0041351B" w:rsidRDefault="0041351B" w:rsidP="006C6EB8">
      <w:pPr>
        <w:pStyle w:val="Quote"/>
        <w:spacing w:after="120" w:line="288" w:lineRule="exact"/>
        <w:rPr>
          <w:rtl/>
        </w:rPr>
      </w:pPr>
      <w:r>
        <w:rPr>
          <w:rtl/>
        </w:rPr>
        <w:t xml:space="preserve">קל וחומר לבני אדם הרשעים </w:t>
      </w:r>
      <w:proofErr w:type="spellStart"/>
      <w:r>
        <w:rPr>
          <w:rtl/>
        </w:rPr>
        <w:t>הטפשים</w:t>
      </w:r>
      <w:proofErr w:type="spellEnd"/>
      <w:r>
        <w:rPr>
          <w:rtl/>
        </w:rPr>
        <w:t xml:space="preserve"> שמרבים לדבר גדולות ונפלאות. לפיכך ראוי למי שרוצה </w:t>
      </w:r>
      <w:proofErr w:type="spellStart"/>
      <w:r>
        <w:rPr>
          <w:rtl/>
        </w:rPr>
        <w:t>לכוין</w:t>
      </w:r>
      <w:proofErr w:type="spellEnd"/>
      <w:r>
        <w:rPr>
          <w:rtl/>
        </w:rPr>
        <w:t xml:space="preserve"> אורחותיו להתרחק מישיבתן ומלדבר עמהן כדי שלא </w:t>
      </w:r>
      <w:proofErr w:type="spellStart"/>
      <w:r>
        <w:rPr>
          <w:rtl/>
        </w:rPr>
        <w:t>יתפס</w:t>
      </w:r>
      <w:proofErr w:type="spellEnd"/>
      <w:r>
        <w:rPr>
          <w:rtl/>
        </w:rPr>
        <w:t xml:space="preserve"> אדם ברשת רשעים וסכלותם, וזה דרך ישיבת הלצים הרשעים בתחילה מרבין בדברי הבאי</w:t>
      </w:r>
      <w:r>
        <w:rPr>
          <w:rFonts w:hint="cs"/>
          <w:rtl/>
        </w:rPr>
        <w:t xml:space="preserve">... </w:t>
      </w:r>
      <w:r>
        <w:rPr>
          <w:rtl/>
        </w:rPr>
        <w:t>ומתוך כך באין לספר בגנות הצדיקים</w:t>
      </w:r>
      <w:r>
        <w:rPr>
          <w:rFonts w:hint="cs"/>
          <w:rtl/>
        </w:rPr>
        <w:t>...</w:t>
      </w:r>
      <w:r>
        <w:rPr>
          <w:rtl/>
        </w:rPr>
        <w:t xml:space="preserve"> ומתוך כך יהיה להן הרגל לדבר בנביאים ולתת דופי בדבריהם</w:t>
      </w:r>
      <w:r>
        <w:rPr>
          <w:rFonts w:hint="cs"/>
          <w:rtl/>
        </w:rPr>
        <w:t xml:space="preserve">... </w:t>
      </w:r>
      <w:r>
        <w:rPr>
          <w:rtl/>
        </w:rPr>
        <w:t xml:space="preserve">ומתוך כך באין לדבר </w:t>
      </w:r>
      <w:proofErr w:type="spellStart"/>
      <w:r>
        <w:rPr>
          <w:rtl/>
        </w:rPr>
        <w:t>באלהים</w:t>
      </w:r>
      <w:proofErr w:type="spellEnd"/>
      <w:r>
        <w:rPr>
          <w:rtl/>
        </w:rPr>
        <w:t xml:space="preserve"> </w:t>
      </w:r>
      <w:proofErr w:type="spellStart"/>
      <w:r>
        <w:rPr>
          <w:rtl/>
        </w:rPr>
        <w:t>וכופרין</w:t>
      </w:r>
      <w:proofErr w:type="spellEnd"/>
      <w:r>
        <w:rPr>
          <w:rtl/>
        </w:rPr>
        <w:t xml:space="preserve"> בעיקר</w:t>
      </w:r>
      <w:r>
        <w:rPr>
          <w:rFonts w:hint="cs"/>
          <w:rtl/>
        </w:rPr>
        <w:t>...</w:t>
      </w:r>
      <w:r>
        <w:rPr>
          <w:rtl/>
        </w:rPr>
        <w:t xml:space="preserve"> אבל שיחת כשרי ישראל אינה אלא בדברי תורה וחכמה, לפיכך הקדוש ברוך הוא עוזר על ידן ומזכה אותן בה</w:t>
      </w:r>
      <w:r>
        <w:rPr>
          <w:rFonts w:hint="cs"/>
          <w:rtl/>
        </w:rPr>
        <w:t>."</w:t>
      </w:r>
    </w:p>
    <w:p w14:paraId="15A7DE00" w14:textId="77777777" w:rsidR="0041351B" w:rsidRDefault="0041351B" w:rsidP="006C6EB8">
      <w:pPr>
        <w:pStyle w:val="Quote"/>
        <w:spacing w:after="120" w:line="288" w:lineRule="exact"/>
        <w:jc w:val="right"/>
        <w:rPr>
          <w:rtl/>
        </w:rPr>
      </w:pPr>
      <w:r>
        <w:rPr>
          <w:rFonts w:hint="cs"/>
          <w:rtl/>
        </w:rPr>
        <w:t>(</w:t>
      </w:r>
      <w:r>
        <w:rPr>
          <w:rtl/>
        </w:rPr>
        <w:t>רמב"ם הלכות טומאת צרעת ט</w:t>
      </w:r>
      <w:r>
        <w:rPr>
          <w:rFonts w:hint="cs"/>
          <w:rtl/>
        </w:rPr>
        <w:t>"</w:t>
      </w:r>
      <w:r>
        <w:rPr>
          <w:rtl/>
        </w:rPr>
        <w:t>ז</w:t>
      </w:r>
      <w:r>
        <w:rPr>
          <w:rFonts w:hint="cs"/>
          <w:rtl/>
        </w:rPr>
        <w:t>, י)</w:t>
      </w:r>
    </w:p>
    <w:p w14:paraId="63FC5D98" w14:textId="77777777" w:rsidR="0041351B" w:rsidRDefault="0041351B" w:rsidP="006C6EB8">
      <w:pPr>
        <w:spacing w:after="120" w:line="288" w:lineRule="exact"/>
        <w:rPr>
          <w:rtl/>
        </w:rPr>
      </w:pPr>
      <w:r>
        <w:rPr>
          <w:rFonts w:hint="cs"/>
          <w:rtl/>
        </w:rPr>
        <w:t xml:space="preserve">הרמב"ם מסביר, שהצרעת נובעת מדיבורי ליצנות שמובילים את העוסקים בכך עד לכדי כפירה בעיקר ממש. לעומתם, </w:t>
      </w:r>
      <w:r w:rsidR="00DD7D4E">
        <w:rPr>
          <w:rFonts w:hint="cs"/>
          <w:rtl/>
        </w:rPr>
        <w:t>כשרי ישראל מדברים בעניינים שברו</w:t>
      </w:r>
      <w:r>
        <w:rPr>
          <w:rFonts w:hint="cs"/>
          <w:rtl/>
        </w:rPr>
        <w:t>מו של עולם וממילא א</w:t>
      </w:r>
      <w:r w:rsidR="00DD7D4E">
        <w:rPr>
          <w:rFonts w:hint="cs"/>
          <w:rtl/>
        </w:rPr>
        <w:t>-</w:t>
      </w:r>
      <w:r>
        <w:rPr>
          <w:rFonts w:hint="cs"/>
          <w:rtl/>
        </w:rPr>
        <w:t xml:space="preserve">ל רם ונשא יורד ומשתתף עמהם. המסר העומד ביסוד דבריו של הרמב"ם הוא מסר חשוב ביותר, אך מעיון בפרשיות הצרעת כולן קשה למצוא להן יסוד אחד משותף </w:t>
      </w:r>
      <w:r>
        <w:rPr>
          <w:rtl/>
        </w:rPr>
        <w:t>–</w:t>
      </w:r>
      <w:r>
        <w:rPr>
          <w:rFonts w:hint="cs"/>
          <w:rtl/>
        </w:rPr>
        <w:t xml:space="preserve"> אפילו זה שמדבר עליו הרמב"ם. בדברינו, נתחקה אחר דמויות המצורעים </w:t>
      </w:r>
      <w:proofErr w:type="spellStart"/>
      <w:r>
        <w:rPr>
          <w:rFonts w:hint="cs"/>
          <w:rtl/>
        </w:rPr>
        <w:t>בהפטרותיהן</w:t>
      </w:r>
      <w:proofErr w:type="spellEnd"/>
      <w:r>
        <w:rPr>
          <w:rFonts w:hint="cs"/>
          <w:rtl/>
        </w:rPr>
        <w:t xml:space="preserve"> של פרשות השבוע </w:t>
      </w:r>
      <w:r>
        <w:rPr>
          <w:rtl/>
        </w:rPr>
        <w:t>–</w:t>
      </w:r>
      <w:r>
        <w:rPr>
          <w:rFonts w:hint="cs"/>
          <w:rtl/>
        </w:rPr>
        <w:t xml:space="preserve"> תזריע ומצורע. </w:t>
      </w:r>
    </w:p>
    <w:p w14:paraId="639F87E1" w14:textId="77777777" w:rsidR="00C906EA" w:rsidRDefault="0041351B" w:rsidP="006C6EB8">
      <w:pPr>
        <w:spacing w:after="120" w:line="288" w:lineRule="exact"/>
        <w:rPr>
          <w:rtl/>
        </w:rPr>
      </w:pPr>
      <w:r>
        <w:rPr>
          <w:rFonts w:hint="cs"/>
          <w:rtl/>
        </w:rPr>
        <w:t xml:space="preserve">בהפטרה של פרשת תזריע מתואר סיפור </w:t>
      </w:r>
      <w:proofErr w:type="spellStart"/>
      <w:r>
        <w:rPr>
          <w:rFonts w:hint="cs"/>
          <w:rtl/>
        </w:rPr>
        <w:t>טהרתו</w:t>
      </w:r>
      <w:proofErr w:type="spellEnd"/>
      <w:r>
        <w:rPr>
          <w:rFonts w:hint="cs"/>
          <w:rtl/>
        </w:rPr>
        <w:t xml:space="preserve"> של נעמן, שר צבא ארם, מצרעתו על ידי אלישע. לאורך הסיפור מודגש היסוד הא</w:t>
      </w:r>
      <w:r w:rsidR="00DD7D4E">
        <w:rPr>
          <w:rFonts w:hint="cs"/>
          <w:rtl/>
        </w:rPr>
        <w:t>-</w:t>
      </w:r>
      <w:proofErr w:type="spellStart"/>
      <w:r>
        <w:rPr>
          <w:rFonts w:hint="cs"/>
          <w:rtl/>
        </w:rPr>
        <w:t>לוהי</w:t>
      </w:r>
      <w:proofErr w:type="spellEnd"/>
      <w:r>
        <w:rPr>
          <w:rFonts w:hint="cs"/>
          <w:rtl/>
        </w:rPr>
        <w:t xml:space="preserve"> שבטהרה, דברים שנאמרים בפירוש על ידי אלישע: "</w:t>
      </w:r>
      <w:r>
        <w:rPr>
          <w:rtl/>
        </w:rPr>
        <w:t xml:space="preserve">וַיִּשְׁלַח אֶל הַמֶּלֶךְ </w:t>
      </w:r>
      <w:proofErr w:type="spellStart"/>
      <w:r>
        <w:rPr>
          <w:rtl/>
        </w:rPr>
        <w:t>לֵאמֹר</w:t>
      </w:r>
      <w:proofErr w:type="spellEnd"/>
      <w:r>
        <w:rPr>
          <w:rtl/>
        </w:rPr>
        <w:t xml:space="preserve"> לָמָּה קָרַעְתָּ בְּגָדֶיךָ יָבֹא נָא אֵלַי וְיֵדַע כִּי יֵשׁ נָבִיא </w:t>
      </w:r>
      <w:r>
        <w:rPr>
          <w:rtl/>
        </w:rPr>
        <w:t>בְּיִשְׂרָאֵל</w:t>
      </w:r>
      <w:r>
        <w:rPr>
          <w:rFonts w:hint="cs"/>
          <w:rtl/>
        </w:rPr>
        <w:t>". בסופו של הסיפור,</w:t>
      </w:r>
      <w:r w:rsidR="00DC6632">
        <w:rPr>
          <w:rFonts w:hint="cs"/>
          <w:rtl/>
        </w:rPr>
        <w:t xml:space="preserve"> כשנעמן אכן נרפא מצרעתו לאחר</w:t>
      </w:r>
      <w:r>
        <w:rPr>
          <w:rFonts w:hint="cs"/>
          <w:rtl/>
        </w:rPr>
        <w:t xml:space="preserve"> שטבל בירדן בציוויו של אלישע, מבקש נעמן להביע את תודתו במתנות בשווי כספי רב. אלישע מתנגד לקבלת הרכוש מנעמן, שהרי זהו האיש שאחראי על שיעבוד גדול מנשוא של בני ישראל ומכירתם לעבדים, אותו שר </w:t>
      </w:r>
      <w:r w:rsidR="00DC6632">
        <w:rPr>
          <w:rFonts w:hint="cs"/>
          <w:rtl/>
        </w:rPr>
        <w:t xml:space="preserve">צבא ארם ששם את ישראל כעפר לדוש </w:t>
      </w:r>
      <w:r w:rsidR="00DC6632">
        <w:rPr>
          <w:rFonts w:hint="cs"/>
          <w:szCs w:val="20"/>
          <w:rtl/>
        </w:rPr>
        <w:t>(</w:t>
      </w:r>
      <w:r w:rsidRPr="00DC6632">
        <w:rPr>
          <w:rFonts w:hint="cs"/>
          <w:szCs w:val="20"/>
          <w:rtl/>
        </w:rPr>
        <w:t>מלכים ב י</w:t>
      </w:r>
      <w:r w:rsidR="00DC6632" w:rsidRPr="00DC6632">
        <w:rPr>
          <w:rFonts w:hint="cs"/>
          <w:szCs w:val="20"/>
          <w:rtl/>
        </w:rPr>
        <w:t>"</w:t>
      </w:r>
      <w:r w:rsidRPr="00DC6632">
        <w:rPr>
          <w:rFonts w:hint="cs"/>
          <w:szCs w:val="20"/>
          <w:rtl/>
        </w:rPr>
        <w:t>ג, ז),</w:t>
      </w:r>
      <w:r>
        <w:rPr>
          <w:rFonts w:hint="cs"/>
          <w:rtl/>
        </w:rPr>
        <w:t xml:space="preserve"> ואי אפשר לדעת מכמה יהודים 'ליקט' נעמן את אותה התשורה. </w:t>
      </w:r>
    </w:p>
    <w:p w14:paraId="7A2C9FA5" w14:textId="77777777" w:rsidR="0041351B" w:rsidRDefault="0041351B" w:rsidP="006C6EB8">
      <w:pPr>
        <w:spacing w:after="120" w:line="288" w:lineRule="exact"/>
        <w:rPr>
          <w:rtl/>
        </w:rPr>
      </w:pPr>
      <w:r>
        <w:rPr>
          <w:rFonts w:hint="cs"/>
          <w:rtl/>
        </w:rPr>
        <w:t xml:space="preserve">לאחר סירובו, חוזר נעמן על עקביו לכיוון ביתו בארם, אלא שאז מגיח </w:t>
      </w:r>
      <w:proofErr w:type="spellStart"/>
      <w:r>
        <w:rPr>
          <w:rFonts w:hint="cs"/>
          <w:rtl/>
        </w:rPr>
        <w:t>מאחריו</w:t>
      </w:r>
      <w:proofErr w:type="spellEnd"/>
      <w:r>
        <w:rPr>
          <w:rFonts w:hint="cs"/>
          <w:rtl/>
        </w:rPr>
        <w:t xml:space="preserve"> </w:t>
      </w:r>
      <w:proofErr w:type="spellStart"/>
      <w:r>
        <w:rPr>
          <w:rFonts w:hint="cs"/>
          <w:rtl/>
        </w:rPr>
        <w:t>גיחזי</w:t>
      </w:r>
      <w:proofErr w:type="spellEnd"/>
      <w:r>
        <w:rPr>
          <w:rFonts w:hint="cs"/>
          <w:rtl/>
        </w:rPr>
        <w:t xml:space="preserve">, נערו של אלישע, ובתחבולות לוקח ממנו את המתנות המדוברות. כתוצאה ממעשה זה, 'זוכה' </w:t>
      </w:r>
      <w:proofErr w:type="spellStart"/>
      <w:r>
        <w:rPr>
          <w:rFonts w:hint="cs"/>
          <w:rtl/>
        </w:rPr>
        <w:t>גיחזי</w:t>
      </w:r>
      <w:proofErr w:type="spellEnd"/>
      <w:r>
        <w:rPr>
          <w:rFonts w:hint="cs"/>
          <w:rtl/>
        </w:rPr>
        <w:t xml:space="preserve"> לצרעת שתדבק בו ובזרעו.</w:t>
      </w:r>
    </w:p>
    <w:p w14:paraId="1CF58623" w14:textId="77777777" w:rsidR="0041351B" w:rsidRDefault="0041351B" w:rsidP="006C6EB8">
      <w:pPr>
        <w:spacing w:after="120" w:line="288" w:lineRule="exact"/>
        <w:rPr>
          <w:rtl/>
        </w:rPr>
      </w:pPr>
      <w:r>
        <w:rPr>
          <w:rFonts w:hint="cs"/>
          <w:rtl/>
        </w:rPr>
        <w:t xml:space="preserve">אולם, קשה להבין </w:t>
      </w:r>
      <w:r>
        <w:rPr>
          <w:rtl/>
        </w:rPr>
        <w:t>–</w:t>
      </w:r>
      <w:r>
        <w:rPr>
          <w:rFonts w:hint="cs"/>
          <w:rtl/>
        </w:rPr>
        <w:t xml:space="preserve"> אם </w:t>
      </w:r>
      <w:proofErr w:type="spellStart"/>
      <w:r>
        <w:rPr>
          <w:rFonts w:hint="cs"/>
          <w:rtl/>
        </w:rPr>
        <w:t>גיחזי</w:t>
      </w:r>
      <w:proofErr w:type="spellEnd"/>
      <w:r>
        <w:rPr>
          <w:rFonts w:hint="cs"/>
          <w:rtl/>
        </w:rPr>
        <w:t xml:space="preserve"> חטא, מה חטאו בניו? דומה, שהפטרת 'מצורע' תוכל להסביר את הדברים. ההפטרה עוסקת בארבעת המצורעים שיצאו מחוץ לירושלים </w:t>
      </w:r>
      <w:r>
        <w:rPr>
          <w:rFonts w:hint="eastAsia"/>
          <w:rtl/>
        </w:rPr>
        <w:t xml:space="preserve">– </w:t>
      </w:r>
      <w:r>
        <w:rPr>
          <w:rFonts w:hint="cs"/>
          <w:rtl/>
        </w:rPr>
        <w:t xml:space="preserve">שהייתה שרויה ברעב גדול </w:t>
      </w:r>
      <w:r>
        <w:rPr>
          <w:rFonts w:hint="eastAsia"/>
          <w:rtl/>
        </w:rPr>
        <w:t xml:space="preserve">– </w:t>
      </w:r>
      <w:r>
        <w:rPr>
          <w:rFonts w:hint="cs"/>
          <w:rtl/>
        </w:rPr>
        <w:t xml:space="preserve">והחליטו, שמאחר שאין להם תוחלת ותקווה ינסו את מזלם וילכו אל מחנה ארם הצר על ישראל. כשהם מגיעים לשם, הם מגלים כי כל המחנה נטוש ורכוש ארם נתון בהפקר. במקום לקום ולספר מיד לכל תושבי ירושלים הרעבים, הם מתמהמהים, אוכלים בעצמם, מחביאים רכוש ורק אחר כך פונים להודיע למלך על נטישת ארם. חז"ל מספרים לנו, שארבעת המצורעים היו </w:t>
      </w:r>
      <w:proofErr w:type="spellStart"/>
      <w:r>
        <w:rPr>
          <w:rFonts w:hint="cs"/>
          <w:rtl/>
        </w:rPr>
        <w:t>גיחזי</w:t>
      </w:r>
      <w:proofErr w:type="spellEnd"/>
      <w:r>
        <w:rPr>
          <w:rFonts w:hint="cs"/>
          <w:rtl/>
        </w:rPr>
        <w:t xml:space="preserve"> ובניו, ומכאן שגם בני </w:t>
      </w:r>
      <w:proofErr w:type="spellStart"/>
      <w:r>
        <w:rPr>
          <w:rFonts w:hint="cs"/>
          <w:rtl/>
        </w:rPr>
        <w:t>גיחזי</w:t>
      </w:r>
      <w:proofErr w:type="spellEnd"/>
      <w:r>
        <w:rPr>
          <w:rFonts w:hint="cs"/>
          <w:rtl/>
        </w:rPr>
        <w:t xml:space="preserve"> דבקו בדרכו שלו ושמו את התאווה לרכוש בראש מעיניהם.</w:t>
      </w:r>
    </w:p>
    <w:p w14:paraId="1227B6AC" w14:textId="77777777" w:rsidR="0041351B" w:rsidRDefault="0041351B" w:rsidP="006C6EB8">
      <w:pPr>
        <w:spacing w:after="120" w:line="288" w:lineRule="exact"/>
        <w:rPr>
          <w:rtl/>
        </w:rPr>
      </w:pPr>
      <w:r>
        <w:rPr>
          <w:rFonts w:hint="cs"/>
          <w:rtl/>
        </w:rPr>
        <w:t>ובכל זאת, ארבעת המצורעים הללו הם מבשרי הגאולה של ירושלים, הם אלה שמושיעים את ישראל השרויים בתוכה מהרעב החמור שבו הם היו נתונים. עובדה זו, שיש בה נימה צורמת, היוותה ההשראה לשירה הידוע של רחל המשוררת, יום בשורה:</w:t>
      </w:r>
    </w:p>
    <w:p w14:paraId="1897A2AD" w14:textId="77777777" w:rsidR="0041351B" w:rsidRDefault="0041351B" w:rsidP="006C6EB8">
      <w:pPr>
        <w:pStyle w:val="Quote"/>
        <w:spacing w:after="120" w:line="288" w:lineRule="exact"/>
        <w:rPr>
          <w:shd w:val="clear" w:color="auto" w:fill="FFFFFF"/>
          <w:rtl/>
        </w:rPr>
      </w:pPr>
      <w:r>
        <w:rPr>
          <w:shd w:val="clear" w:color="auto" w:fill="FFFFFF"/>
          <w:rtl/>
        </w:rPr>
        <w:t>בְּשֶׁכְּבָר הַיָּמִים הָאוֹיֵב הַנּוֹרָא</w:t>
      </w:r>
      <w:r>
        <w:rPr>
          <w:rFonts w:hint="cs"/>
          <w:rtl/>
        </w:rPr>
        <w:t xml:space="preserve"> / </w:t>
      </w:r>
      <w:r>
        <w:rPr>
          <w:shd w:val="clear" w:color="auto" w:fill="FFFFFF"/>
          <w:rtl/>
        </w:rPr>
        <w:t>אֶת שֹׁמְרוֹן הֵבִיא בְּמָצוֹר</w:t>
      </w:r>
      <w:r>
        <w:rPr>
          <w:shd w:val="clear" w:color="auto" w:fill="FFFFFF"/>
        </w:rPr>
        <w:t>;</w:t>
      </w:r>
      <w:r>
        <w:rPr>
          <w:rFonts w:hint="cs"/>
          <w:shd w:val="clear" w:color="auto" w:fill="FFFFFF"/>
          <w:rtl/>
        </w:rPr>
        <w:t xml:space="preserve"> / </w:t>
      </w:r>
      <w:r>
        <w:rPr>
          <w:shd w:val="clear" w:color="auto" w:fill="FFFFFF"/>
          <w:rtl/>
        </w:rPr>
        <w:t xml:space="preserve">אַרְבָּעָה </w:t>
      </w:r>
      <w:proofErr w:type="spellStart"/>
      <w:r>
        <w:rPr>
          <w:shd w:val="clear" w:color="auto" w:fill="FFFFFF"/>
          <w:rtl/>
        </w:rPr>
        <w:t>מְצֹרָעִים</w:t>
      </w:r>
      <w:proofErr w:type="spellEnd"/>
      <w:r>
        <w:rPr>
          <w:shd w:val="clear" w:color="auto" w:fill="FFFFFF"/>
          <w:rtl/>
        </w:rPr>
        <w:t xml:space="preserve"> לָהּ בִּשְּׂרוּ בְּשׂוֹרָה</w:t>
      </w:r>
      <w:r>
        <w:rPr>
          <w:shd w:val="clear" w:color="auto" w:fill="FFFFFF"/>
        </w:rPr>
        <w:t>.</w:t>
      </w:r>
      <w:r>
        <w:rPr>
          <w:rFonts w:hint="cs"/>
          <w:shd w:val="clear" w:color="auto" w:fill="FFFFFF"/>
          <w:rtl/>
        </w:rPr>
        <w:t xml:space="preserve"> / </w:t>
      </w:r>
      <w:r>
        <w:rPr>
          <w:shd w:val="clear" w:color="auto" w:fill="FFFFFF"/>
          <w:rtl/>
        </w:rPr>
        <w:t>לָהּ בִּשְּׂרוּ בְּשׂוֹרַת הַדְּרוֹר</w:t>
      </w:r>
      <w:r>
        <w:rPr>
          <w:shd w:val="clear" w:color="auto" w:fill="FFFFFF"/>
        </w:rPr>
        <w:t>.</w:t>
      </w:r>
      <w:r>
        <w:rPr>
          <w:rFonts w:hint="cs"/>
          <w:rtl/>
        </w:rPr>
        <w:t xml:space="preserve"> //</w:t>
      </w:r>
      <w:r>
        <w:t xml:space="preserve"> </w:t>
      </w:r>
      <w:r>
        <w:rPr>
          <w:shd w:val="clear" w:color="auto" w:fill="FFFFFF"/>
          <w:rtl/>
        </w:rPr>
        <w:t>כְּשֹׁמְרוֹן בְּמָצוֹר – כָּל הָאָרֶץ כֻּלָּהּ</w:t>
      </w:r>
      <w:r>
        <w:rPr>
          <w:shd w:val="clear" w:color="auto" w:fill="FFFFFF"/>
        </w:rPr>
        <w:t>,</w:t>
      </w:r>
      <w:r>
        <w:rPr>
          <w:rFonts w:hint="cs"/>
          <w:shd w:val="clear" w:color="auto" w:fill="FFFFFF"/>
          <w:rtl/>
        </w:rPr>
        <w:t xml:space="preserve"> / </w:t>
      </w:r>
      <w:r>
        <w:rPr>
          <w:shd w:val="clear" w:color="auto" w:fill="FFFFFF"/>
          <w:rtl/>
        </w:rPr>
        <w:t>וְכָבֵד הָרָעָב מִנְּשׂא</w:t>
      </w:r>
      <w:r>
        <w:rPr>
          <w:shd w:val="clear" w:color="auto" w:fill="FFFFFF"/>
        </w:rPr>
        <w:t>.</w:t>
      </w:r>
      <w:r>
        <w:rPr>
          <w:rFonts w:hint="cs"/>
          <w:shd w:val="clear" w:color="auto" w:fill="FFFFFF"/>
          <w:rtl/>
        </w:rPr>
        <w:t xml:space="preserve"> / </w:t>
      </w:r>
      <w:r>
        <w:rPr>
          <w:shd w:val="clear" w:color="auto" w:fill="FFFFFF"/>
          <w:rtl/>
        </w:rPr>
        <w:t>אַךְ אֲנִי לֹא אֹבֶה</w:t>
      </w:r>
      <w:r>
        <w:rPr>
          <w:rFonts w:hint="cs"/>
          <w:shd w:val="clear" w:color="auto" w:fill="FFFFFF"/>
          <w:rtl/>
        </w:rPr>
        <w:t xml:space="preserve"> </w:t>
      </w:r>
      <w:r>
        <w:rPr>
          <w:shd w:val="clear" w:color="auto" w:fill="FFFFFF"/>
          <w:rtl/>
        </w:rPr>
        <w:t>בְּשׂוֹרַת גְּאֻלָּה</w:t>
      </w:r>
      <w:r>
        <w:rPr>
          <w:shd w:val="clear" w:color="auto" w:fill="FFFFFF"/>
        </w:rPr>
        <w:t>,</w:t>
      </w:r>
      <w:r>
        <w:rPr>
          <w:rFonts w:hint="cs"/>
          <w:shd w:val="clear" w:color="auto" w:fill="FFFFFF"/>
          <w:rtl/>
        </w:rPr>
        <w:t xml:space="preserve"> /</w:t>
      </w:r>
      <w:r>
        <w:t xml:space="preserve"> </w:t>
      </w:r>
      <w:r>
        <w:rPr>
          <w:shd w:val="clear" w:color="auto" w:fill="FFFFFF"/>
          <w:rtl/>
        </w:rPr>
        <w:t xml:space="preserve">אִם מִפִּי </w:t>
      </w:r>
      <w:proofErr w:type="spellStart"/>
      <w:r>
        <w:rPr>
          <w:shd w:val="clear" w:color="auto" w:fill="FFFFFF"/>
          <w:rtl/>
        </w:rPr>
        <w:t>מְצֹרָע</w:t>
      </w:r>
      <w:proofErr w:type="spellEnd"/>
      <w:r>
        <w:rPr>
          <w:shd w:val="clear" w:color="auto" w:fill="FFFFFF"/>
          <w:rtl/>
        </w:rPr>
        <w:t xml:space="preserve"> הִיא תָבוֹא</w:t>
      </w:r>
      <w:r>
        <w:rPr>
          <w:shd w:val="clear" w:color="auto" w:fill="FFFFFF"/>
        </w:rPr>
        <w:t>.</w:t>
      </w:r>
      <w:r>
        <w:rPr>
          <w:rFonts w:hint="cs"/>
          <w:shd w:val="clear" w:color="auto" w:fill="FFFFFF"/>
          <w:rtl/>
        </w:rPr>
        <w:t xml:space="preserve"> //</w:t>
      </w:r>
      <w:r>
        <w:t xml:space="preserve"> </w:t>
      </w:r>
      <w:r>
        <w:rPr>
          <w:shd w:val="clear" w:color="auto" w:fill="FFFFFF"/>
          <w:rtl/>
        </w:rPr>
        <w:t>הַטָּהוֹר יְבַשֵּׂר וְגָאַל הַטָּהוֹר</w:t>
      </w:r>
      <w:r>
        <w:rPr>
          <w:shd w:val="clear" w:color="auto" w:fill="FFFFFF"/>
        </w:rPr>
        <w:t>,</w:t>
      </w:r>
      <w:r>
        <w:rPr>
          <w:rFonts w:hint="cs"/>
          <w:shd w:val="clear" w:color="auto" w:fill="FFFFFF"/>
          <w:rtl/>
        </w:rPr>
        <w:t xml:space="preserve"> /</w:t>
      </w:r>
      <w:r>
        <w:t xml:space="preserve"> </w:t>
      </w:r>
      <w:r>
        <w:rPr>
          <w:shd w:val="clear" w:color="auto" w:fill="FFFFFF"/>
          <w:rtl/>
        </w:rPr>
        <w:t xml:space="preserve">וְאִם יָדוֹ לֹא תִמְצָא </w:t>
      </w:r>
      <w:proofErr w:type="spellStart"/>
      <w:r>
        <w:rPr>
          <w:shd w:val="clear" w:color="auto" w:fill="FFFFFF"/>
          <w:rtl/>
        </w:rPr>
        <w:t>לִגְאֹל</w:t>
      </w:r>
      <w:proofErr w:type="spellEnd"/>
      <w:r>
        <w:rPr>
          <w:shd w:val="clear" w:color="auto" w:fill="FFFFFF"/>
        </w:rPr>
        <w:t xml:space="preserve"> –</w:t>
      </w:r>
      <w:r>
        <w:rPr>
          <w:rFonts w:hint="cs"/>
          <w:rtl/>
        </w:rPr>
        <w:t xml:space="preserve">/ </w:t>
      </w:r>
      <w:r>
        <w:rPr>
          <w:shd w:val="clear" w:color="auto" w:fill="FFFFFF"/>
          <w:rtl/>
        </w:rPr>
        <w:t>אָז נִבְחָר לִי לִנְפֹּל מִמְּצוּקַת הַמָּצוֹר</w:t>
      </w:r>
      <w:r>
        <w:rPr>
          <w:rFonts w:hint="cs"/>
          <w:rtl/>
        </w:rPr>
        <w:t xml:space="preserve"> /</w:t>
      </w:r>
      <w:r>
        <w:t xml:space="preserve"> </w:t>
      </w:r>
      <w:r>
        <w:rPr>
          <w:shd w:val="clear" w:color="auto" w:fill="FFFFFF"/>
          <w:rtl/>
        </w:rPr>
        <w:t>אוֹר לְיוֹם בְּשׂוֹרָה הַגָּדוֹל</w:t>
      </w:r>
    </w:p>
    <w:p w14:paraId="0C48978D" w14:textId="77777777" w:rsidR="00C906EA" w:rsidRDefault="0041351B" w:rsidP="006C6EB8">
      <w:pPr>
        <w:spacing w:after="120" w:line="288" w:lineRule="exact"/>
        <w:rPr>
          <w:rtl/>
        </w:rPr>
      </w:pPr>
      <w:r>
        <w:rPr>
          <w:rFonts w:hint="cs"/>
          <w:rtl/>
        </w:rPr>
        <w:lastRenderedPageBreak/>
        <w:t xml:space="preserve">רחל מבקשת שהגאולה תגיע רק מהטהור, ואם ממצורע היא תגיעה </w:t>
      </w:r>
      <w:r>
        <w:rPr>
          <w:rtl/>
        </w:rPr>
        <w:t>–</w:t>
      </w:r>
      <w:r>
        <w:rPr>
          <w:rFonts w:hint="cs"/>
          <w:rtl/>
        </w:rPr>
        <w:t xml:space="preserve"> היא מעדיפה את המוות. עלינו לזכור, שרחל לא מדברת באופן מנותק </w:t>
      </w:r>
      <w:r>
        <w:rPr>
          <w:rtl/>
        </w:rPr>
        <w:t>–</w:t>
      </w:r>
      <w:r>
        <w:rPr>
          <w:rFonts w:hint="cs"/>
          <w:rtl/>
        </w:rPr>
        <w:t xml:space="preserve"> היא חיה בדור המייסדים וגדלה איתם; היא הכירה את הנפשות הפועלות ואת דבריה הקשים היא אומרת בכנות מלאה. </w:t>
      </w:r>
    </w:p>
    <w:p w14:paraId="57EAA163" w14:textId="77777777" w:rsidR="0041351B" w:rsidRDefault="0041351B" w:rsidP="006C6EB8">
      <w:pPr>
        <w:spacing w:after="120" w:line="288" w:lineRule="exact"/>
        <w:rPr>
          <w:rtl/>
        </w:rPr>
      </w:pPr>
      <w:r>
        <w:rPr>
          <w:rFonts w:hint="cs"/>
          <w:rtl/>
        </w:rPr>
        <w:t>אף על פי כן, דומה שעמדה אחרת מוצגת בגמרא: ר' יהושע בן לוי שואל את אליהו היכן הוא הגואל, והלה משיב לו שהוא יושב בין המצורעים שבשערי רומי. ר' יהושע בן לוי לא משליך אחר גוו את המשיח הזה כמו שמבקשת רחל לעשות, אלא הולך לרומי לשאול אותו "לאימת אתי מר".</w:t>
      </w:r>
    </w:p>
    <w:p w14:paraId="5F3E3066" w14:textId="77777777" w:rsidR="0041351B" w:rsidRDefault="0041351B" w:rsidP="006C6EB8">
      <w:pPr>
        <w:spacing w:after="120" w:line="288" w:lineRule="exact"/>
        <w:rPr>
          <w:rtl/>
        </w:rPr>
      </w:pPr>
      <w:r>
        <w:rPr>
          <w:rFonts w:hint="cs"/>
          <w:rtl/>
        </w:rPr>
        <w:t xml:space="preserve">מתח דומה עולה בעקבות סיפור מפורסם של ש"י עגנון, 'לצרכי שבת'. בסיפור מתוארים רב ורעייתו שלא מצליחים למצוא מספיק כסף כדי לקנות מצרכים לשבת. מרוב צער אשתו בוכה, והבעל, שלא יכול לשאת את הצער, יוצא החוצה עד שהוא מגיע אל המקומות המטונפים של העיר. באותו מקום מזוויע הוא מזהה מטבע זהב, מוציא אותו ומנקה אותו. אולם, במקום לקחת אותו לצרכי </w:t>
      </w:r>
      <w:r w:rsidR="00167637">
        <w:rPr>
          <w:rFonts w:hint="cs"/>
          <w:rtl/>
        </w:rPr>
        <w:t>השבת שלו הוא אומר, שאם הקב"ה הי</w:t>
      </w:r>
      <w:r>
        <w:rPr>
          <w:rFonts w:hint="cs"/>
          <w:rtl/>
        </w:rPr>
        <w:t xml:space="preserve">ה רוצה להעניק לו מטבע לשבת הוא היה עושה זאת בדרך טהורה ולא מזעזעת שכזו; הוא משליך את המטבע ובסופו של הסיפור זוכה בצרכי השבת </w:t>
      </w:r>
      <w:proofErr w:type="spellStart"/>
      <w:r>
        <w:rPr>
          <w:rFonts w:hint="cs"/>
          <w:rtl/>
        </w:rPr>
        <w:t>מכח</w:t>
      </w:r>
      <w:proofErr w:type="spellEnd"/>
      <w:r>
        <w:rPr>
          <w:rFonts w:hint="cs"/>
          <w:rtl/>
        </w:rPr>
        <w:t xml:space="preserve"> הצדקה.</w:t>
      </w:r>
    </w:p>
    <w:p w14:paraId="6FD3A64C" w14:textId="402A703C" w:rsidR="0041351B" w:rsidRDefault="0041351B" w:rsidP="006C6EB8">
      <w:pPr>
        <w:spacing w:after="120" w:line="288" w:lineRule="exact"/>
        <w:rPr>
          <w:rtl/>
        </w:rPr>
      </w:pPr>
      <w:r>
        <w:rPr>
          <w:rFonts w:hint="cs"/>
          <w:rtl/>
        </w:rPr>
        <w:t>דומה, שש"י עגנון מכריע כאן במחלוקת אמוראים מפורסמת בין ר' יוחנן לרב יוסף: ר' יוחנן טוען שהוא מעדיף למות ולא לראות את המשיח, ואילו רב יוסף חולק עליו ואומר את דבריו המפורסמים: "</w:t>
      </w:r>
      <w:proofErr w:type="spellStart"/>
      <w:r>
        <w:rPr>
          <w:rFonts w:hint="cs"/>
          <w:rtl/>
        </w:rPr>
        <w:t>ייתי</w:t>
      </w:r>
      <w:proofErr w:type="spellEnd"/>
      <w:r>
        <w:rPr>
          <w:rFonts w:hint="cs"/>
          <w:rtl/>
        </w:rPr>
        <w:t xml:space="preserve"> </w:t>
      </w:r>
      <w:proofErr w:type="spellStart"/>
      <w:r>
        <w:rPr>
          <w:rFonts w:hint="cs"/>
          <w:rtl/>
        </w:rPr>
        <w:t>ואזכי</w:t>
      </w:r>
      <w:proofErr w:type="spellEnd"/>
      <w:r>
        <w:rPr>
          <w:rFonts w:hint="cs"/>
          <w:rtl/>
        </w:rPr>
        <w:t xml:space="preserve"> </w:t>
      </w:r>
      <w:proofErr w:type="spellStart"/>
      <w:r>
        <w:rPr>
          <w:rFonts w:hint="cs"/>
          <w:rtl/>
        </w:rPr>
        <w:t>דאיתיב</w:t>
      </w:r>
      <w:proofErr w:type="spellEnd"/>
      <w:r>
        <w:rPr>
          <w:rFonts w:hint="cs"/>
          <w:rtl/>
        </w:rPr>
        <w:t xml:space="preserve"> </w:t>
      </w:r>
      <w:proofErr w:type="spellStart"/>
      <w:r>
        <w:rPr>
          <w:rFonts w:hint="cs"/>
          <w:rtl/>
        </w:rPr>
        <w:t>בטולא</w:t>
      </w:r>
      <w:proofErr w:type="spellEnd"/>
      <w:r>
        <w:rPr>
          <w:rFonts w:hint="cs"/>
          <w:rtl/>
        </w:rPr>
        <w:t xml:space="preserve"> </w:t>
      </w:r>
      <w:proofErr w:type="spellStart"/>
      <w:r>
        <w:rPr>
          <w:rFonts w:hint="cs"/>
          <w:rtl/>
        </w:rPr>
        <w:t>דכופיתא</w:t>
      </w:r>
      <w:proofErr w:type="spellEnd"/>
      <w:r>
        <w:rPr>
          <w:rFonts w:hint="cs"/>
          <w:rtl/>
        </w:rPr>
        <w:t xml:space="preserve"> </w:t>
      </w:r>
      <w:proofErr w:type="spellStart"/>
      <w:r>
        <w:rPr>
          <w:rFonts w:hint="cs"/>
          <w:rtl/>
        </w:rPr>
        <w:t>דח</w:t>
      </w:r>
      <w:r w:rsidR="000F468D">
        <w:rPr>
          <w:rFonts w:hint="cs"/>
          <w:rtl/>
        </w:rPr>
        <w:t>מ</w:t>
      </w:r>
      <w:r>
        <w:rPr>
          <w:rFonts w:hint="cs"/>
          <w:rtl/>
        </w:rPr>
        <w:t>ריה</w:t>
      </w:r>
      <w:proofErr w:type="spellEnd"/>
      <w:r>
        <w:rPr>
          <w:rFonts w:hint="cs"/>
          <w:rtl/>
        </w:rPr>
        <w:t xml:space="preserve"> (= הלוואי יבוא, ואזכה לשבת בצל גללי חמורו). דברי רב יוסף אודות גללי החמור מזכירים לנו מאד את הרפש שבו נמצא אותו מטבע זהב, אך בניגוד לגיבור סיפורו של עגנון </w:t>
      </w:r>
      <w:r>
        <w:rPr>
          <w:rtl/>
        </w:rPr>
        <w:t>–</w:t>
      </w:r>
      <w:r>
        <w:rPr>
          <w:rFonts w:hint="cs"/>
          <w:rtl/>
        </w:rPr>
        <w:t xml:space="preserve"> רב יוסף מסרב לוותר על הגאולה שתגיע בתנאים שונים ומשונים ומבקש להיות נוכח בה, גם במחיר משפיל ביותר.</w:t>
      </w:r>
    </w:p>
    <w:p w14:paraId="259FAB5F" w14:textId="77777777" w:rsidR="0041351B" w:rsidRDefault="0041351B" w:rsidP="006C6EB8">
      <w:pPr>
        <w:spacing w:after="120" w:line="288" w:lineRule="exact"/>
        <w:rPr>
          <w:rtl/>
        </w:rPr>
      </w:pPr>
      <w:r>
        <w:rPr>
          <w:rFonts w:hint="cs"/>
          <w:rtl/>
        </w:rPr>
        <w:t xml:space="preserve">לעתים הגאולה לא נראית לנו בדיוק כפי שרצינו שתהיה ובהחלט סביר להניח שלא כך היינו מציירים אותה בדמיוננו. אך אף על פי כן, מאמרי חז"ל רבים מדגישים, כי את בשורת המצורעים עלינו לאמץ </w:t>
      </w:r>
      <w:r>
        <w:rPr>
          <w:rtl/>
        </w:rPr>
        <w:t>–</w:t>
      </w:r>
      <w:r>
        <w:rPr>
          <w:rFonts w:hint="cs"/>
          <w:rtl/>
        </w:rPr>
        <w:t xml:space="preserve"> לא לוותר עליה במחי יד, אלא לפעול יחד איתה לגאולת המציאות. שהרי לעיתים, הצרעת יכולה לנבוע מחטאי האומה ולא מחטאיו שלו, וכאשר נאמץ אותו אל חיקינו </w:t>
      </w:r>
      <w:r>
        <w:rPr>
          <w:rtl/>
        </w:rPr>
        <w:t>–</w:t>
      </w:r>
      <w:r>
        <w:rPr>
          <w:rFonts w:hint="cs"/>
          <w:rtl/>
        </w:rPr>
        <w:t xml:space="preserve"> "כולו הפך לבן". </w:t>
      </w:r>
    </w:p>
    <w:p w14:paraId="797E156E" w14:textId="77777777" w:rsidR="0041351B" w:rsidRDefault="0041351B" w:rsidP="006C6EB8">
      <w:pPr>
        <w:spacing w:after="120" w:line="288" w:lineRule="exact"/>
        <w:rPr>
          <w:rtl/>
        </w:rPr>
      </w:pPr>
      <w:r>
        <w:rPr>
          <w:rFonts w:hint="cs"/>
          <w:rtl/>
        </w:rPr>
        <w:t xml:space="preserve">לסיום, יתכן שניתן לקשור את הדברים למחלוקת המפורסמת שבין הקב"ה לבין מתיבתא </w:t>
      </w:r>
      <w:proofErr w:type="spellStart"/>
      <w:r>
        <w:rPr>
          <w:rFonts w:hint="cs"/>
          <w:rtl/>
        </w:rPr>
        <w:t>דרקיעא</w:t>
      </w:r>
      <w:proofErr w:type="spellEnd"/>
      <w:r>
        <w:rPr>
          <w:rFonts w:hint="cs"/>
          <w:rtl/>
        </w:rPr>
        <w:t xml:space="preserve"> ביחס לספק בדיני צרעת (ספק האם הבהרת קדם לשער לבן או שהשער קדם </w:t>
      </w:r>
      <w:proofErr w:type="spellStart"/>
      <w:r>
        <w:rPr>
          <w:rFonts w:hint="cs"/>
          <w:rtl/>
        </w:rPr>
        <w:t>לבהרת</w:t>
      </w:r>
      <w:proofErr w:type="spellEnd"/>
      <w:r>
        <w:rPr>
          <w:rFonts w:hint="cs"/>
          <w:rtl/>
        </w:rPr>
        <w:t xml:space="preserve">), כשהקב"ה מטהר ואילו מתיבתא </w:t>
      </w:r>
      <w:proofErr w:type="spellStart"/>
      <w:r>
        <w:rPr>
          <w:rFonts w:hint="cs"/>
          <w:rtl/>
        </w:rPr>
        <w:t>דרקיעא</w:t>
      </w:r>
      <w:proofErr w:type="spellEnd"/>
      <w:r>
        <w:rPr>
          <w:rFonts w:hint="cs"/>
          <w:rtl/>
        </w:rPr>
        <w:t xml:space="preserve"> מטמאת. הרמב"ם פסק להלכה שלא כדעת הקב"ה, שהרי </w:t>
      </w:r>
      <w:proofErr w:type="spellStart"/>
      <w:r>
        <w:rPr>
          <w:rFonts w:hint="cs"/>
          <w:rtl/>
        </w:rPr>
        <w:t>מקובלנו</w:t>
      </w:r>
      <w:proofErr w:type="spellEnd"/>
      <w:r>
        <w:rPr>
          <w:rFonts w:hint="cs"/>
          <w:rtl/>
        </w:rPr>
        <w:t xml:space="preserve"> שספק דאורייתא </w:t>
      </w:r>
      <w:proofErr w:type="spellStart"/>
      <w:r>
        <w:rPr>
          <w:rFonts w:hint="cs"/>
          <w:rtl/>
        </w:rPr>
        <w:t>לחומרא</w:t>
      </w:r>
      <w:proofErr w:type="spellEnd"/>
      <w:r>
        <w:rPr>
          <w:rFonts w:hint="cs"/>
          <w:rtl/>
        </w:rPr>
        <w:t xml:space="preserve">, ולכן מיד עלינו לשאול </w:t>
      </w:r>
      <w:r>
        <w:rPr>
          <w:rtl/>
        </w:rPr>
        <w:t>–</w:t>
      </w:r>
      <w:r>
        <w:rPr>
          <w:rFonts w:hint="cs"/>
          <w:rtl/>
        </w:rPr>
        <w:t xml:space="preserve"> האם הקב"ה לא יודע שספק דאורייתא </w:t>
      </w:r>
      <w:proofErr w:type="spellStart"/>
      <w:r>
        <w:rPr>
          <w:rFonts w:hint="cs"/>
          <w:rtl/>
        </w:rPr>
        <w:t>לחומרא</w:t>
      </w:r>
      <w:proofErr w:type="spellEnd"/>
      <w:r>
        <w:rPr>
          <w:rFonts w:hint="cs"/>
          <w:rtl/>
        </w:rPr>
        <w:t xml:space="preserve">? דומה, שלדעת הקב"ה אין ליישם כאן את הכלל הזה. הכלל של ספק דאורייתא </w:t>
      </w:r>
      <w:proofErr w:type="spellStart"/>
      <w:r>
        <w:rPr>
          <w:rFonts w:hint="cs"/>
          <w:rtl/>
        </w:rPr>
        <w:t>לחומרא</w:t>
      </w:r>
      <w:proofErr w:type="spellEnd"/>
      <w:r>
        <w:rPr>
          <w:rFonts w:hint="cs"/>
          <w:rtl/>
        </w:rPr>
        <w:t xml:space="preserve"> שייך כאשר אנחנו דנים בחפצים, באובייקטים, אך כאשר מדובר בכבוד הבריות של אדם מסוים </w:t>
      </w:r>
      <w:r>
        <w:rPr>
          <w:rtl/>
        </w:rPr>
        <w:t>–</w:t>
      </w:r>
      <w:r>
        <w:rPr>
          <w:rFonts w:hint="cs"/>
          <w:rtl/>
        </w:rPr>
        <w:t xml:space="preserve"> אין להחמיר כדי להקצות אותו מחוץ למחנה. </w:t>
      </w:r>
    </w:p>
    <w:p w14:paraId="75090675" w14:textId="77777777" w:rsidR="0041351B" w:rsidRPr="00660DB7" w:rsidRDefault="0041351B" w:rsidP="006C6EB8">
      <w:pPr>
        <w:spacing w:after="120" w:line="288" w:lineRule="exact"/>
        <w:rPr>
          <w:rtl/>
        </w:rPr>
      </w:pPr>
      <w:r>
        <w:rPr>
          <w:rFonts w:hint="cs"/>
          <w:rtl/>
        </w:rPr>
        <w:t>עלינו ללמוד ממידותיו של הקב"ה ולבחון את התהליכים בצורה עדינה ומדוקדקת. גם אם לא כל הנגע יהפוך ללבן, עדיין עלינו לנסות לזהות את ההזדמנויות בהן הטוב המועט גלום בתוך הלכלוך, לטהר ולנקות אותו.</w:t>
      </w:r>
    </w:p>
    <w:tbl>
      <w:tblPr>
        <w:tblpPr w:leftFromText="180" w:rightFromText="180" w:vertAnchor="text" w:horzAnchor="margin" w:tblpY="4836"/>
        <w:bidiVisual/>
        <w:tblW w:w="4678" w:type="dxa"/>
        <w:tblLayout w:type="fixed"/>
        <w:tblLook w:val="0000" w:firstRow="0" w:lastRow="0" w:firstColumn="0" w:lastColumn="0" w:noHBand="0" w:noVBand="0"/>
      </w:tblPr>
      <w:tblGrid>
        <w:gridCol w:w="283"/>
        <w:gridCol w:w="4111"/>
        <w:gridCol w:w="284"/>
      </w:tblGrid>
      <w:tr w:rsidR="008C7523" w14:paraId="17AB64F2" w14:textId="77777777" w:rsidTr="008C7523">
        <w:trPr>
          <w:trHeight w:val="63"/>
        </w:trPr>
        <w:tc>
          <w:tcPr>
            <w:tcW w:w="283" w:type="dxa"/>
            <w:tcBorders>
              <w:top w:val="nil"/>
              <w:left w:val="nil"/>
              <w:bottom w:val="nil"/>
              <w:right w:val="nil"/>
            </w:tcBorders>
          </w:tcPr>
          <w:bookmarkEnd w:id="0"/>
          <w:p w14:paraId="7649AD1D" w14:textId="77777777" w:rsidR="008C7523" w:rsidRDefault="008C7523" w:rsidP="008C7523">
            <w:pPr>
              <w:pStyle w:val="a0"/>
              <w:jc w:val="left"/>
              <w:rPr>
                <w:noProof w:val="0"/>
              </w:rPr>
            </w:pPr>
            <w:r>
              <w:rPr>
                <w:noProof w:val="0"/>
                <w:rtl/>
              </w:rPr>
              <w:t>*</w:t>
            </w:r>
          </w:p>
        </w:tc>
        <w:tc>
          <w:tcPr>
            <w:tcW w:w="4111" w:type="dxa"/>
            <w:tcBorders>
              <w:top w:val="nil"/>
              <w:left w:val="nil"/>
              <w:bottom w:val="nil"/>
              <w:right w:val="nil"/>
            </w:tcBorders>
          </w:tcPr>
          <w:p w14:paraId="0383200F" w14:textId="77777777" w:rsidR="008C7523" w:rsidRDefault="008C7523" w:rsidP="008C7523">
            <w:pPr>
              <w:pStyle w:val="a0"/>
              <w:ind w:left="-170" w:right="-170"/>
              <w:jc w:val="left"/>
              <w:rPr>
                <w:noProof w:val="0"/>
              </w:rPr>
            </w:pPr>
            <w:r>
              <w:rPr>
                <w:noProof w:val="0"/>
                <w:rtl/>
              </w:rPr>
              <w:t>***************************************************************</w:t>
            </w:r>
          </w:p>
        </w:tc>
        <w:tc>
          <w:tcPr>
            <w:tcW w:w="284" w:type="dxa"/>
            <w:tcBorders>
              <w:top w:val="nil"/>
              <w:left w:val="nil"/>
              <w:bottom w:val="nil"/>
              <w:right w:val="nil"/>
            </w:tcBorders>
          </w:tcPr>
          <w:p w14:paraId="58718FED" w14:textId="77777777" w:rsidR="008C7523" w:rsidRDefault="008C7523" w:rsidP="008C7523">
            <w:pPr>
              <w:pStyle w:val="a0"/>
              <w:jc w:val="left"/>
              <w:rPr>
                <w:noProof w:val="0"/>
              </w:rPr>
            </w:pPr>
            <w:r>
              <w:rPr>
                <w:noProof w:val="0"/>
                <w:rtl/>
              </w:rPr>
              <w:t>*</w:t>
            </w:r>
          </w:p>
        </w:tc>
      </w:tr>
      <w:tr w:rsidR="008C7523" w14:paraId="7A36A04E" w14:textId="77777777" w:rsidTr="008C7523">
        <w:tc>
          <w:tcPr>
            <w:tcW w:w="283" w:type="dxa"/>
            <w:tcBorders>
              <w:top w:val="nil"/>
              <w:left w:val="nil"/>
              <w:bottom w:val="nil"/>
              <w:right w:val="nil"/>
            </w:tcBorders>
          </w:tcPr>
          <w:p w14:paraId="254C5655" w14:textId="77777777" w:rsidR="008C7523" w:rsidRDefault="008C7523" w:rsidP="008C7523">
            <w:pPr>
              <w:pStyle w:val="a0"/>
              <w:jc w:val="left"/>
              <w:rPr>
                <w:noProof w:val="0"/>
              </w:rPr>
            </w:pPr>
            <w:r>
              <w:rPr>
                <w:noProof w:val="0"/>
                <w:rtl/>
              </w:rPr>
              <w:t>* * * * * * * * * *</w:t>
            </w:r>
          </w:p>
        </w:tc>
        <w:tc>
          <w:tcPr>
            <w:tcW w:w="4111" w:type="dxa"/>
            <w:tcBorders>
              <w:top w:val="nil"/>
              <w:left w:val="nil"/>
              <w:bottom w:val="nil"/>
              <w:right w:val="nil"/>
            </w:tcBorders>
          </w:tcPr>
          <w:p w14:paraId="7C98BA1D" w14:textId="77777777" w:rsidR="008C7523" w:rsidRDefault="008C7523" w:rsidP="00167637">
            <w:pPr>
              <w:pStyle w:val="a0"/>
              <w:rPr>
                <w:noProof w:val="0"/>
                <w:rtl/>
              </w:rPr>
            </w:pPr>
            <w:r>
              <w:rPr>
                <w:noProof w:val="0"/>
                <w:rtl/>
              </w:rPr>
              <w:t>כל הזכויות שמורות לישיבת הר עציון</w:t>
            </w:r>
            <w:r>
              <w:rPr>
                <w:rFonts w:hint="cs"/>
                <w:noProof w:val="0"/>
                <w:rtl/>
              </w:rPr>
              <w:t xml:space="preserve"> ולרב </w:t>
            </w:r>
            <w:r w:rsidR="00167637">
              <w:rPr>
                <w:rFonts w:hint="cs"/>
                <w:noProof w:val="0"/>
                <w:rtl/>
              </w:rPr>
              <w:t>יעקב מדן</w:t>
            </w:r>
          </w:p>
          <w:p w14:paraId="0A28F66E" w14:textId="77777777" w:rsidR="008C7523" w:rsidRPr="00C5614D" w:rsidRDefault="008C7523" w:rsidP="008C7523">
            <w:pPr>
              <w:pStyle w:val="a0"/>
              <w:rPr>
                <w:rFonts w:ascii="Times New Roman" w:hAnsi="Times New Roman" w:cs="Times New Roman"/>
                <w:noProof w:val="0"/>
                <w:rtl/>
              </w:rPr>
            </w:pPr>
            <w:r>
              <w:rPr>
                <w:rFonts w:hint="cs"/>
                <w:noProof w:val="0"/>
                <w:rtl/>
              </w:rPr>
              <w:t>עורך: אלישע אורון, תשע"ט</w:t>
            </w:r>
          </w:p>
          <w:p w14:paraId="6082923B" w14:textId="77777777" w:rsidR="008C7523" w:rsidRDefault="008C7523" w:rsidP="008C7523">
            <w:pPr>
              <w:pStyle w:val="a0"/>
              <w:rPr>
                <w:noProof w:val="0"/>
                <w:rtl/>
              </w:rPr>
            </w:pPr>
            <w:r>
              <w:rPr>
                <w:noProof w:val="0"/>
                <w:rtl/>
              </w:rPr>
              <w:t>*******************************************************</w:t>
            </w:r>
          </w:p>
          <w:p w14:paraId="0C30CB16" w14:textId="77777777" w:rsidR="008C7523" w:rsidRDefault="008C7523" w:rsidP="008C7523">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46EBC2D0" w14:textId="77777777" w:rsidR="008C7523" w:rsidRDefault="00AE76B5" w:rsidP="008C7523">
            <w:pPr>
              <w:pStyle w:val="a0"/>
              <w:rPr>
                <w:noProof w:val="0"/>
                <w:rtl/>
              </w:rPr>
            </w:pPr>
            <w:hyperlink r:id="rId6" w:history="1">
              <w:r w:rsidR="008C7523">
                <w:rPr>
                  <w:rStyle w:val="Hyperlink"/>
                  <w:rFonts w:eastAsiaTheme="majorEastAsia"/>
                </w:rPr>
                <w:t>http://www.etzion.org.il</w:t>
              </w:r>
            </w:hyperlink>
          </w:p>
          <w:p w14:paraId="5D9D8BC3" w14:textId="77777777" w:rsidR="008C7523" w:rsidRDefault="008C7523" w:rsidP="008C7523">
            <w:pPr>
              <w:pStyle w:val="a0"/>
              <w:rPr>
                <w:noProof w:val="0"/>
                <w:rtl/>
              </w:rPr>
            </w:pPr>
          </w:p>
          <w:p w14:paraId="0007AEC1" w14:textId="77777777" w:rsidR="008C7523" w:rsidRDefault="008C7523" w:rsidP="008C7523">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02-9937300 שלוחה 5</w:t>
            </w:r>
          </w:p>
          <w:p w14:paraId="41C7DFB4" w14:textId="77777777" w:rsidR="008C7523" w:rsidRDefault="008C7523" w:rsidP="008C7523">
            <w:pPr>
              <w:pStyle w:val="a0"/>
              <w:rPr>
                <w:noProof w:val="0"/>
              </w:rPr>
            </w:pPr>
            <w:r>
              <w:rPr>
                <w:noProof w:val="0"/>
                <w:rtl/>
              </w:rPr>
              <w:t xml:space="preserve">דואל: </w:t>
            </w:r>
            <w:hyperlink r:id="rId7" w:history="1">
              <w:r>
                <w:rPr>
                  <w:rStyle w:val="Hyperlink"/>
                  <w:rFonts w:eastAsiaTheme="majorEastAsia"/>
                </w:rPr>
                <w:t>office@etzion.org.il</w:t>
              </w:r>
            </w:hyperlink>
          </w:p>
        </w:tc>
        <w:tc>
          <w:tcPr>
            <w:tcW w:w="284" w:type="dxa"/>
            <w:tcBorders>
              <w:top w:val="nil"/>
              <w:left w:val="nil"/>
              <w:bottom w:val="nil"/>
              <w:right w:val="nil"/>
            </w:tcBorders>
          </w:tcPr>
          <w:p w14:paraId="2BDDE212" w14:textId="77777777" w:rsidR="008C7523" w:rsidRDefault="008C7523" w:rsidP="008C7523">
            <w:pPr>
              <w:pStyle w:val="a0"/>
              <w:jc w:val="left"/>
              <w:rPr>
                <w:noProof w:val="0"/>
                <w:rtl/>
              </w:rPr>
            </w:pPr>
            <w:r>
              <w:rPr>
                <w:noProof w:val="0"/>
                <w:rtl/>
              </w:rPr>
              <w:t xml:space="preserve">* * * * * * * * * * </w:t>
            </w:r>
          </w:p>
        </w:tc>
      </w:tr>
      <w:tr w:rsidR="008C7523" w14:paraId="4DE56FE4" w14:textId="77777777" w:rsidTr="008C7523">
        <w:tc>
          <w:tcPr>
            <w:tcW w:w="283" w:type="dxa"/>
            <w:tcBorders>
              <w:top w:val="nil"/>
              <w:left w:val="nil"/>
              <w:bottom w:val="nil"/>
              <w:right w:val="nil"/>
            </w:tcBorders>
          </w:tcPr>
          <w:p w14:paraId="1CB0D363" w14:textId="77777777" w:rsidR="008C7523" w:rsidRDefault="008C7523" w:rsidP="008C7523">
            <w:pPr>
              <w:pStyle w:val="a0"/>
              <w:jc w:val="left"/>
              <w:rPr>
                <w:noProof w:val="0"/>
              </w:rPr>
            </w:pPr>
            <w:r>
              <w:rPr>
                <w:noProof w:val="0"/>
                <w:rtl/>
              </w:rPr>
              <w:t>*</w:t>
            </w:r>
          </w:p>
        </w:tc>
        <w:tc>
          <w:tcPr>
            <w:tcW w:w="4111" w:type="dxa"/>
            <w:tcBorders>
              <w:top w:val="nil"/>
              <w:left w:val="nil"/>
              <w:bottom w:val="nil"/>
              <w:right w:val="nil"/>
            </w:tcBorders>
          </w:tcPr>
          <w:p w14:paraId="46AA4AF7" w14:textId="77777777" w:rsidR="008C7523" w:rsidRDefault="008C7523" w:rsidP="008C7523">
            <w:pPr>
              <w:pStyle w:val="a0"/>
              <w:ind w:left="-227" w:right="-227"/>
              <w:jc w:val="left"/>
              <w:rPr>
                <w:noProof w:val="0"/>
              </w:rPr>
            </w:pPr>
            <w:r>
              <w:rPr>
                <w:noProof w:val="0"/>
                <w:rtl/>
              </w:rPr>
              <w:t>***************************************************************</w:t>
            </w:r>
          </w:p>
        </w:tc>
        <w:tc>
          <w:tcPr>
            <w:tcW w:w="284" w:type="dxa"/>
            <w:tcBorders>
              <w:top w:val="nil"/>
              <w:left w:val="nil"/>
              <w:bottom w:val="nil"/>
              <w:right w:val="nil"/>
            </w:tcBorders>
          </w:tcPr>
          <w:p w14:paraId="0E0AC2F2" w14:textId="77777777" w:rsidR="008C7523" w:rsidRDefault="008C7523" w:rsidP="008C7523">
            <w:pPr>
              <w:pStyle w:val="a0"/>
              <w:jc w:val="left"/>
              <w:rPr>
                <w:noProof w:val="0"/>
                <w:rtl/>
              </w:rPr>
            </w:pPr>
            <w:r>
              <w:rPr>
                <w:noProof w:val="0"/>
                <w:rtl/>
              </w:rPr>
              <w:t>*</w:t>
            </w:r>
          </w:p>
        </w:tc>
      </w:tr>
    </w:tbl>
    <w:p w14:paraId="76025D95" w14:textId="77777777" w:rsidR="003F7890" w:rsidRPr="00B103A1" w:rsidRDefault="003F7890" w:rsidP="00BD6239">
      <w:pPr>
        <w:jc w:val="left"/>
      </w:pPr>
    </w:p>
    <w:sectPr w:rsidR="003F7890" w:rsidRPr="00B103A1" w:rsidSect="005F7985">
      <w:headerReference w:type="default" r:id="rId8"/>
      <w:headerReference w:type="first" r:id="rId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5A50" w14:textId="77777777" w:rsidR="00AE76B5" w:rsidRDefault="00AE76B5" w:rsidP="005F7985">
      <w:pPr>
        <w:spacing w:after="0" w:line="240" w:lineRule="auto"/>
      </w:pPr>
      <w:r>
        <w:separator/>
      </w:r>
    </w:p>
  </w:endnote>
  <w:endnote w:type="continuationSeparator" w:id="0">
    <w:p w14:paraId="33FDE41F" w14:textId="77777777" w:rsidR="00AE76B5" w:rsidRDefault="00AE76B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2D00" w14:textId="77777777" w:rsidR="00AE76B5" w:rsidRDefault="00AE76B5" w:rsidP="005F7985">
      <w:pPr>
        <w:spacing w:after="0" w:line="240" w:lineRule="auto"/>
      </w:pPr>
      <w:r>
        <w:separator/>
      </w:r>
    </w:p>
  </w:footnote>
  <w:footnote w:type="continuationSeparator" w:id="0">
    <w:p w14:paraId="5C17EE58" w14:textId="77777777" w:rsidR="00AE76B5" w:rsidRDefault="00AE76B5" w:rsidP="005F7985">
      <w:pPr>
        <w:spacing w:after="0" w:line="240" w:lineRule="auto"/>
      </w:pPr>
      <w:r>
        <w:continuationSeparator/>
      </w:r>
    </w:p>
  </w:footnote>
  <w:footnote w:id="1">
    <w:p w14:paraId="7B045C88" w14:textId="77777777" w:rsidR="00E66D5D" w:rsidRDefault="00B103A1" w:rsidP="0041351B">
      <w:pPr>
        <w:pStyle w:val="FootnoteText"/>
        <w:ind w:left="225"/>
      </w:pPr>
      <w:r>
        <w:rPr>
          <w:rStyle w:val="FootnoteReference"/>
          <w:rtl/>
        </w:rPr>
        <w:t>*</w:t>
      </w:r>
      <w:r>
        <w:rPr>
          <w:rtl/>
        </w:rPr>
        <w:t xml:space="preserve"> </w:t>
      </w:r>
      <w:r>
        <w:rPr>
          <w:rtl/>
        </w:rPr>
        <w:tab/>
      </w:r>
      <w:r w:rsidR="00BD6239">
        <w:rPr>
          <w:rFonts w:hint="cs"/>
          <w:rtl/>
        </w:rPr>
        <w:t xml:space="preserve">השיחה נאמרה </w:t>
      </w:r>
      <w:r w:rsidR="001E20E0">
        <w:rPr>
          <w:rFonts w:hint="cs"/>
          <w:rtl/>
        </w:rPr>
        <w:t>בשבת פרש</w:t>
      </w:r>
      <w:r w:rsidR="0041351B">
        <w:rPr>
          <w:rFonts w:hint="cs"/>
          <w:rtl/>
        </w:rPr>
        <w:t>ת תזריע-מצורע ה'תשע"</w:t>
      </w:r>
      <w:r w:rsidR="00167637">
        <w:rPr>
          <w:rFonts w:hint="cs"/>
          <w:rtl/>
        </w:rPr>
        <w:t xml:space="preserve">ז, </w:t>
      </w:r>
      <w:r w:rsidR="0041351B">
        <w:rPr>
          <w:rFonts w:hint="cs"/>
          <w:rtl/>
        </w:rPr>
        <w:t>סוכמה ע"י דניאל הרמן</w:t>
      </w:r>
      <w:r w:rsidR="00167637">
        <w:rPr>
          <w:rFonts w:hint="cs"/>
          <w:rtl/>
        </w:rPr>
        <w:t xml:space="preserve"> ונערכה ע"י אלישע אורון</w:t>
      </w:r>
      <w:r w:rsidR="0041351B">
        <w:rPr>
          <w:rFonts w:hint="cs"/>
          <w:rtl/>
        </w:rPr>
        <w:t xml:space="preserve">. </w:t>
      </w:r>
      <w:r w:rsidR="001E20E0">
        <w:rPr>
          <w:rFonts w:hint="cs"/>
          <w:rtl/>
        </w:rPr>
        <w:t>סיכום השיחה לא עבר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71BB" w14:textId="77777777" w:rsidR="00C05872" w:rsidRDefault="00A67BCC">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67637">
      <w:rPr>
        <w:b/>
        <w:bCs/>
        <w:noProof/>
        <w:sz w:val="21"/>
        <w:rtl/>
      </w:rPr>
      <w:t>3</w:t>
    </w:r>
    <w:r>
      <w:rPr>
        <w:b/>
        <w:bCs/>
        <w:sz w:val="21"/>
        <w:rtl/>
      </w:rPr>
      <w:fldChar w:fldCharType="end"/>
    </w:r>
    <w:r>
      <w:rPr>
        <w:b/>
        <w:bCs/>
        <w:sz w:val="21"/>
        <w:rtl/>
      </w:rPr>
      <w:t xml:space="preserve"> -</w:t>
    </w:r>
  </w:p>
  <w:p w14:paraId="7890CE20" w14:textId="77777777" w:rsidR="00C05872" w:rsidRDefault="00AE76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14:paraId="5FB2DFC7" w14:textId="77777777">
      <w:tc>
        <w:tcPr>
          <w:tcW w:w="4927" w:type="dxa"/>
          <w:tcBorders>
            <w:top w:val="nil"/>
            <w:left w:val="nil"/>
            <w:bottom w:val="double" w:sz="4" w:space="0" w:color="auto"/>
            <w:right w:val="nil"/>
          </w:tcBorders>
        </w:tcPr>
        <w:p w14:paraId="55A77521" w14:textId="77777777" w:rsidR="00C05872" w:rsidRDefault="00A67BCC">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14454869" w14:textId="77777777" w:rsidR="00C05872" w:rsidRDefault="00A67BCC">
          <w:pPr>
            <w:pStyle w:val="Header"/>
            <w:tabs>
              <w:tab w:val="clear" w:pos="4153"/>
              <w:tab w:val="clear" w:pos="8306"/>
              <w:tab w:val="center" w:pos="4818"/>
              <w:tab w:val="right" w:pos="8220"/>
            </w:tabs>
            <w:spacing w:after="0"/>
            <w:rPr>
              <w:sz w:val="21"/>
              <w:rtl/>
            </w:rPr>
          </w:pPr>
          <w:r>
            <w:rPr>
              <w:sz w:val="21"/>
              <w:rtl/>
            </w:rPr>
            <w:t>שליד ישיבת הר עציון</w:t>
          </w:r>
        </w:p>
        <w:p w14:paraId="40F79A51" w14:textId="77777777" w:rsidR="00C05872" w:rsidRDefault="00A67BCC">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75E7FBC6" w14:textId="77777777" w:rsidR="00C05872" w:rsidRDefault="00A67BCC" w:rsidP="00CB6C0A">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6C3FB114" w14:textId="77777777" w:rsidR="00C05872" w:rsidRDefault="00AE76B5">
    <w:pPr>
      <w:pStyle w:val="Header"/>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85"/>
    <w:rsid w:val="00016FCE"/>
    <w:rsid w:val="000458BC"/>
    <w:rsid w:val="00067E9B"/>
    <w:rsid w:val="000827D2"/>
    <w:rsid w:val="000A18FC"/>
    <w:rsid w:val="000B2BEA"/>
    <w:rsid w:val="000D00CA"/>
    <w:rsid w:val="000D6D0C"/>
    <w:rsid w:val="000E5AFD"/>
    <w:rsid w:val="000F468D"/>
    <w:rsid w:val="001032CB"/>
    <w:rsid w:val="00117B74"/>
    <w:rsid w:val="001502DB"/>
    <w:rsid w:val="00167637"/>
    <w:rsid w:val="001A2419"/>
    <w:rsid w:val="001C08DD"/>
    <w:rsid w:val="001E20E0"/>
    <w:rsid w:val="001F137C"/>
    <w:rsid w:val="00272817"/>
    <w:rsid w:val="0028771E"/>
    <w:rsid w:val="002A394A"/>
    <w:rsid w:val="002B1140"/>
    <w:rsid w:val="002D0B80"/>
    <w:rsid w:val="002D3217"/>
    <w:rsid w:val="002F287D"/>
    <w:rsid w:val="00301D0C"/>
    <w:rsid w:val="00315192"/>
    <w:rsid w:val="0033127E"/>
    <w:rsid w:val="00345D27"/>
    <w:rsid w:val="00380328"/>
    <w:rsid w:val="003D7721"/>
    <w:rsid w:val="003E768B"/>
    <w:rsid w:val="003F7890"/>
    <w:rsid w:val="00402C36"/>
    <w:rsid w:val="0041351B"/>
    <w:rsid w:val="00420F26"/>
    <w:rsid w:val="004360C9"/>
    <w:rsid w:val="00455395"/>
    <w:rsid w:val="004829C8"/>
    <w:rsid w:val="005149C3"/>
    <w:rsid w:val="00543BFF"/>
    <w:rsid w:val="00544704"/>
    <w:rsid w:val="00552BEB"/>
    <w:rsid w:val="00563957"/>
    <w:rsid w:val="005647CD"/>
    <w:rsid w:val="005B76C2"/>
    <w:rsid w:val="005E44BA"/>
    <w:rsid w:val="005F7985"/>
    <w:rsid w:val="006064E4"/>
    <w:rsid w:val="0061649C"/>
    <w:rsid w:val="00683AD6"/>
    <w:rsid w:val="006B1EF3"/>
    <w:rsid w:val="006B332C"/>
    <w:rsid w:val="006C6EB8"/>
    <w:rsid w:val="0070000E"/>
    <w:rsid w:val="00707A86"/>
    <w:rsid w:val="00713A3A"/>
    <w:rsid w:val="007176D1"/>
    <w:rsid w:val="0077090A"/>
    <w:rsid w:val="00773F69"/>
    <w:rsid w:val="007873C0"/>
    <w:rsid w:val="007A6AB1"/>
    <w:rsid w:val="007B0711"/>
    <w:rsid w:val="007C5FA6"/>
    <w:rsid w:val="007E45DB"/>
    <w:rsid w:val="007E507C"/>
    <w:rsid w:val="007E7500"/>
    <w:rsid w:val="00835345"/>
    <w:rsid w:val="0085108B"/>
    <w:rsid w:val="0086008D"/>
    <w:rsid w:val="00865437"/>
    <w:rsid w:val="00875FBB"/>
    <w:rsid w:val="0088360E"/>
    <w:rsid w:val="008C0DB5"/>
    <w:rsid w:val="008C5B82"/>
    <w:rsid w:val="008C7523"/>
    <w:rsid w:val="008D309C"/>
    <w:rsid w:val="008E56C4"/>
    <w:rsid w:val="009002A5"/>
    <w:rsid w:val="009120C5"/>
    <w:rsid w:val="00913898"/>
    <w:rsid w:val="009215D9"/>
    <w:rsid w:val="0093798A"/>
    <w:rsid w:val="009724A7"/>
    <w:rsid w:val="0098126F"/>
    <w:rsid w:val="009B70F2"/>
    <w:rsid w:val="009C6C3A"/>
    <w:rsid w:val="009F1F91"/>
    <w:rsid w:val="009F301F"/>
    <w:rsid w:val="009F32DA"/>
    <w:rsid w:val="00A05D74"/>
    <w:rsid w:val="00A17CC0"/>
    <w:rsid w:val="00A67BCC"/>
    <w:rsid w:val="00AC4207"/>
    <w:rsid w:val="00AE1BD0"/>
    <w:rsid w:val="00AE71F8"/>
    <w:rsid w:val="00AE76B5"/>
    <w:rsid w:val="00B103A1"/>
    <w:rsid w:val="00B2236F"/>
    <w:rsid w:val="00B243F4"/>
    <w:rsid w:val="00B65D5E"/>
    <w:rsid w:val="00B7243D"/>
    <w:rsid w:val="00B86A06"/>
    <w:rsid w:val="00BA11BC"/>
    <w:rsid w:val="00BC7C5F"/>
    <w:rsid w:val="00BD32A3"/>
    <w:rsid w:val="00BD38AD"/>
    <w:rsid w:val="00BD6239"/>
    <w:rsid w:val="00BE1240"/>
    <w:rsid w:val="00C25383"/>
    <w:rsid w:val="00C906EA"/>
    <w:rsid w:val="00CA3B41"/>
    <w:rsid w:val="00CB11E4"/>
    <w:rsid w:val="00CB6C0A"/>
    <w:rsid w:val="00CB73CC"/>
    <w:rsid w:val="00CC778C"/>
    <w:rsid w:val="00CD7A60"/>
    <w:rsid w:val="00CF363C"/>
    <w:rsid w:val="00D70DEE"/>
    <w:rsid w:val="00DB0EBF"/>
    <w:rsid w:val="00DC6632"/>
    <w:rsid w:val="00DD7D4E"/>
    <w:rsid w:val="00E526E4"/>
    <w:rsid w:val="00E53C48"/>
    <w:rsid w:val="00E66D5D"/>
    <w:rsid w:val="00E82DA9"/>
    <w:rsid w:val="00EA205A"/>
    <w:rsid w:val="00EA261D"/>
    <w:rsid w:val="00EA3490"/>
    <w:rsid w:val="00EC4407"/>
    <w:rsid w:val="00ED4AE0"/>
    <w:rsid w:val="00F325DB"/>
    <w:rsid w:val="00F95556"/>
    <w:rsid w:val="00F9705F"/>
    <w:rsid w:val="00FA6FEC"/>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688"/>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7C"/>
    <w:pPr>
      <w:autoSpaceDE w:val="0"/>
      <w:autoSpaceDN w:val="0"/>
      <w:bidi/>
      <w:spacing w:after="200" w:line="360"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7E45DB"/>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Heading5">
    <w:name w:val="heading 5"/>
    <w:aliases w:val="מקור"/>
    <w:basedOn w:val="Normal"/>
    <w:next w:val="Normal"/>
    <w:link w:val="Heading5Char"/>
    <w:autoRedefine/>
    <w:uiPriority w:val="99"/>
    <w:qFormat/>
    <w:rsid w:val="007C5FA6"/>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7E507C"/>
    <w:pPr>
      <w:tabs>
        <w:tab w:val="right" w:pos="4620"/>
      </w:tabs>
      <w:spacing w:before="240"/>
      <w:ind w:left="567"/>
    </w:pPr>
    <w:rPr>
      <w:rFonts w:asciiTheme="minorHAnsi" w:hAnsiTheme="minorHAnsi"/>
      <w:sz w:val="22"/>
    </w:rPr>
  </w:style>
  <w:style w:type="character" w:customStyle="1" w:styleId="QuoteChar">
    <w:name w:val="Quote Char"/>
    <w:link w:val="Quote"/>
    <w:uiPriority w:val="29"/>
    <w:rsid w:val="007E507C"/>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9120C5"/>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7C5FA6"/>
    <w:rPr>
      <w:rFonts w:cs="Narkisim"/>
      <w:szCs w:val="20"/>
    </w:rPr>
  </w:style>
  <w:style w:type="character" w:customStyle="1" w:styleId="Heading4Char">
    <w:name w:val="Heading 4 Char"/>
    <w:link w:val="Heading4"/>
    <w:uiPriority w:val="99"/>
    <w:rsid w:val="009120C5"/>
    <w:rPr>
      <w:rFonts w:asciiTheme="minorBidi" w:hAnsiTheme="minorBidi"/>
      <w:b/>
      <w:bCs/>
      <w:sz w:val="24"/>
      <w:szCs w:val="26"/>
    </w:rPr>
  </w:style>
  <w:style w:type="paragraph" w:styleId="FootnoteText">
    <w:name w:val="footnote text"/>
    <w:aliases w:val="הערת שוליים"/>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כות"/>
    <w:basedOn w:val="Normal"/>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Normal"/>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2">
    <w:name w:val="מחבר"/>
    <w:basedOn w:val="Normal"/>
    <w:uiPriority w:val="99"/>
    <w:rsid w:val="00B103A1"/>
    <w:pPr>
      <w:keepNext/>
      <w:widowControl w:val="0"/>
      <w:spacing w:before="240" w:after="0" w:line="240" w:lineRule="auto"/>
      <w:jc w:val="left"/>
    </w:pPr>
    <w:rPr>
      <w:b/>
      <w:bCs/>
      <w:sz w:val="26"/>
      <w:szCs w:val="26"/>
    </w:rPr>
  </w:style>
  <w:style w:type="paragraph" w:styleId="Footer">
    <w:name w:val="footer"/>
    <w:basedOn w:val="Normal"/>
    <w:link w:val="FooterChar"/>
    <w:uiPriority w:val="99"/>
    <w:unhideWhenUsed/>
    <w:rsid w:val="00CB6C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6C0A"/>
    <w:rPr>
      <w:rFonts w:ascii="Times New Roman" w:hAnsi="Times New Roman" w:cs="Narkisim"/>
      <w:sz w:val="20"/>
      <w:szCs w:val="24"/>
    </w:rPr>
  </w:style>
  <w:style w:type="character" w:customStyle="1" w:styleId="Heading3Char">
    <w:name w:val="Heading 3 Char"/>
    <w:basedOn w:val="DefaultParagraphFont"/>
    <w:link w:val="Heading3"/>
    <w:uiPriority w:val="9"/>
    <w:rsid w:val="007E45D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14201">
      <w:bodyDiv w:val="1"/>
      <w:marLeft w:val="0"/>
      <w:marRight w:val="0"/>
      <w:marTop w:val="0"/>
      <w:marBottom w:val="0"/>
      <w:divBdr>
        <w:top w:val="none" w:sz="0" w:space="0" w:color="auto"/>
        <w:left w:val="none" w:sz="0" w:space="0" w:color="auto"/>
        <w:bottom w:val="none" w:sz="0" w:space="0" w:color="auto"/>
        <w:right w:val="none" w:sz="0" w:space="0" w:color="auto"/>
      </w:divBdr>
    </w:div>
    <w:div w:id="18232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ffice@etzion.org.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930</Words>
  <Characters>5305</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Michael Berkowitz</cp:lastModifiedBy>
  <cp:revision>3</cp:revision>
  <dcterms:created xsi:type="dcterms:W3CDTF">2024-04-10T16:20:00Z</dcterms:created>
  <dcterms:modified xsi:type="dcterms:W3CDTF">2024-04-10T16:24:00Z</dcterms:modified>
</cp:coreProperties>
</file>