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4227" w14:textId="77777777" w:rsidR="00460154" w:rsidRPr="00BE4901" w:rsidRDefault="00460154" w:rsidP="00674379">
      <w:pPr>
        <w:pStyle w:val="Heading1"/>
      </w:pPr>
      <w:r w:rsidRPr="00BE4901">
        <w:rPr>
          <w:rtl/>
        </w:rPr>
        <w:t>קריאת שמע – קריאה וכוונה</w:t>
      </w:r>
    </w:p>
    <w:p w14:paraId="4773AFAE" w14:textId="77777777" w:rsidR="00460154" w:rsidRPr="00BE4901" w:rsidRDefault="00460154" w:rsidP="003B1185">
      <w:pPr>
        <w:pStyle w:val="Heading2"/>
      </w:pPr>
      <w:r w:rsidRPr="00BE4901">
        <w:rPr>
          <w:rtl/>
        </w:rPr>
        <w:t>חובת הכוונה בקריאת שמע</w:t>
      </w:r>
    </w:p>
    <w:p w14:paraId="3C277410" w14:textId="77777777" w:rsidR="00460154" w:rsidRPr="00BE4901" w:rsidRDefault="00460154" w:rsidP="003B1185">
      <w:r w:rsidRPr="00BE4901">
        <w:rPr>
          <w:rtl/>
        </w:rPr>
        <w:t>בשיעור הקודם עסקנו בתוקפה של מצוות קריאת שמע ובמהותה</w:t>
      </w:r>
      <w:r w:rsidRPr="00BE4901">
        <w:t xml:space="preserve"> – </w:t>
      </w:r>
      <w:r w:rsidRPr="00BE4901">
        <w:rPr>
          <w:rtl/>
        </w:rPr>
        <w:t>האם היא דאורייתא או דרבנן והאם היא סניף של מצוות תלמוד תורה או מצווה עצמאית של קבלת עול מלכות שמיים. בשיעור זה נעמיק בכך דרך העיון ביחס בין דיני הקריאה לבין דין הכוונה הקיים בקריאת שמע.</w:t>
      </w:r>
    </w:p>
    <w:p w14:paraId="509C5916" w14:textId="77777777" w:rsidR="00460154" w:rsidRPr="00BE4901" w:rsidRDefault="00460154" w:rsidP="003B1185">
      <w:pPr>
        <w:rPr>
          <w:rtl/>
        </w:rPr>
      </w:pPr>
      <w:r w:rsidRPr="00BE4901">
        <w:rPr>
          <w:rtl/>
        </w:rPr>
        <w:t>מצוות קריאת שמע, כשמה, מתקיימת בקריאת פרשיות "שמע", "והיה אם שמוע" ו"ויאמר"</w:t>
      </w:r>
      <w:r>
        <w:rPr>
          <w:rFonts w:hint="cs"/>
          <w:rtl/>
        </w:rPr>
        <w:t>.</w:t>
      </w:r>
      <w:r w:rsidRPr="00DB3E48">
        <w:rPr>
          <w:bCs/>
          <w:vertAlign w:val="superscript"/>
        </w:rPr>
        <w:footnoteReference w:id="2"/>
      </w:r>
    </w:p>
    <w:p w14:paraId="19128194" w14:textId="77777777" w:rsidR="00460154" w:rsidRPr="00BE4901" w:rsidRDefault="00460154" w:rsidP="003B1185">
      <w:r w:rsidRPr="00BE4901">
        <w:rPr>
          <w:rtl/>
        </w:rPr>
        <w:t>הגדרה זו, שהמצווה ביסודה היא מצוות קריאה, עולה כבר מהמשנה בתחילת המסכת:</w:t>
      </w:r>
    </w:p>
    <w:p w14:paraId="7601C369" w14:textId="7CCBF848" w:rsidR="00460154" w:rsidRPr="00BE4901" w:rsidRDefault="00460154" w:rsidP="003B1185">
      <w:pPr>
        <w:ind w:left="266"/>
      </w:pPr>
      <w:r w:rsidRPr="00BE4901">
        <w:rPr>
          <w:rtl/>
        </w:rPr>
        <w:t>מאימתי קורין את שמע בערבית.</w:t>
      </w:r>
      <w:r w:rsidR="003B1185" w:rsidRPr="000A01DC">
        <w:rPr>
          <w:rtl/>
        </w:rPr>
        <w:ptab w:relativeTo="margin" w:alignment="right" w:leader="none"/>
      </w:r>
      <w:r>
        <w:rPr>
          <w:rFonts w:hint="cs"/>
          <w:sz w:val="20"/>
          <w:szCs w:val="20"/>
          <w:rtl/>
        </w:rPr>
        <w:t>(</w:t>
      </w:r>
      <w:r w:rsidRPr="00BE4901">
        <w:rPr>
          <w:sz w:val="20"/>
          <w:szCs w:val="20"/>
          <w:rtl/>
        </w:rPr>
        <w:t>משנה ברכ</w:t>
      </w:r>
      <w:r w:rsidRPr="003B1185">
        <w:rPr>
          <w:rFonts w:hint="cs"/>
          <w:sz w:val="20"/>
          <w:szCs w:val="20"/>
          <w:rtl/>
        </w:rPr>
        <w:t>ות א, א)</w:t>
      </w:r>
    </w:p>
    <w:p w14:paraId="3CB27946" w14:textId="54200E9B" w:rsidR="00460154" w:rsidRPr="00BE4901" w:rsidRDefault="00460154" w:rsidP="003B1185">
      <w:pPr>
        <w:ind w:left="266"/>
        <w:rPr>
          <w:rtl/>
        </w:rPr>
      </w:pPr>
      <w:r w:rsidRPr="00BE4901">
        <w:rPr>
          <w:rtl/>
        </w:rPr>
        <w:t>מאימתי קורין את שמע בשחרית.</w:t>
      </w:r>
      <w:r w:rsidR="003B1185" w:rsidRPr="000A01DC">
        <w:rPr>
          <w:rtl/>
        </w:rPr>
        <w:ptab w:relativeTo="margin" w:alignment="right" w:leader="none"/>
      </w:r>
      <w:r>
        <w:rPr>
          <w:rFonts w:hint="cs"/>
          <w:sz w:val="20"/>
          <w:szCs w:val="20"/>
          <w:rtl/>
        </w:rPr>
        <w:t>(</w:t>
      </w:r>
      <w:r w:rsidRPr="00BE4901">
        <w:rPr>
          <w:sz w:val="20"/>
          <w:szCs w:val="20"/>
          <w:rtl/>
        </w:rPr>
        <w:t>משנה ברכ</w:t>
      </w:r>
      <w:r>
        <w:rPr>
          <w:rFonts w:hint="cs"/>
          <w:sz w:val="20"/>
          <w:szCs w:val="20"/>
          <w:rtl/>
        </w:rPr>
        <w:t>ות א, ב)</w:t>
      </w:r>
    </w:p>
    <w:p w14:paraId="25E33C16" w14:textId="77777777" w:rsidR="00460154" w:rsidRPr="00BE4901" w:rsidRDefault="00460154" w:rsidP="003B1185">
      <w:r w:rsidRPr="00BE4901">
        <w:rPr>
          <w:rtl/>
        </w:rPr>
        <w:t>וכן עולה מהמשנה המפרטת את דיני הקריאה:</w:t>
      </w:r>
    </w:p>
    <w:p w14:paraId="1984E0AD" w14:textId="5A2CEE89" w:rsidR="00460154" w:rsidRPr="00BE4901" w:rsidRDefault="00460154" w:rsidP="008945F9">
      <w:pPr>
        <w:ind w:left="266"/>
        <w:rPr>
          <w:sz w:val="20"/>
          <w:szCs w:val="20"/>
        </w:rPr>
      </w:pPr>
      <w:r w:rsidRPr="00BE4901">
        <w:rPr>
          <w:rtl/>
        </w:rPr>
        <w:t>הקורא את שמע ולא השמיע לאזנו</w:t>
      </w:r>
      <w:r>
        <w:t xml:space="preserve"> </w:t>
      </w:r>
      <w:r w:rsidRPr="00BE4901">
        <w:t xml:space="preserve">– </w:t>
      </w:r>
      <w:r w:rsidRPr="00BE4901">
        <w:rPr>
          <w:rtl/>
        </w:rPr>
        <w:t>יצא; רבי יוסי אומר: לא יצא. קרא ולא דקדק באותיותיה</w:t>
      </w:r>
      <w:r>
        <w:rPr>
          <w:rFonts w:hint="cs"/>
          <w:rtl/>
        </w:rPr>
        <w:t xml:space="preserve"> </w:t>
      </w:r>
      <w:r>
        <w:rPr>
          <w:rtl/>
        </w:rPr>
        <w:t>–</w:t>
      </w:r>
      <w:r>
        <w:rPr>
          <w:rFonts w:hint="cs"/>
          <w:rtl/>
        </w:rPr>
        <w:t xml:space="preserve"> </w:t>
      </w:r>
      <w:r w:rsidRPr="00BE4901">
        <w:rPr>
          <w:rtl/>
        </w:rPr>
        <w:t>רבי יוסי אומר: יצ</w:t>
      </w:r>
      <w:r>
        <w:rPr>
          <w:rFonts w:hint="cs"/>
          <w:rtl/>
        </w:rPr>
        <w:t xml:space="preserve">א; רבי יהודה </w:t>
      </w:r>
      <w:r w:rsidRPr="00BE4901">
        <w:rPr>
          <w:rtl/>
        </w:rPr>
        <w:t>אומר: לא יצא. הקור</w:t>
      </w:r>
      <w:r>
        <w:rPr>
          <w:rFonts w:hint="cs"/>
          <w:rtl/>
        </w:rPr>
        <w:t xml:space="preserve">א למפרע </w:t>
      </w:r>
      <w:r>
        <w:rPr>
          <w:rtl/>
        </w:rPr>
        <w:t>–</w:t>
      </w:r>
      <w:r>
        <w:rPr>
          <w:rFonts w:hint="cs"/>
          <w:rtl/>
        </w:rPr>
        <w:t xml:space="preserve"> </w:t>
      </w:r>
      <w:r w:rsidRPr="00BE4901">
        <w:rPr>
          <w:rtl/>
        </w:rPr>
        <w:t>לא יצא, קרא וט</w:t>
      </w:r>
      <w:r>
        <w:rPr>
          <w:rFonts w:hint="cs"/>
          <w:rtl/>
        </w:rPr>
        <w:t xml:space="preserve">עה </w:t>
      </w:r>
      <w:r>
        <w:rPr>
          <w:rtl/>
        </w:rPr>
        <w:t>–</w:t>
      </w:r>
      <w:r>
        <w:rPr>
          <w:rFonts w:hint="cs"/>
          <w:rtl/>
        </w:rPr>
        <w:t xml:space="preserve"> יחזור ל</w:t>
      </w:r>
      <w:r w:rsidRPr="00BE4901">
        <w:rPr>
          <w:rtl/>
        </w:rPr>
        <w:t>מקום שטעה.</w:t>
      </w:r>
      <w:r w:rsidR="008945F9" w:rsidRPr="000A01DC">
        <w:rPr>
          <w:rtl/>
        </w:rPr>
        <w:ptab w:relativeTo="margin" w:alignment="right" w:leader="none"/>
      </w:r>
      <w:r>
        <w:rPr>
          <w:rFonts w:hint="cs"/>
          <w:sz w:val="20"/>
          <w:szCs w:val="20"/>
          <w:rtl/>
        </w:rPr>
        <w:t>(</w:t>
      </w:r>
      <w:r w:rsidRPr="00BE4901">
        <w:rPr>
          <w:sz w:val="20"/>
          <w:szCs w:val="20"/>
          <w:rtl/>
        </w:rPr>
        <w:t xml:space="preserve">משנה ברכות </w:t>
      </w:r>
      <w:r>
        <w:rPr>
          <w:rFonts w:hint="cs"/>
          <w:sz w:val="20"/>
          <w:szCs w:val="20"/>
          <w:rtl/>
        </w:rPr>
        <w:t>ב, ג)</w:t>
      </w:r>
    </w:p>
    <w:p w14:paraId="19AC07AB" w14:textId="77777777" w:rsidR="00460154" w:rsidRPr="00BE4901" w:rsidRDefault="00460154" w:rsidP="008945F9">
      <w:r w:rsidRPr="00BE4901">
        <w:rPr>
          <w:rtl/>
        </w:rPr>
        <w:t>רק במשנה בתחילת הפרק השני נזכר עניין הכוונה:</w:t>
      </w:r>
    </w:p>
    <w:p w14:paraId="77AEF526" w14:textId="44C1CAD9" w:rsidR="00460154" w:rsidRPr="00BE4901" w:rsidRDefault="00460154" w:rsidP="008945F9">
      <w:pPr>
        <w:ind w:left="266"/>
      </w:pPr>
      <w:r w:rsidRPr="00BE4901">
        <w:rPr>
          <w:rtl/>
        </w:rPr>
        <w:t>היה קורא בתורה והגיע זמן המקרא, אם כוון לב</w:t>
      </w:r>
      <w:r>
        <w:rPr>
          <w:rFonts w:hint="cs"/>
          <w:rtl/>
        </w:rPr>
        <w:t xml:space="preserve">ו </w:t>
      </w:r>
      <w:r>
        <w:rPr>
          <w:rtl/>
        </w:rPr>
        <w:t>–</w:t>
      </w:r>
      <w:r>
        <w:rPr>
          <w:rFonts w:hint="cs"/>
          <w:rtl/>
        </w:rPr>
        <w:t xml:space="preserve"> יצא.</w:t>
      </w:r>
      <w:r w:rsidR="008945F9" w:rsidRPr="000A01DC">
        <w:rPr>
          <w:rtl/>
        </w:rPr>
        <w:ptab w:relativeTo="margin" w:alignment="right" w:leader="none"/>
      </w:r>
      <w:r>
        <w:rPr>
          <w:rFonts w:hint="cs"/>
          <w:sz w:val="20"/>
          <w:szCs w:val="20"/>
          <w:rtl/>
        </w:rPr>
        <w:t>(משנה ברכות ב, א)</w:t>
      </w:r>
    </w:p>
    <w:p w14:paraId="0DFF9E55" w14:textId="77777777" w:rsidR="00460154" w:rsidRPr="00BE4901" w:rsidRDefault="00460154" w:rsidP="008945F9">
      <w:r w:rsidRPr="00BE4901">
        <w:rPr>
          <w:rtl/>
        </w:rPr>
        <w:t>אומנם אין ללמוד מכך על גדר מצוות קריאת שמע, שכן מדברי הגמרא עולה שזהו דין כללי במצוות:</w:t>
      </w:r>
    </w:p>
    <w:p w14:paraId="2269C92B" w14:textId="7446E4DD" w:rsidR="00460154" w:rsidRPr="00BE4901" w:rsidRDefault="00460154" w:rsidP="008945F9">
      <w:pPr>
        <w:ind w:left="266"/>
      </w:pPr>
      <w:r w:rsidRPr="00BE4901">
        <w:rPr>
          <w:rtl/>
        </w:rPr>
        <w:t>שמע מינה מצות צריכות כוונה</w:t>
      </w:r>
      <w:r w:rsidRPr="00DB3E48">
        <w:rPr>
          <w:bCs/>
        </w:rPr>
        <w:t>?</w:t>
      </w:r>
      <w:r w:rsidRPr="00DB3E48">
        <w:rPr>
          <w:bCs/>
          <w:rtl/>
        </w:rPr>
        <w:t xml:space="preserve"> </w:t>
      </w:r>
      <w:r w:rsidRPr="00BE4901">
        <w:rPr>
          <w:rtl/>
        </w:rPr>
        <w:t xml:space="preserve">מאי אם כוון </w:t>
      </w:r>
      <w:r>
        <w:rPr>
          <w:rFonts w:hint="cs"/>
          <w:rtl/>
        </w:rPr>
        <w:t xml:space="preserve">לבו </w:t>
      </w:r>
      <w:r>
        <w:rPr>
          <w:rtl/>
        </w:rPr>
        <w:t>–</w:t>
      </w:r>
      <w:r>
        <w:rPr>
          <w:rFonts w:hint="cs"/>
          <w:rtl/>
        </w:rPr>
        <w:t xml:space="preserve"> </w:t>
      </w:r>
      <w:r w:rsidRPr="00BE4901">
        <w:t xml:space="preserve"> </w:t>
      </w:r>
      <w:r w:rsidRPr="00BE4901">
        <w:rPr>
          <w:rtl/>
        </w:rPr>
        <w:t>לקרות. לקרות? והא קא קרי! בקורא להגיה.</w:t>
      </w:r>
      <w:r w:rsidR="008945F9" w:rsidRPr="000A01DC">
        <w:rPr>
          <w:rtl/>
        </w:rPr>
        <w:ptab w:relativeTo="margin" w:alignment="right" w:leader="none"/>
      </w:r>
      <w:r w:rsidR="008945F9" w:rsidRPr="000A01DC">
        <w:rPr>
          <w:rtl/>
        </w:rPr>
        <w:ptab w:relativeTo="margin" w:alignment="right" w:leader="none"/>
      </w:r>
      <w:r>
        <w:rPr>
          <w:rFonts w:hint="cs"/>
          <w:sz w:val="20"/>
          <w:szCs w:val="20"/>
          <w:rtl/>
        </w:rPr>
        <w:t>(ברכות יג.)</w:t>
      </w:r>
    </w:p>
    <w:p w14:paraId="4F57497E" w14:textId="77777777" w:rsidR="00460154" w:rsidRPr="00BE4901" w:rsidRDefault="00460154" w:rsidP="008945F9">
      <w:r w:rsidRPr="00BE4901">
        <w:rPr>
          <w:rtl/>
        </w:rPr>
        <w:t>מדברי הגמרא עולה שייתכנו שני ביאורים לדין המשנה שקריאת שמע צריכה כוונה: הואיל ו'מצוות צריכות כוונה' או</w:t>
      </w:r>
      <w:r w:rsidRPr="00BE4901">
        <w:t xml:space="preserve"> </w:t>
      </w:r>
      <w:r w:rsidRPr="00BE4901">
        <w:rPr>
          <w:rtl/>
        </w:rPr>
        <w:t>ככוונה למעשה קריאה. כך או כך, אין זה דין ייחודי לקריאת שמע.</w:t>
      </w:r>
    </w:p>
    <w:p w14:paraId="62AB3C91" w14:textId="77777777" w:rsidR="00460154" w:rsidRPr="00BE4901" w:rsidRDefault="00460154" w:rsidP="008945F9">
      <w:r w:rsidRPr="00BE4901">
        <w:rPr>
          <w:rtl/>
        </w:rPr>
        <w:t>עם זאת, הגמרא מביאה ברייתא שממנה משתמע שקיים דין כוונה המיוחד לקריאת שמע:</w:t>
      </w:r>
    </w:p>
    <w:p w14:paraId="5E3F5FB0" w14:textId="01FE7981" w:rsidR="00460154" w:rsidRPr="00BE4901" w:rsidRDefault="00460154" w:rsidP="00F918BB">
      <w:pPr>
        <w:ind w:left="266"/>
        <w:rPr>
          <w:rtl/>
        </w:rPr>
      </w:pPr>
      <w:r w:rsidRPr="00BE4901">
        <w:t>'</w:t>
      </w:r>
      <w:r w:rsidRPr="00BE4901">
        <w:rPr>
          <w:rtl/>
        </w:rPr>
        <w:t>הדברים</w:t>
      </w:r>
      <w:r w:rsidRPr="00BE4901">
        <w:t>...</w:t>
      </w:r>
      <w:r w:rsidRPr="00BE4901">
        <w:rPr>
          <w:rtl/>
        </w:rPr>
        <w:t xml:space="preserve"> על לבבך</w:t>
      </w:r>
      <w:r>
        <w:rPr>
          <w:rFonts w:hint="cs"/>
          <w:rtl/>
        </w:rPr>
        <w:t xml:space="preserve">' </w:t>
      </w:r>
      <w:r>
        <w:rPr>
          <w:rtl/>
        </w:rPr>
        <w:t>–</w:t>
      </w:r>
      <w:r>
        <w:rPr>
          <w:rFonts w:hint="cs"/>
          <w:rtl/>
        </w:rPr>
        <w:t xml:space="preserve"> </w:t>
      </w:r>
      <w:r w:rsidRPr="00BE4901">
        <w:rPr>
          <w:rtl/>
        </w:rPr>
        <w:t>יכול תהא כל הפרשה צריכה כוונה</w:t>
      </w:r>
      <w:r w:rsidRPr="00BE4901">
        <w:t>?</w:t>
      </w:r>
      <w:r w:rsidRPr="00BE4901">
        <w:rPr>
          <w:rtl/>
        </w:rPr>
        <w:t xml:space="preserve"> תלמוד לומר</w:t>
      </w:r>
      <w:r w:rsidRPr="00BE4901">
        <w:t xml:space="preserve"> </w:t>
      </w:r>
      <w:r>
        <w:t xml:space="preserve"> </w:t>
      </w:r>
      <w:r>
        <w:rPr>
          <w:rFonts w:hint="cs"/>
          <w:rtl/>
        </w:rPr>
        <w:t xml:space="preserve">'האלה' </w:t>
      </w:r>
      <w:r>
        <w:rPr>
          <w:rtl/>
        </w:rPr>
        <w:t>–</w:t>
      </w:r>
      <w:r>
        <w:rPr>
          <w:rFonts w:hint="cs"/>
          <w:rtl/>
        </w:rPr>
        <w:t xml:space="preserve"> ע</w:t>
      </w:r>
      <w:r w:rsidRPr="00BE4901">
        <w:rPr>
          <w:rtl/>
        </w:rPr>
        <w:t>ד כאן צריכה כוונה, מכאן ואילך אין צריכה כוונה, דברי רבי אליעזר</w:t>
      </w:r>
      <w:r w:rsidRPr="00BE4901">
        <w:t>.</w:t>
      </w:r>
      <w:r w:rsidRPr="00BE4901">
        <w:rPr>
          <w:rtl/>
        </w:rPr>
        <w:t xml:space="preserve"> אמר ליה רבי עקיבא: הרי הוא אומר </w:t>
      </w:r>
      <w:r w:rsidRPr="00BE4901">
        <w:t>'</w:t>
      </w:r>
      <w:r w:rsidRPr="00BE4901">
        <w:rPr>
          <w:rtl/>
        </w:rPr>
        <w:t>אשר אנכי מצוך היום על לבב</w:t>
      </w:r>
      <w:r>
        <w:rPr>
          <w:rFonts w:hint="cs"/>
          <w:rtl/>
        </w:rPr>
        <w:t xml:space="preserve">ך' </w:t>
      </w:r>
      <w:r>
        <w:rPr>
          <w:rtl/>
        </w:rPr>
        <w:t>–</w:t>
      </w:r>
      <w:r>
        <w:rPr>
          <w:rFonts w:hint="cs"/>
          <w:rtl/>
        </w:rPr>
        <w:t xml:space="preserve"> </w:t>
      </w:r>
      <w:r w:rsidRPr="00BE4901">
        <w:rPr>
          <w:rtl/>
        </w:rPr>
        <w:t>מכאן אתה למד שכל הפרשה כולה צריכה כוונ</w:t>
      </w:r>
      <w:r>
        <w:rPr>
          <w:rFonts w:hint="cs"/>
          <w:rtl/>
        </w:rPr>
        <w:t>ה.</w:t>
      </w:r>
      <w:r w:rsidR="00F918BB" w:rsidRPr="000A01DC">
        <w:rPr>
          <w:rtl/>
        </w:rPr>
        <w:ptab w:relativeTo="margin" w:alignment="right" w:leader="none"/>
      </w:r>
      <w:r>
        <w:rPr>
          <w:rFonts w:hint="cs"/>
          <w:sz w:val="20"/>
          <w:szCs w:val="20"/>
          <w:rtl/>
        </w:rPr>
        <w:t>(</w:t>
      </w:r>
      <w:r w:rsidRPr="00BE4901">
        <w:rPr>
          <w:sz w:val="20"/>
          <w:szCs w:val="20"/>
          <w:rtl/>
        </w:rPr>
        <w:t>שם</w:t>
      </w:r>
      <w:r>
        <w:rPr>
          <w:rFonts w:hint="cs"/>
          <w:sz w:val="20"/>
          <w:szCs w:val="20"/>
          <w:rtl/>
        </w:rPr>
        <w:t>)</w:t>
      </w:r>
    </w:p>
    <w:p w14:paraId="4046DB0C" w14:textId="77777777" w:rsidR="00460154" w:rsidRPr="00BE4901" w:rsidRDefault="00460154" w:rsidP="00F918BB">
      <w:r w:rsidRPr="00BE4901">
        <w:rPr>
          <w:rtl/>
        </w:rPr>
        <w:t>מדברי הברייתא עולה שקיימת כוונה הנדרשת רק בחלק מקריאת שמע – לרבי אליעזר עד "על לבבך" ולרבי עקיבא בפרק הראשון</w:t>
      </w:r>
      <w:r>
        <w:rPr>
          <w:rFonts w:hint="cs"/>
          <w:rtl/>
        </w:rPr>
        <w:t>.</w:t>
      </w:r>
      <w:r w:rsidRPr="005F2C6E">
        <w:rPr>
          <w:bCs/>
          <w:vertAlign w:val="superscript"/>
        </w:rPr>
        <w:footnoteReference w:id="3"/>
      </w:r>
    </w:p>
    <w:p w14:paraId="794E3BB7" w14:textId="77777777" w:rsidR="00460154" w:rsidRPr="00BE4901" w:rsidRDefault="00460154" w:rsidP="00F918BB">
      <w:r w:rsidRPr="00BE4901">
        <w:rPr>
          <w:rtl/>
        </w:rPr>
        <w:t>מכך לומדים הראשונים שמלבד דין הכוונה הקיים בכל המצוות – כדי שלא יהיה 'מתעסק' או מדין 'מצוות צריכות כוונה' – בקריאת שמע קיים דין נוסף של כוונה</w:t>
      </w:r>
      <w:r w:rsidRPr="00BE4901">
        <w:t>.</w:t>
      </w:r>
      <w:r w:rsidRPr="00BE4901">
        <w:rPr>
          <w:rtl/>
        </w:rPr>
        <w:t xml:space="preserve"> אלו דברי הריטב"א:</w:t>
      </w:r>
    </w:p>
    <w:p w14:paraId="4955CBF3" w14:textId="30548E21" w:rsidR="00460154" w:rsidRPr="00BE4901" w:rsidRDefault="00460154" w:rsidP="00EB7225">
      <w:pPr>
        <w:ind w:left="266"/>
      </w:pPr>
      <w:r w:rsidRPr="00BE4901">
        <w:rPr>
          <w:rtl/>
        </w:rPr>
        <w:t>ויש אומרים דשלשה דיני כונות הן</w:t>
      </w:r>
      <w:r w:rsidRPr="00BE4901">
        <w:t>,</w:t>
      </w:r>
      <w:r w:rsidRPr="00BE4901">
        <w:rPr>
          <w:rtl/>
        </w:rPr>
        <w:t xml:space="preserve"> אחד בקריאת שמע לחוד ושנים בכל המצות. האחת הוא דצריך כונה לדבר</w:t>
      </w:r>
      <w:r w:rsidRPr="00BE4901">
        <w:t>,</w:t>
      </w:r>
      <w:r w:rsidRPr="00BE4901">
        <w:rPr>
          <w:rtl/>
        </w:rPr>
        <w:t xml:space="preserve"> שלא יהא כמתעסק בעלמא ואין דעתו לאותו דבר כלל</w:t>
      </w:r>
      <w:r w:rsidRPr="00BE4901">
        <w:t>,</w:t>
      </w:r>
      <w:r w:rsidRPr="00BE4901">
        <w:rPr>
          <w:rtl/>
        </w:rPr>
        <w:t xml:space="preserve"> ודכותה לגבי תקיעת שופר שהוא מתעסק והקול יוצא מעצמו ואינו מתכוין לשם תקיעה כלל</w:t>
      </w:r>
      <w:r w:rsidRPr="00BE4901">
        <w:t>,</w:t>
      </w:r>
      <w:r w:rsidRPr="00BE4901">
        <w:rPr>
          <w:rtl/>
        </w:rPr>
        <w:t xml:space="preserve"> וזו הכונה צריכה בכל המצות. והכונה השנית היא לצאת ידי חובת המצוה</w:t>
      </w:r>
      <w:r w:rsidRPr="00BE4901">
        <w:t>,</w:t>
      </w:r>
      <w:r w:rsidRPr="00BE4901">
        <w:rPr>
          <w:rtl/>
        </w:rPr>
        <w:t xml:space="preserve"> וזו שייכא בכל המצות</w:t>
      </w:r>
      <w:r w:rsidRPr="00BE4901">
        <w:t>,</w:t>
      </w:r>
      <w:r w:rsidRPr="00BE4901">
        <w:rPr>
          <w:rtl/>
        </w:rPr>
        <w:t xml:space="preserve"> ובהא הוא המחלוקת</w:t>
      </w:r>
      <w:r w:rsidRPr="00BE4901">
        <w:t>,</w:t>
      </w:r>
      <w:r w:rsidRPr="00BE4901">
        <w:rPr>
          <w:rtl/>
        </w:rPr>
        <w:t xml:space="preserve"> וקיימא לן כמאן דאמר דאין צריך כונה לצאת ידי חובת מצוה. והשלישית שיכוין לבו בכל תיבה ותיבה ויעיין בענין ויבין אותו</w:t>
      </w:r>
      <w:r w:rsidRPr="00BE4901">
        <w:t>,</w:t>
      </w:r>
      <w:r w:rsidRPr="00BE4901">
        <w:rPr>
          <w:rtl/>
        </w:rPr>
        <w:t xml:space="preserve"> וזו היא בקריאת שמע לחוד</w:t>
      </w:r>
      <w:r w:rsidRPr="00BE4901">
        <w:t>,</w:t>
      </w:r>
      <w:r w:rsidRPr="00BE4901">
        <w:rPr>
          <w:rtl/>
        </w:rPr>
        <w:t xml:space="preserve"> ועל זו הכונה נחלקו לקמן עד היכן צריך כונה.</w:t>
      </w:r>
      <w:r w:rsidR="00F918BB" w:rsidRPr="000A01DC">
        <w:rPr>
          <w:rtl/>
        </w:rPr>
        <w:ptab w:relativeTo="margin" w:alignment="right" w:leader="none"/>
      </w:r>
      <w:r w:rsidR="00F918BB" w:rsidRPr="000A01DC">
        <w:rPr>
          <w:rtl/>
        </w:rPr>
        <w:ptab w:relativeTo="margin" w:alignment="right" w:leader="none"/>
      </w:r>
      <w:r>
        <w:rPr>
          <w:rFonts w:hint="cs"/>
          <w:sz w:val="20"/>
          <w:szCs w:val="20"/>
          <w:rtl/>
        </w:rPr>
        <w:t>(</w:t>
      </w:r>
      <w:r w:rsidRPr="00BE4901">
        <w:rPr>
          <w:sz w:val="20"/>
          <w:szCs w:val="20"/>
          <w:rtl/>
        </w:rPr>
        <w:t>ריטב"א ברכות יג. ד"ה גמרא בקורא</w:t>
      </w:r>
      <w:r>
        <w:rPr>
          <w:rFonts w:hint="cs"/>
          <w:rtl/>
        </w:rPr>
        <w:t>)</w:t>
      </w:r>
    </w:p>
    <w:p w14:paraId="7B7DF57A" w14:textId="77777777" w:rsidR="00460154" w:rsidRPr="00BE4901" w:rsidRDefault="00460154" w:rsidP="00EB7225">
      <w:r w:rsidRPr="00BE4901">
        <w:rPr>
          <w:rtl/>
        </w:rPr>
        <w:t>מה טיבה של חובה זו, כוונת המילים</w:t>
      </w:r>
      <w:r>
        <w:rPr>
          <w:rFonts w:hint="cs"/>
          <w:rtl/>
        </w:rPr>
        <w:t>,</w:t>
      </w:r>
      <w:r w:rsidRPr="00C42600">
        <w:rPr>
          <w:bCs/>
          <w:vertAlign w:val="superscript"/>
        </w:rPr>
        <w:footnoteReference w:id="4"/>
      </w:r>
      <w:r w:rsidRPr="00C42600">
        <w:rPr>
          <w:bCs/>
          <w:rtl/>
        </w:rPr>
        <w:t xml:space="preserve"> </w:t>
      </w:r>
      <w:r w:rsidRPr="00BE4901">
        <w:rPr>
          <w:rtl/>
        </w:rPr>
        <w:t>הקיימת רק במצוות קריאת שמע? נראה שעולה מכאן הגדרה עקרונית ביחס למצוות קריאת שמע – המצווה אינה מסתכמת במעשה הקריאה אלא בקבלת עול מלכות שמיים. בשל כך לא די בקריאת הפרשה, והקורא צריך לכוון את ליבו לתכנים שהוא קורא ולקבל על עצמו עול מלכות שמיים בשעת קריאת הפרשייה.</w:t>
      </w:r>
    </w:p>
    <w:p w14:paraId="2A3F3F1C" w14:textId="77777777" w:rsidR="00460154" w:rsidRPr="00BE4901" w:rsidRDefault="00460154" w:rsidP="00EB7225">
      <w:r w:rsidRPr="00BE4901">
        <w:rPr>
          <w:rtl/>
        </w:rPr>
        <w:t>הגדרה זו מפורשת בדברי היראים:</w:t>
      </w:r>
    </w:p>
    <w:p w14:paraId="5764DD54" w14:textId="71B0463C" w:rsidR="00460154" w:rsidRPr="00BE4901" w:rsidRDefault="00460154" w:rsidP="00EB7225">
      <w:pPr>
        <w:ind w:left="266"/>
      </w:pPr>
      <w:bookmarkStart w:id="0" w:name="_1fob9te" w:colFirst="0" w:colLast="0"/>
      <w:bookmarkEnd w:id="0"/>
      <w:r w:rsidRPr="00BE4901">
        <w:rPr>
          <w:rtl/>
        </w:rPr>
        <w:t>את ה' אלהיך תירא ותעבוד ותקבל מלכותו ועולו שחרית וערבית</w:t>
      </w:r>
      <w:r w:rsidRPr="00BE4901">
        <w:t>,</w:t>
      </w:r>
      <w:r w:rsidRPr="00BE4901">
        <w:rPr>
          <w:rtl/>
        </w:rPr>
        <w:t xml:space="preserve"> דכתיב בפ</w:t>
      </w:r>
      <w:r>
        <w:rPr>
          <w:rFonts w:hint="cs"/>
          <w:rtl/>
        </w:rPr>
        <w:t>רשת</w:t>
      </w:r>
      <w:r w:rsidRPr="00BE4901">
        <w:rPr>
          <w:rtl/>
        </w:rPr>
        <w:t xml:space="preserve"> ואתחנן </w:t>
      </w:r>
      <w:r w:rsidRPr="00BE4901">
        <w:t>'</w:t>
      </w:r>
      <w:r w:rsidRPr="00BE4901">
        <w:rPr>
          <w:rtl/>
        </w:rPr>
        <w:t>שמע ישראל ה' אלהינו ה' א</w:t>
      </w:r>
      <w:r>
        <w:rPr>
          <w:rFonts w:hint="cs"/>
          <w:rtl/>
        </w:rPr>
        <w:t>חד'.</w:t>
      </w:r>
      <w:r w:rsidR="00EB7225" w:rsidRPr="000A01DC">
        <w:rPr>
          <w:rtl/>
        </w:rPr>
        <w:ptab w:relativeTo="margin" w:alignment="right" w:leader="none"/>
      </w:r>
      <w:r>
        <w:rPr>
          <w:rFonts w:hint="cs"/>
          <w:sz w:val="20"/>
          <w:szCs w:val="20"/>
          <w:rtl/>
        </w:rPr>
        <w:t>(</w:t>
      </w:r>
      <w:r w:rsidRPr="00BE4901">
        <w:rPr>
          <w:sz w:val="20"/>
          <w:szCs w:val="20"/>
          <w:rtl/>
        </w:rPr>
        <w:t>ספר יראים סימן רנב</w:t>
      </w:r>
      <w:r>
        <w:rPr>
          <w:rFonts w:hint="cs"/>
          <w:rtl/>
        </w:rPr>
        <w:t>)</w:t>
      </w:r>
    </w:p>
    <w:p w14:paraId="538BB648" w14:textId="77777777" w:rsidR="00460154" w:rsidRDefault="00460154" w:rsidP="00EB7225">
      <w:pPr>
        <w:rPr>
          <w:rtl/>
        </w:rPr>
      </w:pPr>
      <w:r w:rsidRPr="00BE4901">
        <w:rPr>
          <w:rtl/>
        </w:rPr>
        <w:lastRenderedPageBreak/>
        <w:t>מבואר בדבריו שגדר המצווה הוא קבלת עול מלכות שמיים</w:t>
      </w:r>
      <w:r>
        <w:rPr>
          <w:rFonts w:hint="cs"/>
          <w:rtl/>
        </w:rPr>
        <w:t>.</w:t>
      </w:r>
    </w:p>
    <w:p w14:paraId="31DCCF09" w14:textId="77777777" w:rsidR="00460154" w:rsidRPr="00BE4901" w:rsidRDefault="00460154" w:rsidP="00EB7225">
      <w:r>
        <w:rPr>
          <w:rFonts w:hint="cs"/>
          <w:rtl/>
        </w:rPr>
        <w:t>ביטוי נוסף לתפיסתו זו של היראים בגדר מצוות קריאת שמע, עולה משיטתו הייחודית ש</w:t>
      </w:r>
      <w:r w:rsidRPr="00BE4901">
        <w:rPr>
          <w:rtl/>
        </w:rPr>
        <w:t>השוכח לקרוא קריאת שמע עובר באיסור "השמר לך פן תשכח את ה' א-להיך":</w:t>
      </w:r>
    </w:p>
    <w:p w14:paraId="7EFF4ECD" w14:textId="4E742785" w:rsidR="00460154" w:rsidRDefault="00460154" w:rsidP="00EB7225">
      <w:pPr>
        <w:ind w:left="266"/>
        <w:rPr>
          <w:sz w:val="20"/>
          <w:szCs w:val="20"/>
          <w:rtl/>
        </w:rPr>
      </w:pPr>
      <w:r w:rsidRPr="00BE4901">
        <w:rPr>
          <w:rtl/>
        </w:rPr>
        <w:t xml:space="preserve">השמר לך פן תשכח את ה'. כתוב בפ' ואתחנן </w:t>
      </w:r>
      <w:r w:rsidRPr="00BE4901">
        <w:t>'</w:t>
      </w:r>
      <w:r w:rsidRPr="00BE4901">
        <w:rPr>
          <w:rtl/>
        </w:rPr>
        <w:t xml:space="preserve">השמר לך פן תשכח את </w:t>
      </w:r>
      <w:r>
        <w:rPr>
          <w:rFonts w:hint="cs"/>
          <w:rtl/>
        </w:rPr>
        <w:t>ה</w:t>
      </w:r>
      <w:r w:rsidRPr="00BE4901">
        <w:rPr>
          <w:rtl/>
        </w:rPr>
        <w:t>'</w:t>
      </w:r>
      <w:r w:rsidRPr="00BE4901">
        <w:t>'</w:t>
      </w:r>
      <w:r>
        <w:rPr>
          <w:rFonts w:hint="cs"/>
          <w:rtl/>
        </w:rPr>
        <w:t>,</w:t>
      </w:r>
      <w:r w:rsidRPr="00BE4901">
        <w:rPr>
          <w:rtl/>
        </w:rPr>
        <w:t xml:space="preserve"> פי</w:t>
      </w:r>
      <w:r>
        <w:rPr>
          <w:rFonts w:hint="cs"/>
          <w:rtl/>
        </w:rPr>
        <w:t>רוש</w:t>
      </w:r>
      <w:r w:rsidRPr="00BE4901">
        <w:rPr>
          <w:rtl/>
        </w:rPr>
        <w:t xml:space="preserve"> שלא ישכח אדם מלקבל עול מלכות שמים עליו ויקרא ק</w:t>
      </w:r>
      <w:r>
        <w:rPr>
          <w:rFonts w:hint="cs"/>
          <w:rtl/>
        </w:rPr>
        <w:t>ריאת שמע</w:t>
      </w:r>
      <w:r w:rsidRPr="00BE4901">
        <w:rPr>
          <w:rtl/>
        </w:rPr>
        <w:t xml:space="preserve"> בכל יום</w:t>
      </w:r>
      <w:r>
        <w:rPr>
          <w:rFonts w:hint="cs"/>
          <w:rtl/>
        </w:rPr>
        <w:t>.</w:t>
      </w:r>
      <w:r w:rsidR="00EB7225" w:rsidRPr="000A01DC">
        <w:rPr>
          <w:rtl/>
        </w:rPr>
        <w:ptab w:relativeTo="margin" w:alignment="right" w:leader="none"/>
      </w:r>
      <w:r>
        <w:rPr>
          <w:rFonts w:hint="cs"/>
          <w:sz w:val="20"/>
          <w:szCs w:val="20"/>
          <w:rtl/>
        </w:rPr>
        <w:t>(</w:t>
      </w:r>
      <w:r w:rsidRPr="00BE4901">
        <w:rPr>
          <w:sz w:val="20"/>
          <w:szCs w:val="20"/>
          <w:rtl/>
        </w:rPr>
        <w:t>ספר יראים סימן שס</w:t>
      </w:r>
      <w:r>
        <w:rPr>
          <w:rFonts w:hint="cs"/>
          <w:sz w:val="20"/>
          <w:szCs w:val="20"/>
          <w:rtl/>
        </w:rPr>
        <w:t>)</w:t>
      </w:r>
    </w:p>
    <w:p w14:paraId="5E17C0EF" w14:textId="094B105A" w:rsidR="00460154" w:rsidRPr="00BE4901" w:rsidRDefault="00460154" w:rsidP="00EB7225">
      <w:pPr>
        <w:rPr>
          <w:rtl/>
        </w:rPr>
      </w:pPr>
      <w:r>
        <w:rPr>
          <w:rFonts w:hint="cs"/>
          <w:rtl/>
        </w:rPr>
        <w:t xml:space="preserve">גדריו של איסור זה אינם ברורים דיים </w:t>
      </w:r>
      <w:r>
        <w:rPr>
          <w:rtl/>
        </w:rPr>
        <w:t>–</w:t>
      </w:r>
      <w:r>
        <w:rPr>
          <w:rFonts w:hint="cs"/>
          <w:rtl/>
        </w:rPr>
        <w:t xml:space="preserve"> האם האיסור אמור </w:t>
      </w:r>
      <w:r w:rsidR="001C33A0">
        <w:rPr>
          <w:rFonts w:hint="cs"/>
          <w:rtl/>
        </w:rPr>
        <w:t>ביחס</w:t>
      </w:r>
      <w:r>
        <w:rPr>
          <w:rFonts w:hint="cs"/>
          <w:rtl/>
        </w:rPr>
        <w:t xml:space="preserve"> </w:t>
      </w:r>
      <w:r w:rsidR="001C33A0">
        <w:rPr>
          <w:rFonts w:hint="cs"/>
          <w:rtl/>
        </w:rPr>
        <w:t>ל</w:t>
      </w:r>
      <w:r>
        <w:rPr>
          <w:rFonts w:hint="cs"/>
          <w:rtl/>
        </w:rPr>
        <w:t xml:space="preserve">כל </w:t>
      </w:r>
      <w:r w:rsidR="001C33A0">
        <w:rPr>
          <w:rFonts w:hint="cs"/>
          <w:rtl/>
        </w:rPr>
        <w:t xml:space="preserve">אדם </w:t>
      </w:r>
      <w:r>
        <w:rPr>
          <w:rFonts w:hint="cs"/>
          <w:rtl/>
        </w:rPr>
        <w:t>השוכח קריאת שמע פעם אחת, הנמנע יום שלם מלקרוא קריאת שמע או דווקא השוכח בקביעות ואינו קורא קריאת שמע כלל. עם זאת, ברור שדבריו אלו מבוססים על הבנתו העקרונית שגדר המצווה הוא קבלת עול מלכות שמיים, ולכן המבטל מצווה זו עובר על איסור שכחת ה'.</w:t>
      </w:r>
      <w:r w:rsidRPr="00D3068A">
        <w:rPr>
          <w:bCs/>
          <w:vertAlign w:val="superscript"/>
        </w:rPr>
        <w:footnoteReference w:id="5"/>
      </w:r>
    </w:p>
    <w:p w14:paraId="50518AF5" w14:textId="77777777" w:rsidR="00460154" w:rsidRPr="006F7D9B" w:rsidRDefault="00460154" w:rsidP="00EB7225">
      <w:pPr>
        <w:pStyle w:val="Heading2"/>
      </w:pPr>
      <w:r w:rsidRPr="006F7D9B">
        <w:rPr>
          <w:rFonts w:hint="cs"/>
          <w:rtl/>
        </w:rPr>
        <w:t>גדר מצוות קריאת שמע: קריאה או כוונה?</w:t>
      </w:r>
    </w:p>
    <w:p w14:paraId="634CB5B0" w14:textId="77777777" w:rsidR="00460154" w:rsidRPr="00BE4901" w:rsidRDefault="00460154" w:rsidP="00EB7225">
      <w:r>
        <w:rPr>
          <w:rFonts w:hint="cs"/>
          <w:rtl/>
        </w:rPr>
        <w:t xml:space="preserve">על אף ראיות אלו, אפשר </w:t>
      </w:r>
      <w:r w:rsidRPr="00BE4901">
        <w:rPr>
          <w:rtl/>
        </w:rPr>
        <w:t xml:space="preserve">לחלוק על הגדרה זו ביחס למצוות קריאת שמע ולטעון שהמצווה ביסודה היא מצוות קריאה, שכן אפשר לדחות </w:t>
      </w:r>
      <w:r>
        <w:rPr>
          <w:rFonts w:hint="cs"/>
          <w:rtl/>
        </w:rPr>
        <w:t>ראיות אלו בשני אופנים:</w:t>
      </w:r>
    </w:p>
    <w:p w14:paraId="10E3153B" w14:textId="0273D0EF" w:rsidR="00460154" w:rsidRPr="00BE4901" w:rsidRDefault="00EB7225" w:rsidP="00EB7225">
      <w:pPr>
        <w:ind w:left="266"/>
      </w:pPr>
      <w:r>
        <w:rPr>
          <w:rFonts w:hint="cs"/>
          <w:rtl/>
        </w:rPr>
        <w:t xml:space="preserve">א. </w:t>
      </w:r>
      <w:r w:rsidR="00460154" w:rsidRPr="00BE4901">
        <w:rPr>
          <w:rtl/>
        </w:rPr>
        <w:t xml:space="preserve">הרמב"ן </w:t>
      </w:r>
      <w:r w:rsidR="00460154">
        <w:rPr>
          <w:rFonts w:hint="cs"/>
          <w:sz w:val="20"/>
          <w:szCs w:val="20"/>
          <w:rtl/>
        </w:rPr>
        <w:t>(</w:t>
      </w:r>
      <w:r w:rsidR="00460154" w:rsidRPr="00BE4901">
        <w:rPr>
          <w:sz w:val="20"/>
          <w:szCs w:val="20"/>
          <w:rtl/>
        </w:rPr>
        <w:t>מלחמות ה' ראש השנ</w:t>
      </w:r>
      <w:r w:rsidR="00460154">
        <w:rPr>
          <w:rFonts w:hint="cs"/>
          <w:sz w:val="20"/>
          <w:szCs w:val="20"/>
          <w:rtl/>
        </w:rPr>
        <w:t>ה ז.)</w:t>
      </w:r>
      <w:r w:rsidR="00460154">
        <w:rPr>
          <w:rFonts w:hint="cs"/>
          <w:rtl/>
        </w:rPr>
        <w:t xml:space="preserve"> </w:t>
      </w:r>
      <w:r w:rsidR="00460154" w:rsidRPr="00BE4901">
        <w:rPr>
          <w:rtl/>
        </w:rPr>
        <w:t>חולק על ההסבר דלעיל, ולשיטתו אין הבחנה בין הכוונה לצאת ידי חובה הקיימת בכל המצוות לבין דין הכוונה שנאמר ביחס לקריאת שמע בפסוק ראשון. אם כן</w:t>
      </w:r>
      <w:r w:rsidR="00460154" w:rsidRPr="00BE4901">
        <w:t>,</w:t>
      </w:r>
      <w:r w:rsidR="00460154" w:rsidRPr="00BE4901">
        <w:rPr>
          <w:rtl/>
        </w:rPr>
        <w:t xml:space="preserve"> לשיטתו אין דין כוונה ייחודי לקריאת שמע</w:t>
      </w:r>
      <w:r w:rsidR="00460154">
        <w:rPr>
          <w:rFonts w:hint="cs"/>
          <w:rtl/>
        </w:rPr>
        <w:t>.</w:t>
      </w:r>
      <w:r w:rsidR="00460154" w:rsidRPr="005F2C6E">
        <w:rPr>
          <w:bCs/>
          <w:vertAlign w:val="superscript"/>
        </w:rPr>
        <w:footnoteReference w:id="6"/>
      </w:r>
    </w:p>
    <w:p w14:paraId="72B2284F" w14:textId="12D428D2" w:rsidR="00460154" w:rsidRPr="00BE4901" w:rsidRDefault="00EB7225" w:rsidP="00EB7225">
      <w:pPr>
        <w:ind w:left="266"/>
      </w:pPr>
      <w:r>
        <w:rPr>
          <w:rFonts w:hint="cs"/>
          <w:rtl/>
        </w:rPr>
        <w:t xml:space="preserve">ב. </w:t>
      </w:r>
      <w:r w:rsidR="00460154" w:rsidRPr="00BE4901">
        <w:rPr>
          <w:rtl/>
        </w:rPr>
        <w:t xml:space="preserve">הפרי מגדים </w:t>
      </w:r>
      <w:r w:rsidR="00460154">
        <w:rPr>
          <w:rFonts w:hint="cs"/>
          <w:sz w:val="20"/>
          <w:szCs w:val="20"/>
          <w:rtl/>
        </w:rPr>
        <w:t>(</w:t>
      </w:r>
      <w:r w:rsidR="00460154" w:rsidRPr="00BE4901">
        <w:rPr>
          <w:sz w:val="20"/>
          <w:szCs w:val="20"/>
          <w:rtl/>
        </w:rPr>
        <w:t>משבצות זהב</w:t>
      </w:r>
      <w:r w:rsidR="00460154">
        <w:rPr>
          <w:rFonts w:hint="cs"/>
          <w:sz w:val="20"/>
          <w:szCs w:val="20"/>
          <w:rtl/>
        </w:rPr>
        <w:t xml:space="preserve"> סג, ג)</w:t>
      </w:r>
      <w:r w:rsidR="00460154">
        <w:rPr>
          <w:rFonts w:hint="cs"/>
          <w:rtl/>
        </w:rPr>
        <w:t xml:space="preserve"> </w:t>
      </w:r>
      <w:r w:rsidR="00460154" w:rsidRPr="00BE4901">
        <w:rPr>
          <w:rtl/>
        </w:rPr>
        <w:t>דן</w:t>
      </w:r>
      <w:r w:rsidR="00460154">
        <w:rPr>
          <w:rFonts w:hint="cs"/>
          <w:rtl/>
        </w:rPr>
        <w:t xml:space="preserve"> </w:t>
      </w:r>
      <w:r w:rsidR="00460154" w:rsidRPr="00BE4901">
        <w:rPr>
          <w:rtl/>
        </w:rPr>
        <w:t>בשאלה אם חיוב הכוונה הוא דאורייתא או דרבנן, ולומד מדברי המגן אב</w:t>
      </w:r>
      <w:r w:rsidR="00460154">
        <w:rPr>
          <w:rFonts w:hint="cs"/>
          <w:rtl/>
        </w:rPr>
        <w:t xml:space="preserve">רהם </w:t>
      </w:r>
      <w:r w:rsidR="00460154">
        <w:rPr>
          <w:rFonts w:hint="cs"/>
          <w:sz w:val="20"/>
          <w:szCs w:val="20"/>
          <w:rtl/>
        </w:rPr>
        <w:t>(</w:t>
      </w:r>
      <w:r w:rsidR="00460154" w:rsidRPr="00BE4901">
        <w:rPr>
          <w:sz w:val="20"/>
          <w:szCs w:val="20"/>
          <w:rtl/>
        </w:rPr>
        <w:t>ק</w:t>
      </w:r>
      <w:r w:rsidR="00460154">
        <w:rPr>
          <w:rFonts w:hint="cs"/>
          <w:sz w:val="20"/>
          <w:szCs w:val="20"/>
          <w:rtl/>
        </w:rPr>
        <w:t>א, א)</w:t>
      </w:r>
      <w:r w:rsidR="00460154">
        <w:rPr>
          <w:rFonts w:hint="cs"/>
          <w:rtl/>
        </w:rPr>
        <w:t xml:space="preserve"> ש</w:t>
      </w:r>
      <w:r w:rsidR="00460154" w:rsidRPr="00BE4901">
        <w:rPr>
          <w:rtl/>
        </w:rPr>
        <w:t>חיוב הכוונה הוא מדרבנן. עולה מכך שמדאורייתא החיוב הוא על קריאת הפרשה בלבד, וכל דין הכוונה הוא מדרבנן בלבד.</w:t>
      </w:r>
      <w:r w:rsidR="00460154" w:rsidRPr="00C42600">
        <w:rPr>
          <w:rStyle w:val="FootnoteReference"/>
          <w:rFonts w:eastAsia="Calibri"/>
          <w:bCs/>
          <w:color w:val="000000"/>
        </w:rPr>
        <w:footnoteReference w:id="7"/>
      </w:r>
    </w:p>
    <w:p w14:paraId="37C16186" w14:textId="77777777" w:rsidR="00460154" w:rsidRPr="00BE4901" w:rsidRDefault="00460154" w:rsidP="00EB7225">
      <w:r w:rsidRPr="00BE4901">
        <w:rPr>
          <w:rtl/>
        </w:rPr>
        <w:t>תפיסה זו משתמעת גם מדברי הרמב"ם, שבשונה מהיראים דלעיל אינו כותב שהמצווה היא קבלת עול מלכות שמיים אלא מתמקד במעשה הקריאה:</w:t>
      </w:r>
    </w:p>
    <w:p w14:paraId="10C73137" w14:textId="71A0E169" w:rsidR="00460154" w:rsidRPr="00BE4901" w:rsidRDefault="00460154" w:rsidP="00EB7225">
      <w:pPr>
        <w:ind w:left="266"/>
      </w:pPr>
      <w:r w:rsidRPr="00BE4901">
        <w:rPr>
          <w:rtl/>
        </w:rPr>
        <w:t>והמצוה העשירית היא שצונו לקרוא קריאת שמע בכל יום ערבית ושחרית</w:t>
      </w:r>
      <w:r w:rsidRPr="00BE4901">
        <w:t>,</w:t>
      </w:r>
      <w:r w:rsidRPr="00BE4901">
        <w:rPr>
          <w:rtl/>
        </w:rPr>
        <w:t xml:space="preserve"> והוא אמרו יתעלה </w:t>
      </w:r>
      <w:r w:rsidRPr="00BE4901">
        <w:t>'</w:t>
      </w:r>
      <w:r w:rsidRPr="00BE4901">
        <w:rPr>
          <w:rtl/>
        </w:rPr>
        <w:t>ודברת בם בשבתך בביתך וגו' ובשכבך ובקומ</w:t>
      </w:r>
      <w:r>
        <w:rPr>
          <w:rFonts w:hint="cs"/>
          <w:rtl/>
        </w:rPr>
        <w:t>ך'.</w:t>
      </w:r>
      <w:r w:rsidR="00EB7225" w:rsidRPr="00EB7225">
        <w:rPr>
          <w:rtl/>
        </w:rPr>
        <w:t xml:space="preserve"> </w:t>
      </w:r>
      <w:r w:rsidR="00EB7225" w:rsidRPr="000A01DC">
        <w:rPr>
          <w:rtl/>
        </w:rPr>
        <w:ptab w:relativeTo="margin" w:alignment="right" w:leader="none"/>
      </w:r>
      <w:r w:rsidR="00EB7225">
        <w:rPr>
          <w:rFonts w:hint="cs"/>
          <w:sz w:val="20"/>
          <w:szCs w:val="20"/>
          <w:rtl/>
        </w:rPr>
        <w:t xml:space="preserve"> </w:t>
      </w:r>
      <w:r w:rsidR="00EB7225" w:rsidRPr="000A01DC">
        <w:rPr>
          <w:rtl/>
        </w:rPr>
        <w:ptab w:relativeTo="margin" w:alignment="right" w:leader="none"/>
      </w:r>
      <w:r w:rsidR="00EB7225">
        <w:rPr>
          <w:rFonts w:hint="cs"/>
          <w:sz w:val="20"/>
          <w:szCs w:val="20"/>
          <w:rtl/>
        </w:rPr>
        <w:t xml:space="preserve"> </w:t>
      </w:r>
      <w:r>
        <w:rPr>
          <w:rFonts w:hint="cs"/>
          <w:sz w:val="20"/>
          <w:szCs w:val="20"/>
          <w:rtl/>
        </w:rPr>
        <w:t>(ספר המצוות עשה י)</w:t>
      </w:r>
    </w:p>
    <w:p w14:paraId="5B7958FD" w14:textId="2C06AC45" w:rsidR="00460154" w:rsidRDefault="00460154" w:rsidP="00EB7225">
      <w:pPr>
        <w:rPr>
          <w:b/>
          <w:rtl/>
        </w:rPr>
      </w:pPr>
      <w:r w:rsidRPr="00BE4901">
        <w:rPr>
          <w:b/>
          <w:rtl/>
        </w:rPr>
        <w:t xml:space="preserve">וכן נראה שנוקט הירושלמי, הסובר – כפי שנאמר </w:t>
      </w:r>
      <w:hyperlink r:id="rId11" w:history="1">
        <w:r w:rsidRPr="00BE4901">
          <w:rPr>
            <w:b/>
            <w:color w:val="0563C1"/>
            <w:u w:val="single"/>
            <w:rtl/>
          </w:rPr>
          <w:t>בשיעור</w:t>
        </w:r>
      </w:hyperlink>
      <w:hyperlink r:id="rId12" w:history="1">
        <w:r w:rsidRPr="00BE4901">
          <w:rPr>
            <w:b/>
            <w:color w:val="0563C1"/>
            <w:u w:val="single"/>
            <w:rtl/>
          </w:rPr>
          <w:t xml:space="preserve"> </w:t>
        </w:r>
      </w:hyperlink>
      <w:hyperlink r:id="rId13" w:history="1">
        <w:r w:rsidRPr="00BE4901">
          <w:rPr>
            <w:b/>
            <w:color w:val="0563C1"/>
            <w:u w:val="single"/>
            <w:rtl/>
          </w:rPr>
          <w:t>הקודם</w:t>
        </w:r>
      </w:hyperlink>
      <w:r w:rsidRPr="00BE4901">
        <w:rPr>
          <w:b/>
          <w:rtl/>
        </w:rPr>
        <w:t xml:space="preserve"> – שהמצווה ביסודה היא סניף של תלמוד תורה: קריאת פרשיות מן התורה בבוקר ובערב.</w:t>
      </w:r>
    </w:p>
    <w:p w14:paraId="5957CC9B" w14:textId="77777777" w:rsidR="00460154" w:rsidRPr="00DD2448" w:rsidRDefault="00460154" w:rsidP="00EB7225">
      <w:pPr>
        <w:pStyle w:val="Heading2"/>
      </w:pPr>
      <w:r w:rsidRPr="00DD2448">
        <w:rPr>
          <w:rtl/>
        </w:rPr>
        <w:t>מצווה כפולה – קריאה וכוונה</w:t>
      </w:r>
    </w:p>
    <w:p w14:paraId="18514954" w14:textId="77777777" w:rsidR="00460154" w:rsidRPr="00BE4901" w:rsidRDefault="00460154" w:rsidP="00EB7225">
      <w:r w:rsidRPr="00BE4901">
        <w:rPr>
          <w:rtl/>
        </w:rPr>
        <w:t>בדברינו אלו הוצעו שתי דרכים בהבנת מהות המצ</w:t>
      </w:r>
      <w:r>
        <w:rPr>
          <w:rFonts w:hint="cs"/>
          <w:rtl/>
        </w:rPr>
        <w:t xml:space="preserve">ווה </w:t>
      </w:r>
      <w:r>
        <w:rPr>
          <w:rtl/>
        </w:rPr>
        <w:t>–</w:t>
      </w:r>
      <w:r>
        <w:rPr>
          <w:rFonts w:hint="cs"/>
          <w:rtl/>
        </w:rPr>
        <w:t xml:space="preserve"> </w:t>
      </w:r>
      <w:r w:rsidRPr="00BE4901">
        <w:rPr>
          <w:rtl/>
        </w:rPr>
        <w:t>קריאה וכוונה. אומנם אפשר להציע שלמצוות קריאת שמע הגדרה מורכבת יותר, והיא כוללת שני רבדים אלו כאחת: יש בה גם מצוות קריאה – קריאת פרשה בתורה, וגם מצוות כוונה – קבלת עול מלכות שמיים. על פי הצעה זו, שתי ההבנות שהובאו בשיעור הקודם, שקריאת שמע היא מצוות תלמוד תורה או שהיא קבלת עול מלכות שמיים, משלימות זו את זו.</w:t>
      </w:r>
    </w:p>
    <w:p w14:paraId="0176C807" w14:textId="77777777" w:rsidR="00460154" w:rsidRPr="00BE4901" w:rsidRDefault="00460154" w:rsidP="00EB7225">
      <w:r w:rsidRPr="00BE4901">
        <w:rPr>
          <w:rtl/>
        </w:rPr>
        <w:t>יש להעמיק הצעה זו ולבסס אותה על פרשיית "שמע ישראל" שבתורה. כפי שראינו בשיעור הקודם, פרשיית "שמע ישראל" פותחת בקבלת עול מלכות שמיים וייחוד ה' וממשיכה במצוות תלמוד תורה. אם כן, אפשר להבין שמצוות קריאת שמע שבאה לאחר כן מתייחסת לשני עניינים אלו – היא גם מצווה לקבל עול מלכות שמיים ולייחד את שמו באהבה בכל ערב ובכל בוקר וגם מצווה לעסוק בתורה תמיד, "בשכבך ובקומך".</w:t>
      </w:r>
    </w:p>
    <w:p w14:paraId="44E463F9" w14:textId="77777777" w:rsidR="00460154" w:rsidRPr="00BE4901" w:rsidRDefault="00460154" w:rsidP="00EB7225">
      <w:r w:rsidRPr="00BE4901">
        <w:rPr>
          <w:rtl/>
        </w:rPr>
        <w:t>הבנה זו, שקריאת שמע כוללת שני רבדים שונים, משתמעת מלשון הברייתא:</w:t>
      </w:r>
    </w:p>
    <w:p w14:paraId="08DC207A" w14:textId="2DFB4247" w:rsidR="00460154" w:rsidRPr="00BE4901" w:rsidRDefault="00460154" w:rsidP="00EB7225">
      <w:pPr>
        <w:ind w:left="227"/>
      </w:pPr>
      <w:r w:rsidRPr="00BE4901">
        <w:t>'</w:t>
      </w:r>
      <w:r w:rsidRPr="00BE4901">
        <w:rPr>
          <w:rtl/>
        </w:rPr>
        <w:t>על לבבך</w:t>
      </w:r>
      <w:r w:rsidRPr="00BE4901">
        <w:t xml:space="preserve">' – </w:t>
      </w:r>
      <w:r w:rsidRPr="00BE4901">
        <w:rPr>
          <w:rtl/>
        </w:rPr>
        <w:t>רב זוטרא אומר: עד כאן מצות כוונה, מכאן ואילך מצות קריאה; רבי יאשיה אומר: עד כאן מצות קריאה, מכאן ואילך מצות כוונה</w:t>
      </w:r>
      <w:r>
        <w:rPr>
          <w:rFonts w:hint="cs"/>
          <w:rtl/>
        </w:rPr>
        <w:t>.</w:t>
      </w:r>
      <w:r w:rsidR="00EB7225" w:rsidRPr="00EB7225">
        <w:rPr>
          <w:rtl/>
        </w:rPr>
        <w:t xml:space="preserve"> </w:t>
      </w:r>
      <w:r w:rsidR="00EB7225" w:rsidRPr="000A01DC">
        <w:rPr>
          <w:rtl/>
        </w:rPr>
        <w:ptab w:relativeTo="margin" w:alignment="right" w:leader="none"/>
      </w:r>
      <w:r w:rsidR="00EB7225">
        <w:rPr>
          <w:rFonts w:hint="cs"/>
          <w:sz w:val="20"/>
          <w:szCs w:val="20"/>
          <w:rtl/>
        </w:rPr>
        <w:t xml:space="preserve"> </w:t>
      </w:r>
      <w:r>
        <w:rPr>
          <w:rFonts w:hint="cs"/>
          <w:sz w:val="20"/>
          <w:szCs w:val="20"/>
          <w:rtl/>
        </w:rPr>
        <w:t>(ברכות יג:)</w:t>
      </w:r>
    </w:p>
    <w:p w14:paraId="7FD69F2A" w14:textId="77777777" w:rsidR="00460154" w:rsidRPr="00BE4901" w:rsidRDefault="00460154" w:rsidP="008908C0">
      <w:r w:rsidRPr="00BE4901">
        <w:rPr>
          <w:rtl/>
        </w:rPr>
        <w:t>מדברי הברייתא משתמעת שקיימות שתי מצוות שונות – מצוות קריאה ומצוות כוונה. אפשר לבאר שמצוות הקריאה היא עצם קריאת הפרשה (ומצווה זו היא סניף של מצוות תלמוד תורה), ואילו מצוות הכוונה היא קבלת עול מלכות שמיים.</w:t>
      </w:r>
    </w:p>
    <w:p w14:paraId="67A50CF6" w14:textId="77777777" w:rsidR="00460154" w:rsidRPr="00BE4901" w:rsidRDefault="00460154" w:rsidP="008908C0">
      <w:r w:rsidRPr="00BE4901">
        <w:rPr>
          <w:rtl/>
        </w:rPr>
        <w:t>כדברים אלו כותב הצפנת פענח:</w:t>
      </w:r>
    </w:p>
    <w:p w14:paraId="41EF1933" w14:textId="47D07111" w:rsidR="00460154" w:rsidRPr="00BE4901" w:rsidRDefault="00460154" w:rsidP="008908C0">
      <w:pPr>
        <w:ind w:left="227"/>
        <w:rPr>
          <w:sz w:val="20"/>
          <w:szCs w:val="20"/>
        </w:rPr>
      </w:pPr>
      <w:r w:rsidRPr="00BE4901">
        <w:rPr>
          <w:rtl/>
        </w:rPr>
        <w:t xml:space="preserve">והנה במה דאמר כאן די"ג </w:t>
      </w:r>
      <w:r>
        <w:rPr>
          <w:rFonts w:hint="cs"/>
          <w:rtl/>
        </w:rPr>
        <w:t>'</w:t>
      </w:r>
      <w:r w:rsidRPr="00BE4901">
        <w:rPr>
          <w:rtl/>
        </w:rPr>
        <w:t>עד כאן מצות כוונה וקריאה מכאן ואילך כוונה בלא קריאה</w:t>
      </w:r>
      <w:r>
        <w:rPr>
          <w:rFonts w:hint="cs"/>
          <w:rtl/>
        </w:rPr>
        <w:t>',</w:t>
      </w:r>
      <w:r w:rsidRPr="00BE4901">
        <w:rPr>
          <w:rtl/>
        </w:rPr>
        <w:t xml:space="preserve"> ר"ל כך</w:t>
      </w:r>
      <w:r w:rsidRPr="00BE4901">
        <w:t>,</w:t>
      </w:r>
      <w:r w:rsidRPr="00BE4901">
        <w:rPr>
          <w:rtl/>
        </w:rPr>
        <w:t xml:space="preserve"> דיש ב' חיובים, אחד קריאת הפרשיות ואחד קבלת עו</w:t>
      </w:r>
      <w:r>
        <w:rPr>
          <w:rFonts w:hint="cs"/>
          <w:rtl/>
        </w:rPr>
        <w:t>ל מלכות שמיים.</w:t>
      </w:r>
      <w:r w:rsidR="008908C0" w:rsidRPr="008908C0">
        <w:rPr>
          <w:rtl/>
        </w:rPr>
        <w:t xml:space="preserve"> </w:t>
      </w:r>
      <w:r w:rsidR="008908C0" w:rsidRPr="000A01DC">
        <w:rPr>
          <w:rtl/>
        </w:rPr>
        <w:ptab w:relativeTo="margin" w:alignment="right" w:leader="none"/>
      </w:r>
      <w:r w:rsidR="008908C0">
        <w:rPr>
          <w:rFonts w:hint="cs"/>
          <w:sz w:val="20"/>
          <w:szCs w:val="20"/>
          <w:rtl/>
        </w:rPr>
        <w:t xml:space="preserve"> </w:t>
      </w:r>
      <w:r>
        <w:rPr>
          <w:rFonts w:hint="cs"/>
          <w:sz w:val="20"/>
          <w:szCs w:val="20"/>
          <w:rtl/>
        </w:rPr>
        <w:t>(צפנת פענח קריאת שמע ב, א)</w:t>
      </w:r>
    </w:p>
    <w:p w14:paraId="6F44D9BD" w14:textId="58C60BE2" w:rsidR="00460154" w:rsidRPr="00BE4901" w:rsidRDefault="00460154" w:rsidP="008908C0">
      <w:r w:rsidRPr="00BE4901">
        <w:rPr>
          <w:rtl/>
        </w:rPr>
        <w:t>אם כן, אלו שני הרבדים המרכיבים את מצוות קריאת שמע.</w:t>
      </w:r>
    </w:p>
    <w:p w14:paraId="3F6213DB" w14:textId="77777777" w:rsidR="00460154" w:rsidRPr="00CA0DC6" w:rsidRDefault="00460154" w:rsidP="008908C0">
      <w:pPr>
        <w:pStyle w:val="Heading2"/>
      </w:pPr>
      <w:r w:rsidRPr="00CA0DC6">
        <w:rPr>
          <w:rtl/>
        </w:rPr>
        <w:t>בין פסוק ראשון לשאר הפסוקים</w:t>
      </w:r>
    </w:p>
    <w:p w14:paraId="30A09D7D" w14:textId="77777777" w:rsidR="00460154" w:rsidRPr="00BE4901" w:rsidRDefault="00460154" w:rsidP="008908C0">
      <w:r w:rsidRPr="00BE4901">
        <w:rPr>
          <w:rtl/>
        </w:rPr>
        <w:t>ייתכן שיש בדברים אלו כדי לבאר את סוגיית הגמרא לגבי קריאת שמע של רבי יהודה הנשיא:</w:t>
      </w:r>
    </w:p>
    <w:p w14:paraId="1CC69197" w14:textId="7E03CC3B" w:rsidR="00460154" w:rsidRPr="00BE4901" w:rsidRDefault="00460154" w:rsidP="008908C0">
      <w:pPr>
        <w:ind w:left="227"/>
      </w:pPr>
      <w:r w:rsidRPr="00BE4901">
        <w:rPr>
          <w:rtl/>
        </w:rPr>
        <w:lastRenderedPageBreak/>
        <w:t xml:space="preserve">תנו רבנן: </w:t>
      </w:r>
      <w:r w:rsidRPr="00BE4901">
        <w:t>'</w:t>
      </w:r>
      <w:r w:rsidRPr="00BE4901">
        <w:rPr>
          <w:rtl/>
        </w:rPr>
        <w:t>שמע ישראל ה' אלהינו ה' אחד</w:t>
      </w:r>
      <w:r w:rsidRPr="00BE4901">
        <w:t xml:space="preserve">' – </w:t>
      </w:r>
      <w:r w:rsidRPr="00BE4901">
        <w:rPr>
          <w:rtl/>
        </w:rPr>
        <w:t>זו קריאת שמע של רבי יהודה הנשיא. אמר ליה רב לרבי חייא: לא חזינא ליה לרבי דמקבל עליה מלכות שמים. אמר ליה: בר פחתי! בשעה שמעביר ידיו על פניו מקבל עליו עול מלכות שמי</w:t>
      </w:r>
      <w:r>
        <w:rPr>
          <w:rFonts w:hint="cs"/>
          <w:rtl/>
        </w:rPr>
        <w:t>ם.</w:t>
      </w:r>
      <w:r w:rsidR="008908C0" w:rsidRPr="000A01DC">
        <w:rPr>
          <w:rtl/>
        </w:rPr>
        <w:ptab w:relativeTo="margin" w:alignment="right" w:leader="none"/>
      </w:r>
      <w:r>
        <w:rPr>
          <w:rFonts w:hint="cs"/>
          <w:sz w:val="20"/>
          <w:szCs w:val="20"/>
          <w:rtl/>
        </w:rPr>
        <w:t>(ברכות יג:)</w:t>
      </w:r>
    </w:p>
    <w:p w14:paraId="08CC04C8" w14:textId="77777777" w:rsidR="00460154" w:rsidRPr="00BE4901" w:rsidRDefault="00460154" w:rsidP="008908C0">
      <w:r w:rsidRPr="00BE4901">
        <w:rPr>
          <w:rtl/>
        </w:rPr>
        <w:t>הגמרא אומרת שרבי יהודה הנשיא לא היה קורא את שלוש הפרשיות, אלא היה אומר את הפסוק הראשון בלבד, הואיל והיה עסוק בדרשתו.</w:t>
      </w:r>
    </w:p>
    <w:p w14:paraId="15E0259B" w14:textId="77777777" w:rsidR="00460154" w:rsidRPr="00BE4901" w:rsidRDefault="00460154" w:rsidP="008908C0">
      <w:r w:rsidRPr="00BE4901">
        <w:rPr>
          <w:rtl/>
        </w:rPr>
        <w:t>הראשונים נחלקו בביאור הנהגה זו. הרא"ה</w:t>
      </w:r>
      <w:r>
        <w:rPr>
          <w:rFonts w:hint="cs"/>
          <w:rtl/>
        </w:rPr>
        <w:t xml:space="preserve"> </w:t>
      </w:r>
      <w:r w:rsidRPr="00BE4901">
        <w:rPr>
          <w:rtl/>
        </w:rPr>
        <w:t xml:space="preserve"> </w:t>
      </w:r>
      <w:r>
        <w:rPr>
          <w:rFonts w:hint="cs"/>
          <w:sz w:val="20"/>
          <w:szCs w:val="20"/>
          <w:rtl/>
        </w:rPr>
        <w:t>(</w:t>
      </w:r>
      <w:r w:rsidRPr="00BE4901">
        <w:rPr>
          <w:sz w:val="20"/>
          <w:szCs w:val="20"/>
          <w:rtl/>
        </w:rPr>
        <w:t>שם ד"ה פי' ובגמרא</w:t>
      </w:r>
      <w:r>
        <w:rPr>
          <w:rFonts w:hint="cs"/>
          <w:sz w:val="20"/>
          <w:szCs w:val="20"/>
          <w:rtl/>
        </w:rPr>
        <w:t>)</w:t>
      </w:r>
      <w:r w:rsidRPr="00BE4901">
        <w:t xml:space="preserve"> </w:t>
      </w:r>
      <w:r w:rsidRPr="00BE4901">
        <w:rPr>
          <w:rtl/>
        </w:rPr>
        <w:t xml:space="preserve">מבאר שמדאורייתא די בקריאת הפסוק הראשון, ורבי יהודה הנשיא, הואיל ותורתו אומנותו, לא היה מחויב </w:t>
      </w:r>
      <w:r w:rsidRPr="005F2C6E">
        <w:rPr>
          <w:rtl/>
        </w:rPr>
        <w:t>אלא בכך</w:t>
      </w:r>
      <w:r>
        <w:rPr>
          <w:rFonts w:hint="cs"/>
          <w:rtl/>
        </w:rPr>
        <w:t>.</w:t>
      </w:r>
      <w:r w:rsidRPr="005F2C6E">
        <w:rPr>
          <w:bCs/>
          <w:vertAlign w:val="superscript"/>
        </w:rPr>
        <w:footnoteReference w:id="8"/>
      </w:r>
      <w:r w:rsidRPr="00BE4901">
        <w:rPr>
          <w:rtl/>
        </w:rPr>
        <w:t xml:space="preserve"> לעומתו, הרא"ש מבאר שרבי יהודה הנשיא היה פטור מקריאת שמע הואיל והיה עסוק ב'תורה דרבים':</w:t>
      </w:r>
    </w:p>
    <w:p w14:paraId="530F6095" w14:textId="63BCDF06" w:rsidR="00460154" w:rsidRPr="00BE4901" w:rsidRDefault="00460154" w:rsidP="008908C0">
      <w:pPr>
        <w:ind w:left="227"/>
      </w:pPr>
      <w:r w:rsidRPr="00BE4901">
        <w:rPr>
          <w:rtl/>
        </w:rPr>
        <w:t>וא"ת כיון דבעינן שיקרא את כולה למה לא הפסיק לקרותה</w:t>
      </w:r>
      <w:r w:rsidRPr="00BE4901">
        <w:t>,</w:t>
      </w:r>
      <w:r w:rsidRPr="00BE4901">
        <w:rPr>
          <w:rtl/>
        </w:rPr>
        <w:t xml:space="preserve"> דאפי' מי שתורתו אומנתו תנן בפ"ק דשבת דמפסיק לק"ש. וי"ל דהני מילי אדם שלומד לבדו</w:t>
      </w:r>
      <w:r w:rsidRPr="00BE4901">
        <w:t>,</w:t>
      </w:r>
      <w:r w:rsidRPr="00BE4901">
        <w:rPr>
          <w:rtl/>
        </w:rPr>
        <w:t xml:space="preserve"> אבל מי שלומד תורה ברבים אין לו להפסיק.</w:t>
      </w:r>
      <w:r w:rsidR="008908C0" w:rsidRPr="008908C0">
        <w:rPr>
          <w:rtl/>
        </w:rPr>
        <w:t xml:space="preserve"> </w:t>
      </w:r>
      <w:r w:rsidR="008908C0" w:rsidRPr="000A01DC">
        <w:rPr>
          <w:rtl/>
        </w:rPr>
        <w:ptab w:relativeTo="margin" w:alignment="right" w:leader="none"/>
      </w:r>
      <w:r w:rsidR="008908C0">
        <w:rPr>
          <w:rFonts w:hint="cs"/>
          <w:sz w:val="20"/>
          <w:szCs w:val="20"/>
          <w:rtl/>
        </w:rPr>
        <w:t xml:space="preserve"> </w:t>
      </w:r>
      <w:r w:rsidR="008908C0" w:rsidRPr="000A01DC">
        <w:rPr>
          <w:rtl/>
        </w:rPr>
        <w:ptab w:relativeTo="margin" w:alignment="right" w:leader="none"/>
      </w:r>
      <w:r w:rsidR="008908C0">
        <w:rPr>
          <w:rFonts w:hint="cs"/>
          <w:sz w:val="20"/>
          <w:szCs w:val="20"/>
          <w:rtl/>
        </w:rPr>
        <w:t xml:space="preserve"> </w:t>
      </w:r>
      <w:r>
        <w:rPr>
          <w:rFonts w:hint="cs"/>
          <w:sz w:val="20"/>
          <w:szCs w:val="20"/>
          <w:rtl/>
        </w:rPr>
        <w:t>(</w:t>
      </w:r>
      <w:r w:rsidRPr="00BE4901">
        <w:rPr>
          <w:sz w:val="20"/>
          <w:szCs w:val="20"/>
          <w:rtl/>
        </w:rPr>
        <w:t xml:space="preserve">רא"ש ברכות </w:t>
      </w:r>
      <w:r>
        <w:rPr>
          <w:rFonts w:hint="cs"/>
          <w:sz w:val="20"/>
          <w:szCs w:val="20"/>
          <w:rtl/>
        </w:rPr>
        <w:t>ב,</w:t>
      </w:r>
      <w:r w:rsidRPr="00BE4901">
        <w:rPr>
          <w:sz w:val="20"/>
          <w:szCs w:val="20"/>
        </w:rPr>
        <w:t xml:space="preserve"> </w:t>
      </w:r>
      <w:r w:rsidRPr="00BE4901">
        <w:rPr>
          <w:sz w:val="20"/>
          <w:szCs w:val="20"/>
          <w:rtl/>
        </w:rPr>
        <w:t>ג</w:t>
      </w:r>
      <w:r>
        <w:rPr>
          <w:rFonts w:hint="cs"/>
          <w:sz w:val="20"/>
          <w:szCs w:val="20"/>
          <w:rtl/>
        </w:rPr>
        <w:t>)</w:t>
      </w:r>
    </w:p>
    <w:p w14:paraId="61714B10" w14:textId="30BB2B21" w:rsidR="00460154" w:rsidRPr="008908C0" w:rsidRDefault="00460154" w:rsidP="008908C0">
      <w:pPr>
        <w:rPr>
          <w:rtl/>
        </w:rPr>
      </w:pPr>
      <w:r w:rsidRPr="00BE4901">
        <w:rPr>
          <w:rtl/>
        </w:rPr>
        <w:t>מדוע, אם כן, רבי היה קורא את הפסוק הראשון? אפשר להציע שעיסוק ב'תורה דרבים' פוטר רק מ'מצות הקריאה', שהיא סניף של מצות תלמוד תורה, אך לא מ'מצות כוונה', מהחובה לקבל עול מלכות שמיים. בשל כך, רבי לא היה קורא את כל שלוש הפרשיות, אלא היה מקבל על עצמו עול מלכות שמיים באמירת הפסוק הראשון בלבד.</w:t>
      </w:r>
    </w:p>
    <w:p w14:paraId="5259A264" w14:textId="77777777" w:rsidR="00460154" w:rsidRPr="00EC0562" w:rsidRDefault="00460154" w:rsidP="008908C0">
      <w:pPr>
        <w:pStyle w:val="Heading2"/>
      </w:pPr>
      <w:r w:rsidRPr="00EC0562">
        <w:rPr>
          <w:rtl/>
        </w:rPr>
        <w:t>חובת נשים בקריאת פסוק ראשון</w:t>
      </w:r>
    </w:p>
    <w:p w14:paraId="53B7C0A7" w14:textId="77777777" w:rsidR="00460154" w:rsidRPr="00BE4901" w:rsidRDefault="00460154" w:rsidP="008908C0">
      <w:r w:rsidRPr="00BE4901">
        <w:rPr>
          <w:rtl/>
        </w:rPr>
        <w:t>ייתכן שהבנה זו, שמצוות קריאת שמע כוללת בתוכה שני רבדי</w:t>
      </w:r>
      <w:r>
        <w:rPr>
          <w:rFonts w:hint="cs"/>
          <w:rtl/>
        </w:rPr>
        <w:t xml:space="preserve">ם </w:t>
      </w:r>
      <w:r>
        <w:rPr>
          <w:rtl/>
        </w:rPr>
        <w:t>–</w:t>
      </w:r>
      <w:r>
        <w:rPr>
          <w:rFonts w:hint="cs"/>
          <w:rtl/>
        </w:rPr>
        <w:t xml:space="preserve"> </w:t>
      </w:r>
      <w:r w:rsidRPr="00BE4901">
        <w:rPr>
          <w:rtl/>
        </w:rPr>
        <w:t>תלמוד תורה וקבלת עול מלכות שמיים, עומדת גם ביסוד שיטת בעל ספר 'אוהל מועד</w:t>
      </w:r>
      <w:r w:rsidRPr="00BE4901">
        <w:t>'</w:t>
      </w:r>
      <w:r>
        <w:rPr>
          <w:rStyle w:val="FootnoteReference"/>
          <w:rFonts w:eastAsia="Calibri"/>
          <w:b/>
          <w:rtl/>
        </w:rPr>
        <w:footnoteReference w:id="9"/>
      </w:r>
      <w:r w:rsidRPr="00BE4901">
        <w:rPr>
          <w:rtl/>
        </w:rPr>
        <w:t xml:space="preserve"> לגבי פטור נשים מקריאת שמע.</w:t>
      </w:r>
    </w:p>
    <w:p w14:paraId="4B6696D7" w14:textId="77777777" w:rsidR="00460154" w:rsidRPr="00BE4901" w:rsidRDefault="00460154" w:rsidP="008908C0">
      <w:r w:rsidRPr="00BE4901">
        <w:rPr>
          <w:rtl/>
        </w:rPr>
        <w:t>במשנה</w:t>
      </w:r>
      <w:r>
        <w:rPr>
          <w:rFonts w:hint="cs"/>
          <w:rtl/>
        </w:rPr>
        <w:t xml:space="preserve"> </w:t>
      </w:r>
      <w:r>
        <w:rPr>
          <w:rFonts w:hint="cs"/>
          <w:sz w:val="20"/>
          <w:szCs w:val="20"/>
          <w:rtl/>
        </w:rPr>
        <w:t>(ברכות ג, ג)</w:t>
      </w:r>
      <w:r w:rsidRPr="00BE4901">
        <w:t xml:space="preserve"> </w:t>
      </w:r>
      <w:r w:rsidRPr="00BE4901">
        <w:rPr>
          <w:rtl/>
        </w:rPr>
        <w:t>נאמר שנשים פטורות מקריאת שמע. אומנם</w:t>
      </w:r>
      <w:r w:rsidRPr="00BE4901">
        <w:t xml:space="preserve"> </w:t>
      </w:r>
      <w:r w:rsidRPr="00BE4901">
        <w:rPr>
          <w:rtl/>
        </w:rPr>
        <w:t>בעל ה</w:t>
      </w:r>
      <w:r w:rsidRPr="00BE4901">
        <w:t>'</w:t>
      </w:r>
      <w:r w:rsidRPr="00BE4901">
        <w:rPr>
          <w:rtl/>
        </w:rPr>
        <w:t>אוהל מועד</w:t>
      </w:r>
      <w:r w:rsidRPr="00BE4901">
        <w:t>'</w:t>
      </w:r>
      <w:r w:rsidRPr="00BE4901">
        <w:rPr>
          <w:rtl/>
        </w:rPr>
        <w:t xml:space="preserve"> מחדש שגם נשים חייבות ב'קבלת הייחוד':</w:t>
      </w:r>
    </w:p>
    <w:p w14:paraId="39B59D95" w14:textId="16F7E77D" w:rsidR="00460154" w:rsidRPr="00BE4901" w:rsidRDefault="00460154" w:rsidP="008908C0">
      <w:pPr>
        <w:ind w:left="227"/>
      </w:pPr>
      <w:r w:rsidRPr="00BE4901">
        <w:rPr>
          <w:rtl/>
        </w:rPr>
        <w:t>נשים ועבדים וקטנים שלא הגיעו לחינוך פטורים מקריאת שמע ומתפילין</w:t>
      </w:r>
      <w:r w:rsidRPr="00BE4901">
        <w:t>,</w:t>
      </w:r>
      <w:r w:rsidRPr="00BE4901">
        <w:rPr>
          <w:rtl/>
        </w:rPr>
        <w:t xml:space="preserve"> וחייבין בתפילה ומזוזה וברכת המזון. ונראה דעבד ואשה חייבין בקבלת היחוד</w:t>
      </w:r>
      <w:r w:rsidRPr="00BE4901">
        <w:t>,</w:t>
      </w:r>
      <w:r w:rsidRPr="00BE4901">
        <w:rPr>
          <w:rtl/>
        </w:rPr>
        <w:t xml:space="preserve"> דהיינו פסוק ראשון</w:t>
      </w:r>
      <w:r w:rsidRPr="00BE4901">
        <w:t>,</w:t>
      </w:r>
      <w:r w:rsidRPr="00BE4901">
        <w:rPr>
          <w:rtl/>
        </w:rPr>
        <w:t xml:space="preserve"> אבל משאר פסוקים פטורים</w:t>
      </w:r>
      <w:r>
        <w:rPr>
          <w:rFonts w:hint="cs"/>
          <w:rtl/>
        </w:rPr>
        <w:t>.</w:t>
      </w:r>
      <w:r w:rsidR="008908C0" w:rsidRPr="000A01DC">
        <w:rPr>
          <w:rtl/>
        </w:rPr>
        <w:ptab w:relativeTo="margin" w:alignment="right" w:leader="none"/>
      </w:r>
      <w:r>
        <w:rPr>
          <w:rFonts w:hint="cs"/>
          <w:sz w:val="20"/>
          <w:szCs w:val="20"/>
          <w:rtl/>
        </w:rPr>
        <w:t>(אה</w:t>
      </w:r>
      <w:r w:rsidRPr="00BE4901">
        <w:rPr>
          <w:sz w:val="20"/>
          <w:szCs w:val="20"/>
          <w:rtl/>
        </w:rPr>
        <w:t xml:space="preserve">ל מועד שער קריאת שמע </w:t>
      </w:r>
      <w:r>
        <w:rPr>
          <w:rFonts w:hint="cs"/>
          <w:sz w:val="20"/>
          <w:szCs w:val="20"/>
          <w:rtl/>
        </w:rPr>
        <w:t>ב, ג</w:t>
      </w:r>
      <w:r w:rsidRPr="00695419">
        <w:rPr>
          <w:rFonts w:hint="cs"/>
          <w:bCs/>
          <w:sz w:val="20"/>
          <w:szCs w:val="20"/>
          <w:rtl/>
        </w:rPr>
        <w:t>)</w:t>
      </w:r>
      <w:r w:rsidRPr="005F2C6E">
        <w:rPr>
          <w:bCs/>
          <w:vertAlign w:val="superscript"/>
        </w:rPr>
        <w:footnoteReference w:id="10"/>
      </w:r>
    </w:p>
    <w:p w14:paraId="364583FC" w14:textId="02F6BEC8" w:rsidR="00460154" w:rsidRPr="00BE4901" w:rsidRDefault="00460154" w:rsidP="00D24090">
      <w:r w:rsidRPr="00BE4901">
        <w:rPr>
          <w:rtl/>
        </w:rPr>
        <w:t>לכאורה דברים אלו מחוסרי פשר: הואיל ונשים פטורות ממצוות קריאת שמע, מדוע עליהן לקרוא פסוק ראשו</w:t>
      </w:r>
      <w:r>
        <w:rPr>
          <w:rFonts w:hint="cs"/>
          <w:rtl/>
        </w:rPr>
        <w:t>ן?!</w:t>
      </w:r>
      <w:r w:rsidRPr="00695419">
        <w:rPr>
          <w:bCs/>
          <w:vertAlign w:val="superscript"/>
        </w:rPr>
        <w:footnoteReference w:id="11"/>
      </w:r>
      <w:r w:rsidRPr="00BE4901">
        <w:rPr>
          <w:rtl/>
        </w:rPr>
        <w:t xml:space="preserve"> על פי האמור נראה להציע שלשיטת</w:t>
      </w:r>
      <w:r>
        <w:rPr>
          <w:rFonts w:hint="cs"/>
          <w:rtl/>
        </w:rPr>
        <w:t>ו</w:t>
      </w:r>
      <w:r w:rsidRPr="00BE4901">
        <w:rPr>
          <w:rtl/>
        </w:rPr>
        <w:t xml:space="preserve"> נשים </w:t>
      </w:r>
      <w:r w:rsidRPr="00BE4901">
        <w:rPr>
          <w:rtl/>
        </w:rPr>
        <w:t>פטורות רק מ'מצוות הקריאה' – חובת קריאת שלוש הפרשיו</w:t>
      </w:r>
      <w:r>
        <w:rPr>
          <w:rFonts w:hint="cs"/>
          <w:rtl/>
        </w:rPr>
        <w:t xml:space="preserve">ת, שהיא </w:t>
      </w:r>
      <w:r w:rsidRPr="00BE4901">
        <w:rPr>
          <w:rtl/>
        </w:rPr>
        <w:t xml:space="preserve">חלק ממצוות תלמוד תורה שנשים פטורות ממנה. </w:t>
      </w:r>
      <w:r>
        <w:rPr>
          <w:rFonts w:hint="cs"/>
          <w:rtl/>
        </w:rPr>
        <w:t>לעומתה</w:t>
      </w:r>
      <w:r w:rsidRPr="00BE4901">
        <w:rPr>
          <w:rtl/>
        </w:rPr>
        <w:t>, 'מצות כוונה' – החובה לקבל עול מלכות שמיים – אמורה גם לגבי נשים, ולכן גם הן מחויבות לקרוא לכל הפחות את הפסוק הראשון בכוונה, וכך לקבל על עצמן עול מלכות שמיים.</w:t>
      </w:r>
    </w:p>
    <w:p w14:paraId="23E5203B" w14:textId="77777777" w:rsidR="00460154" w:rsidRPr="00DB3E48" w:rsidRDefault="00460154" w:rsidP="00D24090">
      <w:pPr>
        <w:pStyle w:val="Heading2"/>
      </w:pPr>
      <w:r w:rsidRPr="00DB3E48">
        <w:rPr>
          <w:rtl/>
        </w:rPr>
        <w:t>אופייה של מצוות תפילין</w:t>
      </w:r>
    </w:p>
    <w:p w14:paraId="28124E6D" w14:textId="77777777" w:rsidR="00460154" w:rsidRPr="00BE4901" w:rsidRDefault="00460154" w:rsidP="00D24090">
      <w:r w:rsidRPr="00BE4901">
        <w:rPr>
          <w:rtl/>
        </w:rPr>
        <w:t xml:space="preserve">לסיום נעיר שבשיעור הקודם טענו שמחלוקת הבבלי והירושלמי בהבנת גדר מצוות קריאת שמע – אם יסודה בחובת תלמוד תורה </w:t>
      </w:r>
      <w:r>
        <w:rPr>
          <w:rFonts w:hint="cs"/>
          <w:rtl/>
        </w:rPr>
        <w:t xml:space="preserve">או </w:t>
      </w:r>
      <w:r w:rsidRPr="00BE4901">
        <w:rPr>
          <w:rtl/>
        </w:rPr>
        <w:t>בחובה לקבל עול מלכות שמיים – קיימת גם לגבי מצוות תפילין. ואכן נראה שגם לגבי תפילין אפשר להציע ששני רבדים אלו קיימים כאחת: תפילין הן חלק ממצוות תלמוד תורה</w:t>
      </w:r>
      <w:r w:rsidRPr="00BE4901">
        <w:t>,</w:t>
      </w:r>
      <w:r w:rsidRPr="00BE4901">
        <w:rPr>
          <w:rtl/>
        </w:rPr>
        <w:t xml:space="preserve"> ונוסף על כך יש בהן קיום של קבלת עול מלכות שמיים – "עדות שממשלת קוני ומשרתו עלי"</w:t>
      </w:r>
      <w:r>
        <w:rPr>
          <w:rFonts w:hint="cs"/>
          <w:rtl/>
        </w:rPr>
        <w:t xml:space="preserve"> </w:t>
      </w:r>
      <w:r>
        <w:rPr>
          <w:rFonts w:hint="cs"/>
          <w:sz w:val="20"/>
          <w:szCs w:val="20"/>
          <w:rtl/>
        </w:rPr>
        <w:t>(</w:t>
      </w:r>
      <w:r w:rsidRPr="00BE4901">
        <w:rPr>
          <w:sz w:val="20"/>
          <w:szCs w:val="20"/>
          <w:rtl/>
        </w:rPr>
        <w:t>רש"י ברכות ל: ד"ה תפיל</w:t>
      </w:r>
      <w:r>
        <w:rPr>
          <w:rFonts w:hint="cs"/>
          <w:sz w:val="20"/>
          <w:szCs w:val="20"/>
          <w:rtl/>
        </w:rPr>
        <w:t>ין).</w:t>
      </w:r>
    </w:p>
    <w:p w14:paraId="61578104" w14:textId="77777777" w:rsidR="00460154" w:rsidRPr="00BE4901" w:rsidRDefault="00460154" w:rsidP="00D24090">
      <w:r w:rsidRPr="00BE4901">
        <w:rPr>
          <w:rtl/>
        </w:rPr>
        <w:t>שיטה זו משתמעת מדברי רבנו יונה:</w:t>
      </w:r>
    </w:p>
    <w:p w14:paraId="74FD52FD" w14:textId="6FCA7CC1" w:rsidR="00460154" w:rsidRPr="00BE4901" w:rsidRDefault="00460154" w:rsidP="00460154">
      <w:pPr>
        <w:ind w:left="227"/>
      </w:pPr>
      <w:r w:rsidRPr="00BE4901">
        <w:rPr>
          <w:rtl/>
        </w:rPr>
        <w:t>ואף על פי שמצות תפילין יש בהם מעשה</w:t>
      </w:r>
      <w:r w:rsidRPr="00BE4901">
        <w:t>,</w:t>
      </w:r>
      <w:r w:rsidRPr="00BE4901">
        <w:rPr>
          <w:rtl/>
        </w:rPr>
        <w:t xml:space="preserve"> והיה נראה שאינה נדחית מפני הלימוד</w:t>
      </w:r>
      <w:r w:rsidRPr="00BE4901">
        <w:t>,</w:t>
      </w:r>
      <w:r w:rsidRPr="00BE4901">
        <w:rPr>
          <w:rtl/>
        </w:rPr>
        <w:t xml:space="preserve"> אפי</w:t>
      </w:r>
      <w:r>
        <w:rPr>
          <w:rFonts w:hint="cs"/>
          <w:rtl/>
        </w:rPr>
        <w:t>לו</w:t>
      </w:r>
      <w:r w:rsidRPr="00BE4901">
        <w:rPr>
          <w:rtl/>
        </w:rPr>
        <w:t xml:space="preserve"> הכי במכילתא אמרינן שמי שעוסק בתורה פטור מן התפילין</w:t>
      </w:r>
      <w:r w:rsidRPr="00BE4901">
        <w:t>,</w:t>
      </w:r>
      <w:r w:rsidRPr="00BE4901">
        <w:rPr>
          <w:rtl/>
        </w:rPr>
        <w:t xml:space="preserve"> ואמרינן התם דטעמא דמלתא משום דבתפילין כתוב </w:t>
      </w:r>
      <w:r w:rsidRPr="00BE4901">
        <w:t>'</w:t>
      </w:r>
      <w:r w:rsidRPr="00BE4901">
        <w:rPr>
          <w:rtl/>
        </w:rPr>
        <w:t>למען תהיה תורת ה' בפ</w:t>
      </w:r>
      <w:r>
        <w:rPr>
          <w:rFonts w:hint="cs"/>
          <w:rtl/>
        </w:rPr>
        <w:t xml:space="preserve">יך', </w:t>
      </w:r>
      <w:r w:rsidRPr="00BE4901">
        <w:rPr>
          <w:rtl/>
        </w:rPr>
        <w:t>וכיון שטעם התפילין מפני התורה והוא עוסק בתורה כל היום</w:t>
      </w:r>
      <w:r w:rsidRPr="00BE4901">
        <w:t>,</w:t>
      </w:r>
      <w:r w:rsidRPr="00BE4901">
        <w:rPr>
          <w:rtl/>
        </w:rPr>
        <w:t xml:space="preserve"> זהו במקום תפילין</w:t>
      </w:r>
      <w:r w:rsidRPr="00BE4901">
        <w:t>.</w:t>
      </w:r>
      <w:r w:rsidRPr="00BE4901">
        <w:rPr>
          <w:rtl/>
        </w:rPr>
        <w:t xml:space="preserve"> ומכל מקום לא בא לפטור שלא יניחם בשעת קריאת שמע ותפלה</w:t>
      </w:r>
      <w:r w:rsidRPr="00BE4901">
        <w:t>,</w:t>
      </w:r>
      <w:r w:rsidRPr="00BE4901">
        <w:rPr>
          <w:rtl/>
        </w:rPr>
        <w:t xml:space="preserve"> שזה צריך הוא לקבל עליו עול מלכות שמים שלימה כדאמרינן לעיל, אלא הרווחנו בזה שאע"פ שהחיוב כל היום פוטר למי שעוסק בתור</w:t>
      </w:r>
      <w:r>
        <w:rPr>
          <w:rFonts w:hint="cs"/>
          <w:rtl/>
        </w:rPr>
        <w:t>ה.</w:t>
      </w:r>
      <w:r w:rsidR="00D24090" w:rsidRPr="000A01DC">
        <w:rPr>
          <w:rtl/>
        </w:rPr>
        <w:ptab w:relativeTo="margin" w:alignment="right" w:leader="none"/>
      </w:r>
      <w:r>
        <w:rPr>
          <w:rFonts w:hint="cs"/>
          <w:sz w:val="20"/>
          <w:szCs w:val="20"/>
          <w:rtl/>
        </w:rPr>
        <w:t>(</w:t>
      </w:r>
      <w:r w:rsidRPr="00BE4901">
        <w:rPr>
          <w:sz w:val="20"/>
          <w:szCs w:val="20"/>
          <w:rtl/>
        </w:rPr>
        <w:t>רבנו יונה ברכות</w:t>
      </w:r>
      <w:r>
        <w:rPr>
          <w:rFonts w:hint="cs"/>
          <w:sz w:val="20"/>
          <w:szCs w:val="20"/>
          <w:rtl/>
        </w:rPr>
        <w:t xml:space="preserve"> ט:)</w:t>
      </w:r>
    </w:p>
    <w:p w14:paraId="71C4525D" w14:textId="15301E51" w:rsidR="00952CF8" w:rsidRPr="00460154" w:rsidRDefault="00460154" w:rsidP="00460154">
      <w:pPr>
        <w:rPr>
          <w:rtl/>
        </w:rPr>
      </w:pPr>
      <w:r w:rsidRPr="00BE4901">
        <w:rPr>
          <w:rtl/>
        </w:rPr>
        <w:t>רבנו יונה מסביר שדברי המכילתא הפוטרת את העוסק בתורה מן התפילין מתייחסים לחובת הנחת התפילין כל היום, אך אין בכך כדי לפטור מחובת הנחת תפילין בשעת קריאת שמע ותפילה. נראה מכך שלשיטתו הנחת תפילין כל היום היא חלק ממצוות תלמוד תורה, וממנה פטור העוסק בתורה; ואילו הנחת תפילין בשעת קריאת שמע ותפילה היא משום קבלת עול מלכות שמיים, ובה חייב כל אדם.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0"/>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0"/>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A87A91">
              <w:rPr>
                <w:rFonts w:hint="cs"/>
                <w:rtl/>
              </w:rPr>
              <w:t>שלמה ליפשיץ</w:t>
            </w:r>
          </w:p>
          <w:p w14:paraId="48EA3746" w14:textId="0B968727" w:rsidR="00A0295B" w:rsidRDefault="00A0295B" w:rsidP="001041A0">
            <w:pPr>
              <w:pStyle w:val="a0"/>
              <w:rPr>
                <w:rtl/>
              </w:rPr>
            </w:pPr>
            <w:r>
              <w:rPr>
                <w:rFonts w:hint="cs"/>
                <w:rtl/>
              </w:rPr>
              <w:t>עורך: יהודה רוזנברג, תשפ"</w:t>
            </w:r>
            <w:r w:rsidR="00A87A91">
              <w:rPr>
                <w:rFonts w:hint="cs"/>
                <w:rtl/>
              </w:rPr>
              <w:t>ה</w:t>
            </w:r>
            <w:r>
              <w:rPr>
                <w:rFonts w:hint="cs"/>
                <w:rtl/>
              </w:rPr>
              <w:t>.</w:t>
            </w:r>
          </w:p>
          <w:bookmarkEnd w:id="2"/>
          <w:p w14:paraId="4FA0CEF0" w14:textId="77777777" w:rsidR="001041A0" w:rsidRDefault="001041A0" w:rsidP="001041A0">
            <w:pPr>
              <w:pStyle w:val="a0"/>
              <w:rPr>
                <w:rtl/>
              </w:rPr>
            </w:pPr>
            <w:r>
              <w:rPr>
                <w:rtl/>
              </w:rPr>
              <w:t>*******************************************************</w:t>
            </w:r>
          </w:p>
          <w:p w14:paraId="672FAA06" w14:textId="77777777" w:rsidR="001041A0" w:rsidRDefault="001041A0" w:rsidP="001041A0">
            <w:pPr>
              <w:pStyle w:val="a0"/>
              <w:rPr>
                <w:rtl/>
              </w:rPr>
            </w:pPr>
            <w:r>
              <w:rPr>
                <w:rtl/>
              </w:rPr>
              <w:t>בית המדרש הוירטואלי</w:t>
            </w:r>
          </w:p>
          <w:p w14:paraId="2A9A840B" w14:textId="77777777" w:rsidR="001041A0" w:rsidRDefault="001041A0" w:rsidP="001041A0">
            <w:pPr>
              <w:pStyle w:val="a0"/>
              <w:rPr>
                <w:rtl/>
              </w:rPr>
            </w:pPr>
            <w:r w:rsidRPr="005734F1">
              <w:rPr>
                <w:rtl/>
              </w:rPr>
              <w:t>מיסודו של</w:t>
            </w:r>
          </w:p>
          <w:p w14:paraId="04C86800" w14:textId="77777777" w:rsidR="001041A0" w:rsidRPr="005734F1" w:rsidRDefault="001041A0" w:rsidP="001041A0">
            <w:pPr>
              <w:pStyle w:val="a0"/>
              <w:rPr>
                <w:rtl/>
              </w:rPr>
            </w:pPr>
            <w:r w:rsidRPr="005734F1">
              <w:t>The Israel Koschitzky Virtual Beit Midrash</w:t>
            </w:r>
          </w:p>
          <w:p w14:paraId="174A7EDA" w14:textId="77777777" w:rsidR="001041A0" w:rsidRPr="00B75FB0" w:rsidRDefault="001041A0" w:rsidP="001041A0">
            <w:pPr>
              <w:pStyle w:val="a0"/>
              <w:jc w:val="both"/>
              <w:rPr>
                <w:noProof w:val="0"/>
                <w:rtl/>
              </w:rPr>
            </w:pPr>
            <w:r>
              <w:rPr>
                <w:noProof w:val="0"/>
                <w:rtl/>
              </w:rPr>
              <w:t>האתר בעברית:</w:t>
            </w:r>
            <w:r>
              <w:rPr>
                <w:noProof w:val="0"/>
                <w:rtl/>
              </w:rPr>
              <w:tab/>
            </w:r>
            <w:hyperlink r:id="rId14" w:history="1">
              <w:r w:rsidRPr="00862545">
                <w:rPr>
                  <w:rStyle w:val="Hyperlink"/>
                </w:rPr>
                <w:t>http://etzion.org.il/he</w:t>
              </w:r>
            </w:hyperlink>
          </w:p>
          <w:p w14:paraId="1FF1232D" w14:textId="77777777" w:rsidR="001041A0" w:rsidRDefault="001041A0" w:rsidP="001041A0">
            <w:pPr>
              <w:pStyle w:val="a0"/>
              <w:jc w:val="both"/>
              <w:rPr>
                <w:noProof w:val="0"/>
                <w:rtl/>
              </w:rPr>
            </w:pPr>
            <w:r>
              <w:rPr>
                <w:noProof w:val="0"/>
                <w:rtl/>
              </w:rPr>
              <w:t>האתר באנגלית:</w:t>
            </w:r>
            <w:r>
              <w:rPr>
                <w:noProof w:val="0"/>
                <w:rtl/>
              </w:rPr>
              <w:tab/>
            </w:r>
            <w:hyperlink r:id="rId15" w:history="1">
              <w:r w:rsidRPr="00862545">
                <w:rPr>
                  <w:rStyle w:val="Hyperlink"/>
                </w:rPr>
                <w:t>http://etzion.org.il/en</w:t>
              </w:r>
            </w:hyperlink>
          </w:p>
          <w:p w14:paraId="00DF2EBF" w14:textId="77777777" w:rsidR="001041A0" w:rsidRDefault="001041A0" w:rsidP="001041A0">
            <w:pPr>
              <w:pStyle w:val="a0"/>
              <w:rPr>
                <w:rtl/>
              </w:rPr>
            </w:pPr>
            <w:r>
              <w:rPr>
                <w:rtl/>
              </w:rPr>
              <w:t>משרדי בית המדרש הוירטואלי: 02-9937300 שלוחה 5</w:t>
            </w:r>
          </w:p>
          <w:p w14:paraId="62570EE7" w14:textId="4306D2B2" w:rsidR="001041A0" w:rsidRDefault="001041A0" w:rsidP="00952CF8">
            <w:pPr>
              <w:pStyle w:val="a0"/>
              <w:rPr>
                <w:noProof w:val="0"/>
              </w:rPr>
            </w:pPr>
            <w:r>
              <w:rPr>
                <w:noProof w:val="0"/>
                <w:rtl/>
              </w:rPr>
              <w:t>דוא</w:t>
            </w:r>
            <w:r>
              <w:rPr>
                <w:rFonts w:hint="cs"/>
                <w:noProof w:val="0"/>
                <w:rtl/>
              </w:rPr>
              <w:t>"</w:t>
            </w:r>
            <w:r>
              <w:rPr>
                <w:noProof w:val="0"/>
                <w:rtl/>
              </w:rPr>
              <w:t xml:space="preserve">ל: </w:t>
            </w:r>
            <w:hyperlink r:id="rId16"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0"/>
              <w:jc w:val="both"/>
              <w:rPr>
                <w:rtl/>
              </w:rPr>
            </w:pPr>
            <w:r>
              <w:rPr>
                <w:rtl/>
              </w:rPr>
              <w:t xml:space="preserve">* * * * * * * </w:t>
            </w:r>
          </w:p>
        </w:tc>
      </w:tr>
    </w:tbl>
    <w:p w14:paraId="34BAEE0B" w14:textId="0F07F5E6" w:rsidR="000B0D5F" w:rsidRPr="00F701C4" w:rsidRDefault="000B0D5F" w:rsidP="00B0459F">
      <w:pPr>
        <w:pStyle w:val="NoSpacing"/>
        <w:bidi/>
        <w:spacing w:line="280" w:lineRule="exact"/>
        <w:rPr>
          <w:rFonts w:ascii="Narkisim" w:hAnsi="Narkisim" w:cs="Narkisim"/>
          <w:rtl/>
          <w:lang w:bidi="he-IL"/>
        </w:rPr>
      </w:pPr>
    </w:p>
    <w:sectPr w:rsidR="000B0D5F" w:rsidRPr="00F701C4" w:rsidSect="00A818C5">
      <w:headerReference w:type="even" r:id="rId17"/>
      <w:headerReference w:type="default" r:id="rId18"/>
      <w:headerReference w:type="first" r:id="rId19"/>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FA1C" w14:textId="77777777" w:rsidR="003D2214" w:rsidRDefault="003D2214" w:rsidP="0073336C">
      <w:r>
        <w:separator/>
      </w:r>
    </w:p>
    <w:p w14:paraId="3D34D9D1" w14:textId="77777777" w:rsidR="003D2214" w:rsidRDefault="003D2214"/>
  </w:endnote>
  <w:endnote w:type="continuationSeparator" w:id="0">
    <w:p w14:paraId="0014EA5B" w14:textId="77777777" w:rsidR="003D2214" w:rsidRDefault="003D2214" w:rsidP="0073336C">
      <w:r>
        <w:continuationSeparator/>
      </w:r>
    </w:p>
    <w:p w14:paraId="3D6F5E4E" w14:textId="77777777" w:rsidR="003D2214" w:rsidRDefault="003D2214"/>
  </w:endnote>
  <w:endnote w:type="continuationNotice" w:id="1">
    <w:p w14:paraId="2D031CA9" w14:textId="77777777" w:rsidR="003D2214" w:rsidRDefault="003D2214">
      <w:pPr>
        <w:spacing w:after="0" w:line="240" w:lineRule="auto"/>
      </w:pPr>
    </w:p>
    <w:p w14:paraId="6B6F4659" w14:textId="77777777" w:rsidR="003D2214" w:rsidRDefault="003D2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67F8" w14:textId="77777777" w:rsidR="003D2214" w:rsidRDefault="003D2214" w:rsidP="0073336C">
      <w:r>
        <w:separator/>
      </w:r>
    </w:p>
    <w:p w14:paraId="2B7746E3" w14:textId="77777777" w:rsidR="003D2214" w:rsidRDefault="003D2214"/>
  </w:footnote>
  <w:footnote w:type="continuationSeparator" w:id="0">
    <w:p w14:paraId="54CE02F7" w14:textId="77777777" w:rsidR="003D2214" w:rsidRDefault="003D2214" w:rsidP="0073336C">
      <w:r>
        <w:continuationSeparator/>
      </w:r>
    </w:p>
    <w:p w14:paraId="7E54A9E3" w14:textId="77777777" w:rsidR="003D2214" w:rsidRDefault="003D2214"/>
  </w:footnote>
  <w:footnote w:type="continuationNotice" w:id="1">
    <w:p w14:paraId="3C530AD7" w14:textId="77777777" w:rsidR="003D2214" w:rsidRDefault="003D2214">
      <w:pPr>
        <w:spacing w:after="0" w:line="240" w:lineRule="auto"/>
      </w:pPr>
    </w:p>
    <w:p w14:paraId="58D3A615" w14:textId="77777777" w:rsidR="003D2214" w:rsidRDefault="003D2214"/>
  </w:footnote>
  <w:footnote w:id="2">
    <w:p w14:paraId="15DBDAFA" w14:textId="77777777" w:rsidR="00460154" w:rsidRPr="00C95F8C" w:rsidRDefault="00460154" w:rsidP="00C95F8C">
      <w:pPr>
        <w:pBdr>
          <w:top w:val="nil"/>
          <w:left w:val="nil"/>
          <w:bottom w:val="nil"/>
          <w:right w:val="nil"/>
          <w:between w:val="nil"/>
        </w:pBdr>
        <w:spacing w:after="0" w:line="240" w:lineRule="auto"/>
        <w:rPr>
          <w:color w:val="000000"/>
          <w:sz w:val="18"/>
          <w:szCs w:val="18"/>
        </w:rPr>
      </w:pPr>
      <w:r w:rsidRPr="00C95F8C">
        <w:rPr>
          <w:sz w:val="18"/>
          <w:szCs w:val="18"/>
          <w:vertAlign w:val="superscript"/>
        </w:rPr>
        <w:footnoteRef/>
      </w:r>
      <w:r w:rsidRPr="00C95F8C">
        <w:rPr>
          <w:color w:val="000000"/>
          <w:sz w:val="18"/>
          <w:szCs w:val="18"/>
          <w:rtl/>
        </w:rPr>
        <w:t xml:space="preserve"> בשיעור הבא נעסוק במחלוקת הראשונים בשאלת שיעור הקריאה מדאורייתא.</w:t>
      </w:r>
    </w:p>
  </w:footnote>
  <w:footnote w:id="3">
    <w:p w14:paraId="2E6C6C1B" w14:textId="77777777" w:rsidR="00460154" w:rsidRPr="00C95F8C" w:rsidRDefault="00460154" w:rsidP="00C95F8C">
      <w:pPr>
        <w:pBdr>
          <w:top w:val="nil"/>
          <w:left w:val="nil"/>
          <w:bottom w:val="nil"/>
          <w:right w:val="nil"/>
          <w:between w:val="nil"/>
        </w:pBdr>
        <w:spacing w:after="0" w:line="240" w:lineRule="auto"/>
        <w:rPr>
          <w:color w:val="000000"/>
          <w:sz w:val="18"/>
          <w:szCs w:val="18"/>
        </w:rPr>
      </w:pPr>
      <w:r w:rsidRPr="00C95F8C">
        <w:rPr>
          <w:sz w:val="18"/>
          <w:szCs w:val="18"/>
          <w:vertAlign w:val="superscript"/>
        </w:rPr>
        <w:footnoteRef/>
      </w:r>
      <w:r w:rsidRPr="00C95F8C">
        <w:rPr>
          <w:color w:val="000000"/>
          <w:sz w:val="18"/>
          <w:szCs w:val="18"/>
          <w:rtl/>
        </w:rPr>
        <w:t xml:space="preserve"> הגמרא (ברכות י</w:t>
      </w:r>
      <w:r w:rsidRPr="00C95F8C">
        <w:rPr>
          <w:rFonts w:hint="cs"/>
          <w:color w:val="000000"/>
          <w:sz w:val="18"/>
          <w:szCs w:val="18"/>
          <w:rtl/>
        </w:rPr>
        <w:t>ג:)</w:t>
      </w:r>
      <w:r w:rsidRPr="00C95F8C">
        <w:rPr>
          <w:color w:val="000000"/>
          <w:sz w:val="18"/>
          <w:szCs w:val="18"/>
        </w:rPr>
        <w:t xml:space="preserve"> </w:t>
      </w:r>
      <w:r w:rsidRPr="00C95F8C">
        <w:rPr>
          <w:rFonts w:hint="cs"/>
          <w:color w:val="000000"/>
          <w:sz w:val="18"/>
          <w:szCs w:val="18"/>
          <w:rtl/>
        </w:rPr>
        <w:t>מב</w:t>
      </w:r>
      <w:r w:rsidRPr="00C95F8C">
        <w:rPr>
          <w:color w:val="000000"/>
          <w:sz w:val="18"/>
          <w:szCs w:val="18"/>
          <w:rtl/>
        </w:rPr>
        <w:t>יאה דעה נוספת בשם רבי מאיר, ועל פיה נדרשת כוונה רק בפסוק הראשון. רבא פוסק כדעה זו.</w:t>
      </w:r>
    </w:p>
  </w:footnote>
  <w:footnote w:id="4">
    <w:p w14:paraId="107C25FF" w14:textId="77777777" w:rsidR="00460154" w:rsidRPr="00C95F8C" w:rsidRDefault="00460154" w:rsidP="00C95F8C">
      <w:pPr>
        <w:pBdr>
          <w:top w:val="nil"/>
          <w:left w:val="nil"/>
          <w:bottom w:val="nil"/>
          <w:right w:val="nil"/>
          <w:between w:val="nil"/>
        </w:pBdr>
        <w:spacing w:after="0" w:line="240" w:lineRule="auto"/>
        <w:rPr>
          <w:color w:val="000000"/>
          <w:sz w:val="18"/>
          <w:szCs w:val="18"/>
        </w:rPr>
      </w:pPr>
      <w:r w:rsidRPr="00C95F8C">
        <w:rPr>
          <w:sz w:val="18"/>
          <w:szCs w:val="18"/>
          <w:vertAlign w:val="superscript"/>
        </w:rPr>
        <w:footnoteRef/>
      </w:r>
      <w:r w:rsidRPr="00C95F8C">
        <w:rPr>
          <w:color w:val="000000"/>
          <w:sz w:val="18"/>
          <w:szCs w:val="18"/>
          <w:rtl/>
        </w:rPr>
        <w:t xml:space="preserve"> הגדרה זו מבוססת על דברי הריטב"א, אך רבי עקיבא איגר </w:t>
      </w:r>
      <w:r w:rsidRPr="00C95F8C">
        <w:rPr>
          <w:rFonts w:hint="cs"/>
          <w:color w:val="000000"/>
          <w:sz w:val="18"/>
          <w:szCs w:val="18"/>
          <w:rtl/>
        </w:rPr>
        <w:t>(</w:t>
      </w:r>
      <w:r w:rsidRPr="00C95F8C">
        <w:rPr>
          <w:color w:val="000000"/>
          <w:sz w:val="18"/>
          <w:szCs w:val="18"/>
          <w:rtl/>
        </w:rPr>
        <w:t xml:space="preserve">ליקוט תשובות וחידושים סימן </w:t>
      </w:r>
      <w:r w:rsidRPr="00C95F8C">
        <w:rPr>
          <w:rFonts w:hint="cs"/>
          <w:color w:val="000000"/>
          <w:sz w:val="18"/>
          <w:szCs w:val="18"/>
          <w:rtl/>
        </w:rPr>
        <w:t>ב)</w:t>
      </w:r>
      <w:r w:rsidRPr="00C95F8C">
        <w:rPr>
          <w:color w:val="000000"/>
          <w:sz w:val="18"/>
          <w:szCs w:val="18"/>
        </w:rPr>
        <w:t xml:space="preserve"> </w:t>
      </w:r>
      <w:r w:rsidRPr="00C95F8C">
        <w:rPr>
          <w:color w:val="000000"/>
          <w:sz w:val="18"/>
          <w:szCs w:val="18"/>
          <w:rtl/>
        </w:rPr>
        <w:t xml:space="preserve">טוען שאין חובה בכוונת המילים, ודי בכוונה כללית לקבל עול מלכות שמיים. [וע"ע ביאור הגר"א </w:t>
      </w:r>
      <w:r w:rsidRPr="00C95F8C">
        <w:rPr>
          <w:rFonts w:hint="cs"/>
          <w:color w:val="000000"/>
          <w:sz w:val="18"/>
          <w:szCs w:val="18"/>
          <w:rtl/>
        </w:rPr>
        <w:t>(</w:t>
      </w:r>
      <w:r w:rsidRPr="00C95F8C">
        <w:rPr>
          <w:color w:val="000000"/>
          <w:sz w:val="18"/>
          <w:szCs w:val="18"/>
          <w:rtl/>
        </w:rPr>
        <w:t>אורח חיים סימן ה ד"ה ויכוין</w:t>
      </w:r>
      <w:r w:rsidRPr="00C95F8C">
        <w:rPr>
          <w:rFonts w:hint="cs"/>
          <w:color w:val="000000"/>
          <w:sz w:val="18"/>
          <w:szCs w:val="18"/>
          <w:rtl/>
        </w:rPr>
        <w:t>)</w:t>
      </w:r>
      <w:r w:rsidRPr="00C95F8C">
        <w:rPr>
          <w:color w:val="000000"/>
          <w:sz w:val="18"/>
          <w:szCs w:val="18"/>
        </w:rPr>
        <w:t xml:space="preserve"> </w:t>
      </w:r>
      <w:r w:rsidRPr="00C95F8C">
        <w:rPr>
          <w:color w:val="000000"/>
          <w:sz w:val="18"/>
          <w:szCs w:val="18"/>
          <w:rtl/>
        </w:rPr>
        <w:t>שרק בפסוק ראשון של קריאת שמע יש לכוון בשם ה' גם את פירוש שם הוי"ה בכתיבת</w:t>
      </w:r>
      <w:r w:rsidRPr="00C95F8C">
        <w:rPr>
          <w:rFonts w:hint="cs"/>
          <w:color w:val="000000"/>
          <w:sz w:val="18"/>
          <w:szCs w:val="18"/>
          <w:rtl/>
        </w:rPr>
        <w:t>ו.]</w:t>
      </w:r>
    </w:p>
  </w:footnote>
  <w:footnote w:id="5">
    <w:p w14:paraId="05CA677B" w14:textId="77777777" w:rsidR="00460154" w:rsidRPr="00C95F8C" w:rsidRDefault="00460154" w:rsidP="00C95F8C">
      <w:pPr>
        <w:pBdr>
          <w:top w:val="nil"/>
          <w:left w:val="nil"/>
          <w:bottom w:val="nil"/>
          <w:right w:val="nil"/>
          <w:between w:val="nil"/>
        </w:pBdr>
        <w:spacing w:after="0" w:line="240" w:lineRule="auto"/>
        <w:rPr>
          <w:color w:val="000000"/>
          <w:sz w:val="18"/>
          <w:szCs w:val="18"/>
        </w:rPr>
      </w:pPr>
      <w:r w:rsidRPr="00C95F8C">
        <w:rPr>
          <w:sz w:val="18"/>
          <w:szCs w:val="18"/>
          <w:vertAlign w:val="superscript"/>
        </w:rPr>
        <w:footnoteRef/>
      </w:r>
      <w:r w:rsidRPr="00C95F8C">
        <w:rPr>
          <w:color w:val="000000"/>
          <w:sz w:val="18"/>
          <w:szCs w:val="18"/>
          <w:rtl/>
        </w:rPr>
        <w:t xml:space="preserve"> הגרי"ד סולובייצ'יק (רשימות שיעורים ברכות ב. 'בענין שומע כעונה בקריאת שמע ובתפילה') מבאר על פי זה מדוע אין דין 'שומע כעונה' בקריאת שמע: דין 'שומע כעונה' נאמר ביחס למצוות שבדיבור, אך בקריאת שמע המצווה אינה בפה אלא גם בלב – קבלת עול מלכות שמיים, ודיבור הפה הוא רק הביטוי לקבלת עול מלכות שמיים שבלב. בשל כך צריכה הקריאה להיעשות על ידי כל אחד בפני עצמו [וכן כותב הצפנת פענח (קריאת שמע ב, א)</w:t>
      </w:r>
      <w:r w:rsidRPr="00C95F8C">
        <w:rPr>
          <w:rFonts w:hint="cs"/>
          <w:color w:val="000000"/>
          <w:sz w:val="18"/>
          <w:szCs w:val="18"/>
          <w:rtl/>
        </w:rPr>
        <w:t>.]</w:t>
      </w:r>
    </w:p>
  </w:footnote>
  <w:footnote w:id="6">
    <w:p w14:paraId="40F083DE" w14:textId="77777777" w:rsidR="00460154" w:rsidRPr="00C95F8C" w:rsidRDefault="00460154" w:rsidP="00C95F8C">
      <w:pPr>
        <w:pBdr>
          <w:top w:val="nil"/>
          <w:left w:val="nil"/>
          <w:bottom w:val="nil"/>
          <w:right w:val="nil"/>
          <w:between w:val="nil"/>
        </w:pBdr>
        <w:spacing w:after="0" w:line="240" w:lineRule="auto"/>
        <w:rPr>
          <w:color w:val="000000"/>
          <w:sz w:val="18"/>
          <w:szCs w:val="18"/>
        </w:rPr>
      </w:pPr>
      <w:r w:rsidRPr="00C95F8C">
        <w:rPr>
          <w:sz w:val="18"/>
          <w:szCs w:val="18"/>
          <w:vertAlign w:val="superscript"/>
        </w:rPr>
        <w:footnoteRef/>
      </w:r>
      <w:r w:rsidRPr="00C95F8C">
        <w:rPr>
          <w:color w:val="000000"/>
          <w:sz w:val="18"/>
          <w:szCs w:val="18"/>
          <w:rtl/>
        </w:rPr>
        <w:t xml:space="preserve"> אומנם שיטתו צריכה ביאו</w:t>
      </w:r>
      <w:r w:rsidRPr="00C95F8C">
        <w:rPr>
          <w:rFonts w:hint="cs"/>
          <w:color w:val="000000"/>
          <w:sz w:val="18"/>
          <w:szCs w:val="18"/>
          <w:rtl/>
        </w:rPr>
        <w:t xml:space="preserve">ר </w:t>
      </w:r>
      <w:r w:rsidRPr="00C95F8C">
        <w:rPr>
          <w:color w:val="000000"/>
          <w:sz w:val="18"/>
          <w:szCs w:val="18"/>
        </w:rPr>
        <w:t>–</w:t>
      </w:r>
      <w:r w:rsidRPr="00C95F8C">
        <w:rPr>
          <w:color w:val="000000"/>
          <w:sz w:val="18"/>
          <w:szCs w:val="18"/>
          <w:rtl/>
        </w:rPr>
        <w:t xml:space="preserve"> מדוע אם כן חובת הכוונה אינה קיימת בכל הפרשיות</w:t>
      </w:r>
      <w:r w:rsidRPr="00C95F8C">
        <w:rPr>
          <w:color w:val="000000"/>
          <w:sz w:val="18"/>
          <w:szCs w:val="18"/>
        </w:rPr>
        <w:t>?</w:t>
      </w:r>
    </w:p>
  </w:footnote>
  <w:footnote w:id="7">
    <w:p w14:paraId="65FFBF9A" w14:textId="77777777" w:rsidR="00460154" w:rsidRPr="00C95F8C" w:rsidRDefault="00460154" w:rsidP="00C95F8C">
      <w:pPr>
        <w:pStyle w:val="FootnoteText"/>
        <w:spacing w:after="0"/>
        <w:ind w:left="0" w:firstLine="0"/>
        <w:rPr>
          <w:rtl/>
        </w:rPr>
      </w:pPr>
      <w:r w:rsidRPr="00D97254">
        <w:rPr>
          <w:rStyle w:val="FootnoteReference"/>
          <w:rFonts w:eastAsia="Narkisim"/>
          <w:vertAlign w:val="superscript"/>
        </w:rPr>
        <w:footnoteRef/>
      </w:r>
      <w:r w:rsidRPr="00C95F8C">
        <w:rPr>
          <w:rtl/>
        </w:rPr>
        <w:t xml:space="preserve"> </w:t>
      </w:r>
      <w:r w:rsidRPr="00C95F8C">
        <w:rPr>
          <w:rFonts w:hint="cs"/>
          <w:rtl/>
        </w:rPr>
        <w:t>כן מוכיח אבי מורי, הרב אליהו ליפשיץ, בספרו 'תורת אמך' (עמ' 6, עמ' 131).</w:t>
      </w:r>
    </w:p>
  </w:footnote>
  <w:footnote w:id="8">
    <w:p w14:paraId="1F665CA0" w14:textId="77777777" w:rsidR="00460154" w:rsidRPr="00C95F8C" w:rsidRDefault="00460154" w:rsidP="00C95F8C">
      <w:pPr>
        <w:pBdr>
          <w:top w:val="nil"/>
          <w:left w:val="nil"/>
          <w:bottom w:val="nil"/>
          <w:right w:val="nil"/>
          <w:between w:val="nil"/>
        </w:pBdr>
        <w:spacing w:after="0" w:line="240" w:lineRule="auto"/>
        <w:rPr>
          <w:color w:val="000000"/>
          <w:sz w:val="18"/>
          <w:szCs w:val="18"/>
        </w:rPr>
      </w:pPr>
      <w:r w:rsidRPr="00C95F8C">
        <w:rPr>
          <w:sz w:val="18"/>
          <w:szCs w:val="18"/>
          <w:vertAlign w:val="superscript"/>
        </w:rPr>
        <w:footnoteRef/>
      </w:r>
      <w:r w:rsidRPr="00C95F8C">
        <w:rPr>
          <w:color w:val="000000"/>
          <w:sz w:val="18"/>
          <w:szCs w:val="18"/>
          <w:rtl/>
        </w:rPr>
        <w:t xml:space="preserve"> בשיעור הבא נרחיב בביאור שיטה זו.</w:t>
      </w:r>
    </w:p>
  </w:footnote>
  <w:footnote w:id="9">
    <w:p w14:paraId="34FC2C42" w14:textId="77777777" w:rsidR="00460154" w:rsidRPr="00C95F8C" w:rsidRDefault="00460154" w:rsidP="00C95F8C">
      <w:pPr>
        <w:pStyle w:val="FootnoteText"/>
        <w:spacing w:after="0"/>
        <w:ind w:left="0" w:firstLine="0"/>
        <w:rPr>
          <w:rtl/>
        </w:rPr>
      </w:pPr>
      <w:r w:rsidRPr="00D97254">
        <w:rPr>
          <w:rStyle w:val="FootnoteReference"/>
          <w:rFonts w:eastAsia="Narkisim"/>
          <w:vertAlign w:val="superscript"/>
        </w:rPr>
        <w:footnoteRef/>
      </w:r>
      <w:r w:rsidRPr="00C95F8C">
        <w:rPr>
          <w:rtl/>
        </w:rPr>
        <w:t xml:space="preserve"> </w:t>
      </w:r>
      <w:r w:rsidRPr="00C95F8C">
        <w:rPr>
          <w:rFonts w:hint="cs"/>
          <w:rtl/>
        </w:rPr>
        <w:t>'אהל מועד' הוא חיבורו ההלכתי המקיף של ר' שמואל ב"ר משולם ירונדי, בן דורו של רבי יעקב בן הרא"ש בעל הטורים, שחי בגירונה שבספרד. קטעים מחיבורו מוזכרים בבית יוסף.</w:t>
      </w:r>
    </w:p>
  </w:footnote>
  <w:footnote w:id="10">
    <w:p w14:paraId="493ABA6A" w14:textId="77777777" w:rsidR="00460154" w:rsidRPr="00C95F8C" w:rsidRDefault="00460154" w:rsidP="00C95F8C">
      <w:pPr>
        <w:pBdr>
          <w:top w:val="nil"/>
          <w:left w:val="nil"/>
          <w:bottom w:val="nil"/>
          <w:right w:val="nil"/>
          <w:between w:val="nil"/>
        </w:pBdr>
        <w:spacing w:after="0" w:line="240" w:lineRule="auto"/>
        <w:rPr>
          <w:color w:val="000000"/>
          <w:sz w:val="18"/>
          <w:szCs w:val="18"/>
        </w:rPr>
      </w:pPr>
      <w:r w:rsidRPr="00C95F8C">
        <w:rPr>
          <w:sz w:val="18"/>
          <w:szCs w:val="18"/>
          <w:vertAlign w:val="superscript"/>
        </w:rPr>
        <w:footnoteRef/>
      </w:r>
      <w:r w:rsidRPr="00C95F8C">
        <w:rPr>
          <w:color w:val="000000"/>
          <w:sz w:val="18"/>
          <w:szCs w:val="18"/>
          <w:rtl/>
        </w:rPr>
        <w:t xml:space="preserve"> דבריו מובאים בבית יוסף (אורח חיים סימן ע ד"ה כתוב)</w:t>
      </w:r>
      <w:r w:rsidRPr="00C95F8C">
        <w:rPr>
          <w:color w:val="000000"/>
          <w:sz w:val="18"/>
          <w:szCs w:val="18"/>
        </w:rPr>
        <w:t>.</w:t>
      </w:r>
    </w:p>
  </w:footnote>
  <w:footnote w:id="11">
    <w:p w14:paraId="6D0E5790" w14:textId="77777777" w:rsidR="00460154" w:rsidRPr="00C95F8C" w:rsidRDefault="00460154" w:rsidP="00C95F8C">
      <w:pPr>
        <w:pBdr>
          <w:top w:val="nil"/>
          <w:left w:val="nil"/>
          <w:bottom w:val="nil"/>
          <w:right w:val="nil"/>
          <w:between w:val="nil"/>
        </w:pBdr>
        <w:spacing w:after="0" w:line="240" w:lineRule="auto"/>
        <w:rPr>
          <w:color w:val="000000"/>
          <w:sz w:val="18"/>
          <w:szCs w:val="18"/>
        </w:rPr>
      </w:pPr>
      <w:r w:rsidRPr="00C95F8C">
        <w:rPr>
          <w:sz w:val="18"/>
          <w:szCs w:val="18"/>
          <w:vertAlign w:val="superscript"/>
        </w:rPr>
        <w:footnoteRef/>
      </w:r>
      <w:r w:rsidRPr="00C95F8C">
        <w:rPr>
          <w:color w:val="000000"/>
          <w:sz w:val="18"/>
          <w:szCs w:val="18"/>
          <w:rtl/>
        </w:rPr>
        <w:t xml:space="preserve"> ואכן השולחן ערוך </w:t>
      </w:r>
      <w:r w:rsidRPr="00C95F8C">
        <w:rPr>
          <w:rFonts w:hint="cs"/>
          <w:color w:val="000000"/>
          <w:sz w:val="18"/>
          <w:szCs w:val="18"/>
          <w:rtl/>
        </w:rPr>
        <w:t>(א</w:t>
      </w:r>
      <w:r w:rsidRPr="00C95F8C">
        <w:rPr>
          <w:color w:val="000000"/>
          <w:sz w:val="18"/>
          <w:szCs w:val="18"/>
          <w:rtl/>
        </w:rPr>
        <w:t>ורח חיי</w:t>
      </w:r>
      <w:r w:rsidRPr="00C95F8C">
        <w:rPr>
          <w:rFonts w:hint="cs"/>
          <w:color w:val="000000"/>
          <w:sz w:val="18"/>
          <w:szCs w:val="18"/>
          <w:rtl/>
        </w:rPr>
        <w:t xml:space="preserve">ם ע, א) </w:t>
      </w:r>
      <w:r w:rsidRPr="00C95F8C">
        <w:rPr>
          <w:color w:val="000000"/>
          <w:sz w:val="18"/>
          <w:szCs w:val="18"/>
          <w:rtl/>
        </w:rPr>
        <w:t>אינו מביא זאת כחובה גמורה אלא כהנהגה ראויה: "ונכון ללמדם שיקבלו עליהן עול מלכות שמים".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Header"/>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9B1F" w14:textId="27A1F897" w:rsidR="00AB63F8" w:rsidRDefault="00383D8E" w:rsidP="00952CF8">
    <w:pPr>
      <w:pStyle w:val="Heade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D2214"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631C"/>
    <w:multiLevelType w:val="multilevel"/>
    <w:tmpl w:val="E33055F4"/>
    <w:lvl w:ilvl="0">
      <w:start w:val="1"/>
      <w:numFmt w:val="decimal"/>
      <w:lvlText w:val="%1."/>
      <w:lvlJc w:val="left"/>
      <w:pPr>
        <w:ind w:left="626" w:hanging="360"/>
      </w:pPr>
    </w:lvl>
    <w:lvl w:ilvl="1">
      <w:start w:val="1"/>
      <w:numFmt w:val="lowerLetter"/>
      <w:lvlText w:val="%2."/>
      <w:lvlJc w:val="left"/>
      <w:pPr>
        <w:ind w:left="1346" w:hanging="360"/>
      </w:pPr>
    </w:lvl>
    <w:lvl w:ilvl="2">
      <w:start w:val="1"/>
      <w:numFmt w:val="lowerRoman"/>
      <w:lvlText w:val="%3."/>
      <w:lvlJc w:val="right"/>
      <w:pPr>
        <w:ind w:left="2066" w:hanging="180"/>
      </w:pPr>
    </w:lvl>
    <w:lvl w:ilvl="3">
      <w:start w:val="1"/>
      <w:numFmt w:val="decimal"/>
      <w:lvlText w:val="%4."/>
      <w:lvlJc w:val="left"/>
      <w:pPr>
        <w:ind w:left="2786" w:hanging="360"/>
      </w:pPr>
    </w:lvl>
    <w:lvl w:ilvl="4">
      <w:start w:val="1"/>
      <w:numFmt w:val="lowerLetter"/>
      <w:lvlText w:val="%5."/>
      <w:lvlJc w:val="left"/>
      <w:pPr>
        <w:ind w:left="3506" w:hanging="360"/>
      </w:pPr>
    </w:lvl>
    <w:lvl w:ilvl="5">
      <w:start w:val="1"/>
      <w:numFmt w:val="lowerRoman"/>
      <w:lvlText w:val="%6."/>
      <w:lvlJc w:val="right"/>
      <w:pPr>
        <w:ind w:left="4226" w:hanging="180"/>
      </w:pPr>
    </w:lvl>
    <w:lvl w:ilvl="6">
      <w:start w:val="1"/>
      <w:numFmt w:val="decimal"/>
      <w:lvlText w:val="%7."/>
      <w:lvlJc w:val="left"/>
      <w:pPr>
        <w:ind w:left="4946" w:hanging="360"/>
      </w:pPr>
    </w:lvl>
    <w:lvl w:ilvl="7">
      <w:start w:val="1"/>
      <w:numFmt w:val="lowerLetter"/>
      <w:lvlText w:val="%8."/>
      <w:lvlJc w:val="left"/>
      <w:pPr>
        <w:ind w:left="5666" w:hanging="360"/>
      </w:pPr>
    </w:lvl>
    <w:lvl w:ilvl="8">
      <w:start w:val="1"/>
      <w:numFmt w:val="lowerRoman"/>
      <w:lvlText w:val="%9."/>
      <w:lvlJc w:val="right"/>
      <w:pPr>
        <w:ind w:left="6386"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510836"/>
    <w:multiLevelType w:val="hybridMultilevel"/>
    <w:tmpl w:val="FCAC1996"/>
    <w:lvl w:ilvl="0" w:tplc="5CFE04DE">
      <w:start w:val="1"/>
      <w:numFmt w:val="hebrew1"/>
      <w:lvlText w:val="%1."/>
      <w:lvlJc w:val="left"/>
      <w:pPr>
        <w:ind w:left="986"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3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2"/>
  </w:num>
  <w:num w:numId="4">
    <w:abstractNumId w:val="12"/>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1"/>
  </w:num>
  <w:num w:numId="8">
    <w:abstractNumId w:val="11"/>
  </w:num>
  <w:num w:numId="9">
    <w:abstractNumId w:val="5"/>
  </w:num>
  <w:num w:numId="10">
    <w:abstractNumId w:val="2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8"/>
  </w:num>
  <w:num w:numId="14">
    <w:abstractNumId w:val="17"/>
  </w:num>
  <w:num w:numId="15">
    <w:abstractNumId w:val="27"/>
  </w:num>
  <w:num w:numId="16">
    <w:abstractNumId w:val="40"/>
  </w:num>
  <w:num w:numId="17">
    <w:abstractNumId w:val="19"/>
  </w:num>
  <w:num w:numId="18">
    <w:abstractNumId w:val="26"/>
  </w:num>
  <w:num w:numId="19">
    <w:abstractNumId w:val="21"/>
  </w:num>
  <w:num w:numId="20">
    <w:abstractNumId w:val="8"/>
  </w:num>
  <w:num w:numId="21">
    <w:abstractNumId w:val="6"/>
  </w:num>
  <w:num w:numId="22">
    <w:abstractNumId w:val="2"/>
  </w:num>
  <w:num w:numId="23">
    <w:abstractNumId w:val="0"/>
  </w:num>
  <w:num w:numId="24">
    <w:abstractNumId w:val="42"/>
  </w:num>
  <w:num w:numId="25">
    <w:abstractNumId w:val="37"/>
  </w:num>
  <w:num w:numId="26">
    <w:abstractNumId w:val="18"/>
  </w:num>
  <w:num w:numId="27">
    <w:abstractNumId w:val="1"/>
  </w:num>
  <w:num w:numId="28">
    <w:abstractNumId w:val="7"/>
  </w:num>
  <w:num w:numId="29">
    <w:abstractNumId w:val="33"/>
  </w:num>
  <w:num w:numId="30">
    <w:abstractNumId w:val="16"/>
  </w:num>
  <w:num w:numId="31">
    <w:abstractNumId w:val="13"/>
  </w:num>
  <w:num w:numId="32">
    <w:abstractNumId w:val="30"/>
  </w:num>
  <w:num w:numId="33">
    <w:abstractNumId w:val="29"/>
  </w:num>
  <w:num w:numId="34">
    <w:abstractNumId w:val="4"/>
  </w:num>
  <w:num w:numId="35">
    <w:abstractNumId w:val="41"/>
  </w:num>
  <w:num w:numId="36">
    <w:abstractNumId w:val="35"/>
  </w:num>
  <w:num w:numId="37">
    <w:abstractNumId w:val="10"/>
  </w:num>
  <w:num w:numId="38">
    <w:abstractNumId w:val="36"/>
  </w:num>
  <w:num w:numId="39">
    <w:abstractNumId w:val="15"/>
  </w:num>
  <w:num w:numId="40">
    <w:abstractNumId w:val="25"/>
  </w:num>
  <w:num w:numId="41">
    <w:abstractNumId w:val="32"/>
  </w:num>
  <w:num w:numId="42">
    <w:abstractNumId w:val="3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214"/>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02F"/>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25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6C"/>
    <w:pPr>
      <w:bidi/>
      <w:spacing w:after="120" w:line="288" w:lineRule="exact"/>
      <w:jc w:val="both"/>
    </w:pPr>
    <w:rPr>
      <w:rFonts w:ascii="Narkisim" w:eastAsia="Calibri" w:hAnsi="Narkisim" w:cs="Narkisim"/>
      <w:noProof/>
      <w:sz w:val="24"/>
      <w:szCs w:val="24"/>
    </w:rPr>
  </w:style>
  <w:style w:type="paragraph" w:styleId="Heading1">
    <w:name w:val="heading 1"/>
    <w:basedOn w:val="Normal"/>
    <w:next w:val="Normal"/>
    <w:link w:val="Heading1Char"/>
    <w:qFormat/>
    <w:rsid w:val="0076500A"/>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D04B9C"/>
    <w:pPr>
      <w:spacing w:after="80"/>
      <w:jc w:val="left"/>
      <w:outlineLvl w:val="1"/>
    </w:pPr>
    <w:rPr>
      <w:b/>
      <w:sz w:val="28"/>
      <w:szCs w:val="28"/>
    </w:rPr>
  </w:style>
  <w:style w:type="paragraph" w:styleId="Heading3">
    <w:name w:val="heading 3"/>
    <w:basedOn w:val="Normal"/>
    <w:next w:val="Normal"/>
    <w:link w:val="Heading3Char"/>
    <w:rsid w:val="00010759"/>
    <w:pPr>
      <w:outlineLvl w:val="2"/>
    </w:pPr>
    <w:rPr>
      <w:b/>
      <w:bCs/>
    </w:rPr>
  </w:style>
  <w:style w:type="paragraph" w:styleId="Heading4">
    <w:name w:val="heading 4"/>
    <w:basedOn w:val="Heading3"/>
    <w:next w:val="Normal"/>
    <w:link w:val="Heading4Char"/>
    <w:uiPriority w:val="9"/>
    <w:qFormat/>
    <w:rsid w:val="00B06BD8"/>
    <w:pPr>
      <w:outlineLvl w:val="3"/>
    </w:pPr>
    <w:rPr>
      <w:sz w:val="20"/>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500A"/>
    <w:rPr>
      <w:rFonts w:ascii="Narkisim" w:eastAsia="Calibri" w:hAnsi="Narkisim" w:cs="Arial"/>
      <w:bCs/>
      <w:noProof/>
      <w:sz w:val="24"/>
      <w:szCs w:val="44"/>
    </w:rPr>
  </w:style>
  <w:style w:type="character" w:customStyle="1" w:styleId="Heading2Char">
    <w:name w:val="Heading 2 Char"/>
    <w:link w:val="Heading2"/>
    <w:uiPriority w:val="9"/>
    <w:rsid w:val="00D04B9C"/>
    <w:rPr>
      <w:rFonts w:ascii="Narkisim" w:eastAsia="Calibri" w:hAnsi="Narkisim" w:cs="Arial"/>
      <w:b/>
      <w:bCs/>
      <w:noProof/>
      <w:sz w:val="28"/>
      <w:szCs w:val="28"/>
    </w:rPr>
  </w:style>
  <w:style w:type="character" w:customStyle="1" w:styleId="Heading3Char">
    <w:name w:val="Heading 3 Char"/>
    <w:link w:val="Heading3"/>
    <w:rsid w:val="00010759"/>
    <w:rPr>
      <w:rFonts w:ascii="Narkisim" w:eastAsia="Calibri" w:hAnsi="Narkisim" w:cs="Narkisim"/>
      <w:b/>
      <w:bCs/>
      <w:noProof/>
      <w:sz w:val="24"/>
      <w:szCs w:val="24"/>
    </w:rPr>
  </w:style>
  <w:style w:type="character" w:customStyle="1" w:styleId="Heading4Char">
    <w:name w:val="Heading 4 Char"/>
    <w:link w:val="Heading4"/>
    <w:uiPriority w:val="9"/>
    <w:rsid w:val="00B06BD8"/>
    <w:rPr>
      <w:rFonts w:ascii="Narkisim" w:eastAsia="Calibri" w:hAnsi="Narkisim" w:cs="Arial"/>
      <w:b/>
      <w:bCs/>
      <w:szCs w:val="24"/>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EB07AE"/>
    <w:pPr>
      <w:spacing w:line="220" w:lineRule="exact"/>
      <w:ind w:left="284" w:hanging="284"/>
    </w:pPr>
    <w:rPr>
      <w:rFonts w:eastAsia="Narkisim"/>
      <w:position w:val="6"/>
      <w:sz w:val="18"/>
      <w:szCs w:val="18"/>
    </w:rPr>
  </w:style>
  <w:style w:type="character" w:customStyle="1" w:styleId="FootnoteTextChar">
    <w:name w:val="Footnote Text Char"/>
    <w:aliases w:val="הערת שוליים Char"/>
    <w:link w:val="FootnoteText"/>
    <w:uiPriority w:val="99"/>
    <w:rsid w:val="00EB07AE"/>
    <w:rPr>
      <w:rFonts w:ascii="Narkisim" w:eastAsia="Narkisim" w:hAnsi="Narkisim" w:cs="Narkisim"/>
      <w:position w:val="6"/>
      <w:sz w:val="18"/>
      <w:szCs w:val="18"/>
    </w:rPr>
  </w:style>
  <w:style w:type="character" w:styleId="FootnoteReference">
    <w:name w:val="footnote reference"/>
    <w:aliases w:val="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uiPriority w:val="29"/>
    <w:qFormat/>
    <w:rsid w:val="0021417A"/>
    <w:rPr>
      <w:rFonts w:asciiTheme="minorBidi" w:hAnsiTheme="minorBidi" w:cstheme="minorBidi"/>
    </w:rPr>
  </w:style>
  <w:style w:type="character" w:customStyle="1" w:styleId="QuoteChar">
    <w:name w:val="Quote Char"/>
    <w:aliases w:val="הצעת מחיר Char"/>
    <w:link w:val="Quote"/>
    <w:rsid w:val="0021417A"/>
    <w:rPr>
      <w:rFonts w:asciiTheme="minorBidi" w:hAnsiTheme="minorBidi" w:cstheme="minorBidi"/>
      <w:sz w:val="24"/>
      <w:szCs w:val="24"/>
    </w:rPr>
  </w:style>
  <w:style w:type="paragraph" w:customStyle="1" w:styleId="a0">
    <w:name w:val="לוגו תחתון"/>
    <w:basedOn w:val="Normal"/>
    <w:uiPriority w:val="99"/>
    <w:rsid w:val="006F016B"/>
    <w:pPr>
      <w:tabs>
        <w:tab w:val="right" w:pos="3895"/>
      </w:tabs>
      <w:spacing w:after="0" w:line="240" w:lineRule="auto"/>
      <w:jc w:val="center"/>
    </w:pPr>
    <w:rPr>
      <w:b/>
      <w:bCs/>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spacing w:after="0" w:line="360" w:lineRule="auto"/>
    </w:pPr>
    <w:rPr>
      <w:rFonts w:ascii="Times New Roman" w:hAnsi="Times New Roman"/>
      <w:sz w:val="22"/>
      <w:lang w:eastAsia="he-IL"/>
    </w:rPr>
  </w:style>
  <w:style w:type="paragraph" w:customStyle="1" w:styleId="a3">
    <w:name w:val="נ"/>
    <w:basedOn w:val="Normal"/>
    <w:rsid w:val="00144C37"/>
    <w:pPr>
      <w:tabs>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D605F5"/>
    <w:rPr>
      <w:rFonts w:ascii="Calibri" w:hAnsi="Calibri" w:cs="Arial"/>
      <w:sz w:val="22"/>
      <w:szCs w:val="22"/>
      <w:lang w:bidi="ar-SA"/>
    </w:rPr>
  </w:style>
  <w:style w:type="character" w:customStyle="1" w:styleId="NoSpacingChar">
    <w:name w:val="No Spacing Char"/>
    <w:link w:val="NoSpacing"/>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spacing w:after="160" w:line="360" w:lineRule="auto"/>
      <w:ind w:left="220"/>
    </w:pPr>
    <w:rPr>
      <w:rFonts w:ascii="Calibri" w:hAnsi="Calibri" w:cs="David"/>
      <w:sz w:val="22"/>
    </w:rPr>
  </w:style>
  <w:style w:type="paragraph" w:styleId="PlainText">
    <w:name w:val="Plain Text"/>
    <w:basedOn w:val="Normal"/>
    <w:link w:val="PlainTextChar"/>
    <w:semiHidden/>
    <w:rsid w:val="00D605F5"/>
    <w:pPr>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1">
    <w:name w:val="ציטוט1"/>
    <w:basedOn w:val="Normal"/>
    <w:link w:val="12"/>
    <w:qFormat/>
    <w:rsid w:val="00DE03D8"/>
    <w:pPr>
      <w:ind w:left="720"/>
    </w:pPr>
    <w:rPr>
      <w:sz w:val="22"/>
      <w:szCs w:val="22"/>
    </w:rPr>
  </w:style>
  <w:style w:type="character" w:customStyle="1" w:styleId="12">
    <w:name w:val="ציטוט1 תו"/>
    <w:basedOn w:val="DefaultParagraphFont"/>
    <w:link w:val="11"/>
    <w:rsid w:val="00DE03D8"/>
    <w:rPr>
      <w:rFonts w:ascii="Narkisim" w:eastAsia="Calibri" w:hAnsi="Narkisim" w:cs="Narkisim"/>
      <w:noProof/>
      <w:sz w:val="22"/>
      <w:szCs w:val="22"/>
    </w:rPr>
  </w:style>
  <w:style w:type="paragraph" w:customStyle="1" w:styleId="a4">
    <w:name w:val="ציטוט תו"/>
    <w:basedOn w:val="Normal"/>
    <w:next w:val="Normal"/>
    <w:link w:val="a5"/>
    <w:rsid w:val="00AB5B46"/>
    <w:pPr>
      <w:tabs>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 w:type="character" w:styleId="PlaceholderText">
    <w:name w:val="Placeholder Text"/>
    <w:basedOn w:val="DefaultParagraphFont"/>
    <w:uiPriority w:val="99"/>
    <w:semiHidden/>
    <w:rsid w:val="00C708DF"/>
    <w:rPr>
      <w:color w:val="808080"/>
    </w:rPr>
  </w:style>
  <w:style w:type="character" w:customStyle="1" w:styleId="3">
    <w:name w:val="ללא מרווח תו3"/>
    <w:aliases w:val="ציטוט1 תו3"/>
    <w:locked/>
    <w:rsid w:val="00633ACA"/>
    <w:rPr>
      <w:rFonts w:ascii="Times New Roman" w:hAnsi="Times New Roman" w:cs="Times New Roman"/>
      <w:b/>
      <w:bCs/>
      <w:sz w:val="22"/>
      <w:szCs w:val="22"/>
      <w:u w:color="C45911"/>
    </w:rPr>
  </w:style>
  <w:style w:type="character" w:styleId="UnresolvedMention">
    <w:name w:val="Unresolved Mention"/>
    <w:basedOn w:val="DefaultParagraphFont"/>
    <w:uiPriority w:val="99"/>
    <w:semiHidden/>
    <w:unhideWhenUsed/>
    <w:rsid w:val="00862545"/>
    <w:rPr>
      <w:color w:val="605E5C"/>
      <w:shd w:val="clear" w:color="auto" w:fill="E1DFDD"/>
    </w:rPr>
  </w:style>
  <w:style w:type="paragraph" w:styleId="Revision">
    <w:name w:val="Revision"/>
    <w:hidden/>
    <w:uiPriority w:val="99"/>
    <w:semiHidden/>
    <w:rsid w:val="007D0546"/>
    <w:rPr>
      <w:rFonts w:ascii="Narkisim" w:eastAsia="Calibri" w:hAnsi="Narkisim" w:cs="Narkisim"/>
      <w:noProof/>
      <w:sz w:val="24"/>
      <w:szCs w:val="24"/>
    </w:rPr>
  </w:style>
  <w:style w:type="paragraph" w:customStyle="1" w:styleId="30">
    <w:name w:val="כותרת3"/>
    <w:basedOn w:val="Normal"/>
    <w:next w:val="Normal"/>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zion.org.il/he/halakha/studies-halakha/approaches-pesak/%D7%9E%D7%A6%D7%95%D7%95%D7%AA-%D7%A7%D7%A8%D7%99%D7%90%D7%AA-%D7%A9%D7%9E%D7%A2-%E2%80%93-%D7%AA%D7%95%D7%A7%D7%A4%D7%94-%D7%95%D7%9E%D7%94%D7%95%D7%AA%D7%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zion.org.il/he/halakha/studies-halakha/approaches-pesak/%D7%9E%D7%A6%D7%95%D7%95%D7%AA-%D7%A7%D7%A8%D7%99%D7%90%D7%AA-%D7%A9%D7%9E%D7%A2-%E2%80%93-%D7%AA%D7%95%D7%A7%D7%A4%D7%94-%D7%95%D7%9E%D7%94%D7%95%D7%AA%D7%9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ice@etzion.org.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D7%9E%D7%A6%D7%95%D7%95%D7%AA-%D7%A7%D7%A8%D7%99%D7%90%D7%AA-%D7%A9%D7%9E%D7%A2-%E2%80%93-%D7%AA%D7%95%D7%A7%D7%A4%D7%94-%D7%95%D7%9E%D7%94%D7%95%D7%AA%D7%94" TargetMode="External"/><Relationship Id="rId5" Type="http://schemas.openxmlformats.org/officeDocument/2006/relationships/numbering" Target="numbering.xml"/><Relationship Id="rId15" Type="http://schemas.openxmlformats.org/officeDocument/2006/relationships/hyperlink" Target="http://etzion.org.il/en"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zion.org.il/h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1557</Words>
  <Characters>8880</Characters>
  <Application>Microsoft Office Word</Application>
  <DocSecurity>0</DocSecurity>
  <Lines>74</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10417</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Michael Berkowitz</cp:lastModifiedBy>
  <cp:revision>2</cp:revision>
  <cp:lastPrinted>2001-10-24T10:13:00Z</cp:lastPrinted>
  <dcterms:created xsi:type="dcterms:W3CDTF">2024-11-12T08:12:00Z</dcterms:created>
  <dcterms:modified xsi:type="dcterms:W3CDTF">2024-11-12T08:12:00Z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