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EC5BC" w14:textId="77777777" w:rsidR="00000000" w:rsidRDefault="00000000">
      <w:pPr>
        <w:pStyle w:val="a0"/>
        <w:spacing w:before="12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אחרי-מות</w:t>
      </w:r>
    </w:p>
    <w:p w14:paraId="00446457" w14:textId="77777777" w:rsidR="00000000" w:rsidRDefault="00000000">
      <w:pPr>
        <w:rPr>
          <w:rtl/>
        </w:rPr>
      </w:pPr>
      <w:r>
        <w:rPr>
          <w:rtl/>
        </w:rPr>
        <w:t>פרשתנו מכילה מגוון רחב של נושאים, ומסיימת בפירוט איסורי העריות. ממבט ראשון, נראה פירוט זה כרשימה ארוכה וחלקית של העריות שאסור לבוא עליהן. בשיעור זה ננסה לבחון את רשימת העריות המפורטת בפרשתנו, ולראות אילו עריות הוזכרו בכתוב במפורש ואילו לא הוזכרו. מובן מאליו שנושא העריות בכללותו הוא רחב ביותר, ולא נוכל במסגרת זו להקיף אפילו חלק קטן ממנו</w:t>
      </w:r>
      <w:r>
        <w:rPr>
          <w:rStyle w:val="FootnoteReference"/>
          <w:rtl/>
        </w:rPr>
        <w:footnoteReference w:id="1"/>
      </w:r>
      <w:r>
        <w:rPr>
          <w:rtl/>
        </w:rPr>
        <w:t xml:space="preserve">. </w:t>
      </w:r>
    </w:p>
    <w:p w14:paraId="5ACA0312" w14:textId="77777777" w:rsidR="00000000" w:rsidRDefault="00000000">
      <w:pPr>
        <w:pStyle w:val="2"/>
        <w:rPr>
          <w:rtl/>
        </w:rPr>
      </w:pPr>
      <w:r>
        <w:rPr>
          <w:rtl/>
        </w:rPr>
        <w:t>הנשים האסורות</w:t>
      </w:r>
    </w:p>
    <w:p w14:paraId="12E4A7FD" w14:textId="77777777" w:rsidR="00000000" w:rsidRDefault="00000000">
      <w:pPr>
        <w:rPr>
          <w:rtl/>
        </w:rPr>
      </w:pPr>
      <w:r>
        <w:rPr>
          <w:rtl/>
        </w:rPr>
        <w:t>רשימת הנשים האסורות על האדם מעוררת מספר תמיהות, מצד התוכן ומצד המבנה. מצד התוכן - חסרות ברשימה זו מספר נשים שאסור לאדם לבוא עליהן, כמו בתו של האיש</w:t>
      </w:r>
      <w:r>
        <w:rPr>
          <w:rStyle w:val="FootnoteReference"/>
          <w:rtl/>
        </w:rPr>
        <w:footnoteReference w:id="2"/>
      </w:r>
      <w:r>
        <w:rPr>
          <w:rtl/>
        </w:rPr>
        <w:t>, בת אחותו וחותנתו</w:t>
      </w:r>
      <w:r>
        <w:rPr>
          <w:rStyle w:val="FootnoteReference"/>
          <w:rtl/>
        </w:rPr>
        <w:footnoteReference w:id="3"/>
      </w:r>
      <w:r>
        <w:rPr>
          <w:rtl/>
        </w:rPr>
        <w:t>. מצד המבנה - יש לשים לב לכך שיחס הערווה אינו חילופי, רצוני לומר: היחס בין האב לבנו אינו זהה ליחס שבין הבן לאביו</w:t>
      </w:r>
      <w:r>
        <w:rPr>
          <w:rStyle w:val="FootnoteReference"/>
          <w:rtl/>
        </w:rPr>
        <w:footnoteReference w:id="4"/>
      </w:r>
      <w:r>
        <w:rPr>
          <w:rtl/>
        </w:rPr>
        <w:t>. עובדה זו מעוררת בפנינו קשיים כאשר אנו מנסים ליישם את פרשת איסורי הביאה ביחס לנשים. ראשית - כאשר נאמר שאסור לאדם לבוא על אמו, האם נאסר גם על אמו לבוא עליו</w:t>
      </w:r>
      <w:r>
        <w:rPr>
          <w:rStyle w:val="FootnoteReference"/>
          <w:rtl/>
        </w:rPr>
        <w:footnoteReference w:id="5"/>
      </w:r>
      <w:r>
        <w:rPr>
          <w:rtl/>
        </w:rPr>
        <w:t>? ושנית - כלל גדול הוא שאישה שווה לאיש לכל האיסורים שבתורה. אולם בפרשת העריות מתעורר לעיתים צורך לחלק בין האיש לבין האישה. כך, למשל, אסור לאדם לקחת את אשת אחי-אביו (דודתו מאביו), אך מותר לו לישא את אשת אחי-אמו (דודתו מאמו). כך גם מותר לאדם לישא את אחות-אשתו לאחר שאשתו נפטרה, אך אסור לו לקחת את אשת-אחיו אפילו אם אחיו נפטר</w:t>
      </w:r>
      <w:r>
        <w:rPr>
          <w:rStyle w:val="FootnoteReference"/>
          <w:rtl/>
        </w:rPr>
        <w:footnoteReference w:id="6"/>
      </w:r>
      <w:r>
        <w:rPr>
          <w:rtl/>
        </w:rPr>
        <w:t>.</w:t>
      </w:r>
    </w:p>
    <w:p w14:paraId="690D45D6" w14:textId="77777777" w:rsidR="00000000" w:rsidRDefault="00000000">
      <w:pPr>
        <w:pStyle w:val="2"/>
        <w:rPr>
          <w:rtl/>
        </w:rPr>
      </w:pPr>
      <w:r>
        <w:rPr>
          <w:rtl/>
        </w:rPr>
        <w:t>ההקדמה לפרשת העריות</w:t>
      </w:r>
    </w:p>
    <w:p w14:paraId="3D3D1409" w14:textId="77777777" w:rsidR="00000000" w:rsidRDefault="00000000">
      <w:pPr>
        <w:rPr>
          <w:rtl/>
        </w:rPr>
      </w:pPr>
      <w:r>
        <w:rPr>
          <w:rtl/>
        </w:rPr>
        <w:t>כדי לנסות ולהתקרב לפתרון בעיות אלו, נבדוק בתשומת לב את הקדמת התורה לפרשת העריות:</w:t>
      </w:r>
    </w:p>
    <w:p w14:paraId="6B366952" w14:textId="77777777" w:rsidR="00000000" w:rsidRDefault="00000000">
      <w:pPr>
        <w:pStyle w:val="a1"/>
        <w:ind w:left="567" w:right="0"/>
        <w:rPr>
          <w:rtl/>
        </w:rPr>
      </w:pPr>
      <w:r>
        <w:rPr>
          <w:rtl/>
        </w:rPr>
        <w:t>"איש איש אל כל שאר בשרו לא תקרבו לגלות ערוה, אני ה'".</w:t>
      </w:r>
      <w:r>
        <w:rPr>
          <w:rtl/>
        </w:rPr>
        <w:tab/>
      </w:r>
      <w:r>
        <w:rPr>
          <w:szCs w:val="16"/>
          <w:rtl/>
        </w:rPr>
        <w:t>(ויקרא י"ח, ו)</w:t>
      </w:r>
    </w:p>
    <w:p w14:paraId="217356A4" w14:textId="77777777" w:rsidR="00000000" w:rsidRDefault="00000000">
      <w:pPr>
        <w:rPr>
          <w:rtl/>
        </w:rPr>
      </w:pPr>
      <w:r>
        <w:rPr>
          <w:rtl/>
        </w:rPr>
        <w:t>בפסוק זה ישנם שני ביטויים קשים, הטעונים בירור:</w:t>
      </w:r>
    </w:p>
    <w:p w14:paraId="60CFA220" w14:textId="77777777" w:rsidR="00000000" w:rsidRDefault="00000000">
      <w:pPr>
        <w:rPr>
          <w:rtl/>
        </w:rPr>
      </w:pPr>
      <w:r>
        <w:rPr>
          <w:rFonts w:cs="Arial"/>
          <w:b/>
          <w:bCs/>
          <w:rtl/>
        </w:rPr>
        <w:t>א. "איש איש".</w:t>
      </w:r>
      <w:r>
        <w:rPr>
          <w:rtl/>
        </w:rPr>
        <w:t xml:space="preserve"> האם המילה "איש" כוללת גם נשים? מצאנו בתורה מספר מקומות שבהם המילה "איש" כוללת גם נשים (במכת חושך - "לא ראו איש את אחיו"), אך ישנם מקומות שבהם המילה "איש" אינה כוללת נשים (בפרשת הצרעת מפורטת האישה בנפרד - "איש או אשה כי יהיה בעור בשרם בהרֹת")</w:t>
      </w:r>
      <w:r>
        <w:rPr>
          <w:rStyle w:val="FootnoteReference"/>
          <w:rtl/>
        </w:rPr>
        <w:footnoteReference w:id="7"/>
      </w:r>
      <w:r>
        <w:rPr>
          <w:rtl/>
        </w:rPr>
        <w:t xml:space="preserve">. בעקבות הפסוקים, גם חז"ל לעיתים משווים בין האיש לאישה ולעיתים מחלקים ביניהם. </w:t>
      </w:r>
    </w:p>
    <w:p w14:paraId="188B8995" w14:textId="77777777" w:rsidR="00000000" w:rsidRDefault="00000000">
      <w:pPr>
        <w:rPr>
          <w:rtl/>
        </w:rPr>
      </w:pPr>
      <w:r>
        <w:rPr>
          <w:rtl/>
        </w:rPr>
        <w:t xml:space="preserve">הביטוי "איש איש" מתפרש בדרך כלל כמתייחס גם לנשים (בפרשת כיסוי הדם - "ואיש איש מבני ישראל" </w:t>
      </w:r>
      <w:r>
        <w:rPr>
          <w:szCs w:val="16"/>
          <w:rtl/>
        </w:rPr>
        <w:t>(ויקרא י"ז, יג)</w:t>
      </w:r>
      <w:r>
        <w:rPr>
          <w:rtl/>
        </w:rPr>
        <w:t xml:space="preserve">), אך לעיתים הוא מתייחס לגברים בלבד (בפרשת פסח שני - "איש איש כי יהיה טמא לנפש" </w:t>
      </w:r>
      <w:r>
        <w:rPr>
          <w:szCs w:val="16"/>
          <w:rtl/>
        </w:rPr>
        <w:t>(במדבר ט', י)</w:t>
      </w:r>
      <w:r>
        <w:rPr>
          <w:rtl/>
        </w:rPr>
        <w:t>). אמנם, כיוון שמצינו שהביטוי "איש איש" מתייחס לפעמים גם לנשים, ייתכן שהתורה הקדימה פסוק זה לפרשת העריות כדי לפרש שהפרשה מתייחסת גם אליהן.</w:t>
      </w:r>
    </w:p>
    <w:p w14:paraId="3C29D872" w14:textId="77777777" w:rsidR="00000000" w:rsidRDefault="00000000">
      <w:pPr>
        <w:rPr>
          <w:rtl/>
        </w:rPr>
      </w:pPr>
      <w:r>
        <w:rPr>
          <w:rFonts w:cs="Arial"/>
          <w:b/>
          <w:bCs/>
          <w:rtl/>
        </w:rPr>
        <w:t xml:space="preserve">ב. "שאר בשרו" </w:t>
      </w:r>
      <w:r>
        <w:rPr>
          <w:rtl/>
        </w:rPr>
        <w:t xml:space="preserve">- מיהו "שאר בשר"? בפרשת אמור, המונח "שאר" כולל את כל הקרובים מדרגה ראשונה. בפרשתנו, מילה זו משמשת לציון היחס בין איש לאחיו ("שאר אביך") ובין איש לבנו ("שארה הנה"). </w:t>
      </w:r>
    </w:p>
    <w:p w14:paraId="2C61538C" w14:textId="77777777" w:rsidR="00000000" w:rsidRDefault="00000000">
      <w:pPr>
        <w:rPr>
          <w:rtl/>
        </w:rPr>
      </w:pPr>
      <w:r>
        <w:rPr>
          <w:rtl/>
        </w:rPr>
        <w:t xml:space="preserve">פרט לכך, יש לברר מיהו "בשרו" של האדם. באופן פשוט - הכוונה לאדם עצמו, אך לעיתים מכונים קרובים נוספים בשם "בשר" ("ומבשרך לא תתעלם" </w:t>
      </w:r>
      <w:r>
        <w:rPr>
          <w:szCs w:val="16"/>
          <w:rtl/>
        </w:rPr>
        <w:t>(ישעיהו נ"ח, ז)</w:t>
      </w:r>
      <w:r>
        <w:rPr>
          <w:rtl/>
        </w:rPr>
        <w:t>). כאשר התורה אוסרת על האדם לבוא על אחות אביו, היא מנמקת זאת בכך ש"שאר אביך היא". מכאן ניתן להסיק, לכאורה, שאף אביו של האדם נחשב ל"בשרו", ולכן שארו של אביו נחשב ל"שאר בשרו" ואסור לבוא עליו</w:t>
      </w:r>
      <w:r>
        <w:rPr>
          <w:rStyle w:val="FootnoteReference"/>
          <w:rtl/>
        </w:rPr>
        <w:footnoteReference w:id="8"/>
      </w:r>
      <w:r>
        <w:rPr>
          <w:rtl/>
        </w:rPr>
        <w:t>.</w:t>
      </w:r>
    </w:p>
    <w:p w14:paraId="2CCEFC4D" w14:textId="77777777" w:rsidR="00000000" w:rsidRDefault="00000000">
      <w:pPr>
        <w:rPr>
          <w:rtl/>
        </w:rPr>
      </w:pPr>
      <w:r>
        <w:rPr>
          <w:rtl/>
        </w:rPr>
        <w:t>להלן, נצא משתי נקודות הנחה: ראשית - כשם שאסור לאדם לבוא על אמו, כך אסור גם לאמו לבוא עליו; ושנית - כל איסורי העריות חלים על האישה בדיוק כשם שהם חלים על האיש</w:t>
      </w:r>
      <w:r>
        <w:rPr>
          <w:rStyle w:val="FootnoteReference"/>
          <w:rtl/>
        </w:rPr>
        <w:footnoteReference w:id="9"/>
      </w:r>
      <w:r>
        <w:rPr>
          <w:rtl/>
        </w:rPr>
        <w:t xml:space="preserve">. </w:t>
      </w:r>
    </w:p>
    <w:p w14:paraId="1BB1D2AB" w14:textId="77777777" w:rsidR="00000000" w:rsidRDefault="00000000">
      <w:pPr>
        <w:pStyle w:val="2"/>
        <w:rPr>
          <w:rtl/>
        </w:rPr>
      </w:pPr>
      <w:r>
        <w:rPr>
          <w:rtl/>
        </w:rPr>
        <w:t>מהם איסורי העריות?</w:t>
      </w:r>
    </w:p>
    <w:p w14:paraId="0FEBA28C" w14:textId="77777777" w:rsidR="00000000" w:rsidRDefault="00000000">
      <w:pPr>
        <w:rPr>
          <w:rtl/>
        </w:rPr>
      </w:pPr>
      <w:r>
        <w:rPr>
          <w:rtl/>
        </w:rPr>
        <w:t xml:space="preserve">כדי לפשט את פרשיית העריות, נסכם בטבלה את האיסורים הכתובים בפרשתנו. בטבלה ארבעה טורים: בטור הראשון מופיע האיסור (אסור לאדם לבוא על אמו), בטור השני מופיע היחס ההפוך (אסור לאם לבוא על בנה), בטור </w:t>
      </w:r>
      <w:r>
        <w:rPr>
          <w:rtl/>
        </w:rPr>
        <w:lastRenderedPageBreak/>
        <w:t>השלישי נביא את יישום האיסור ביחס לאישה (אסור לבת לבוא על אביה), ובטור הרביעי את היחס ההפוך של הטור השלישי (אסור לאב לבוא על בתו).</w:t>
      </w:r>
    </w:p>
    <w:p w14:paraId="5DC77FB8"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1017"/>
        <w:gridCol w:w="1041"/>
        <w:gridCol w:w="1152"/>
        <w:gridCol w:w="1152"/>
      </w:tblGrid>
      <w:tr w:rsidR="00000000" w14:paraId="0570E6E3" w14:textId="77777777">
        <w:tblPrEx>
          <w:tblCellMar>
            <w:top w:w="0" w:type="dxa"/>
            <w:bottom w:w="0" w:type="dxa"/>
          </w:tblCellMar>
        </w:tblPrEx>
        <w:tc>
          <w:tcPr>
            <w:tcW w:w="283" w:type="dxa"/>
            <w:tcBorders>
              <w:top w:val="single" w:sz="12" w:space="0" w:color="000000"/>
              <w:left w:val="single" w:sz="12" w:space="0" w:color="000000"/>
              <w:bottom w:val="single" w:sz="12" w:space="0" w:color="000000"/>
              <w:right w:val="single" w:sz="12" w:space="0" w:color="000000"/>
            </w:tcBorders>
            <w:shd w:val="pct30" w:color="auto" w:fill="FFFFFF"/>
          </w:tcPr>
          <w:p w14:paraId="497B8BC9" w14:textId="77777777" w:rsidR="00000000" w:rsidRDefault="00000000">
            <w:pPr>
              <w:spacing w:after="0"/>
              <w:ind w:left="-113" w:right="-113"/>
              <w:jc w:val="center"/>
              <w:rPr>
                <w:rtl/>
              </w:rPr>
            </w:pPr>
            <w:r>
              <w:rPr>
                <w:rtl/>
              </w:rPr>
              <w:br w:type="page"/>
            </w:r>
          </w:p>
        </w:tc>
        <w:tc>
          <w:tcPr>
            <w:tcW w:w="1017" w:type="dxa"/>
            <w:tcBorders>
              <w:top w:val="single" w:sz="12" w:space="0" w:color="000000"/>
              <w:left w:val="nil"/>
              <w:bottom w:val="single" w:sz="12" w:space="0" w:color="000000"/>
              <w:right w:val="single" w:sz="6" w:space="0" w:color="000000"/>
            </w:tcBorders>
            <w:shd w:val="pct30" w:color="auto" w:fill="FFFFFF"/>
          </w:tcPr>
          <w:p w14:paraId="23AE84F9" w14:textId="77777777" w:rsidR="00000000" w:rsidRDefault="00000000">
            <w:pPr>
              <w:spacing w:after="0"/>
              <w:ind w:left="-57" w:right="-57"/>
              <w:jc w:val="center"/>
              <w:rPr>
                <w:b/>
                <w:bCs/>
              </w:rPr>
            </w:pPr>
            <w:r>
              <w:rPr>
                <w:b/>
                <w:bCs/>
                <w:rtl/>
              </w:rPr>
              <w:t>איש על...</w:t>
            </w:r>
          </w:p>
        </w:tc>
        <w:tc>
          <w:tcPr>
            <w:tcW w:w="1041" w:type="dxa"/>
            <w:tcBorders>
              <w:top w:val="single" w:sz="12" w:space="0" w:color="000000"/>
              <w:left w:val="nil"/>
              <w:bottom w:val="single" w:sz="12" w:space="0" w:color="000000"/>
              <w:right w:val="single" w:sz="6" w:space="0" w:color="000000"/>
            </w:tcBorders>
            <w:shd w:val="pct30" w:color="auto" w:fill="FFFFFF"/>
          </w:tcPr>
          <w:p w14:paraId="79300DF5" w14:textId="77777777" w:rsidR="00000000" w:rsidRDefault="00000000">
            <w:pPr>
              <w:spacing w:after="0"/>
              <w:ind w:left="-57" w:right="-57"/>
              <w:jc w:val="center"/>
              <w:rPr>
                <w:b/>
                <w:bCs/>
              </w:rPr>
            </w:pPr>
            <w:r>
              <w:rPr>
                <w:b/>
                <w:bCs/>
                <w:rtl/>
              </w:rPr>
              <w:t>אישה על...</w:t>
            </w:r>
          </w:p>
        </w:tc>
        <w:tc>
          <w:tcPr>
            <w:tcW w:w="1152" w:type="dxa"/>
            <w:tcBorders>
              <w:top w:val="single" w:sz="12" w:space="0" w:color="000000"/>
              <w:left w:val="nil"/>
              <w:bottom w:val="single" w:sz="12" w:space="0" w:color="000000"/>
              <w:right w:val="single" w:sz="6" w:space="0" w:color="000000"/>
            </w:tcBorders>
            <w:shd w:val="pct30" w:color="auto" w:fill="FFFFFF"/>
          </w:tcPr>
          <w:p w14:paraId="43947779" w14:textId="77777777" w:rsidR="00000000" w:rsidRDefault="00000000">
            <w:pPr>
              <w:spacing w:after="0"/>
              <w:ind w:left="-57" w:right="-57"/>
              <w:jc w:val="center"/>
              <w:rPr>
                <w:b/>
                <w:bCs/>
              </w:rPr>
            </w:pPr>
            <w:r>
              <w:rPr>
                <w:b/>
                <w:bCs/>
                <w:rtl/>
              </w:rPr>
              <w:t>אישה על...</w:t>
            </w:r>
          </w:p>
        </w:tc>
        <w:tc>
          <w:tcPr>
            <w:tcW w:w="1152" w:type="dxa"/>
            <w:tcBorders>
              <w:top w:val="single" w:sz="12" w:space="0" w:color="000000"/>
              <w:left w:val="nil"/>
              <w:bottom w:val="single" w:sz="12" w:space="0" w:color="000000"/>
              <w:right w:val="single" w:sz="12" w:space="0" w:color="000000"/>
            </w:tcBorders>
            <w:shd w:val="pct30" w:color="auto" w:fill="FFFFFF"/>
          </w:tcPr>
          <w:p w14:paraId="31B84662" w14:textId="77777777" w:rsidR="00000000" w:rsidRDefault="00000000">
            <w:pPr>
              <w:spacing w:after="0"/>
              <w:ind w:left="-57" w:right="-57"/>
              <w:jc w:val="center"/>
              <w:rPr>
                <w:b/>
                <w:bCs/>
              </w:rPr>
            </w:pPr>
            <w:r>
              <w:rPr>
                <w:b/>
                <w:bCs/>
                <w:rtl/>
              </w:rPr>
              <w:t>איש על...</w:t>
            </w:r>
          </w:p>
        </w:tc>
      </w:tr>
      <w:tr w:rsidR="00000000" w14:paraId="55B22025" w14:textId="77777777">
        <w:tblPrEx>
          <w:tblBorders>
            <w:bottom w:val="single" w:sz="6" w:space="0" w:color="000000"/>
          </w:tblBorders>
          <w:tblCellMar>
            <w:top w:w="0" w:type="dxa"/>
            <w:bottom w:w="0" w:type="dxa"/>
          </w:tblCellMar>
        </w:tblPrEx>
        <w:tc>
          <w:tcPr>
            <w:tcW w:w="283" w:type="dxa"/>
            <w:tcBorders>
              <w:top w:val="nil"/>
              <w:left w:val="single" w:sz="12" w:space="0" w:color="000000"/>
              <w:bottom w:val="nil"/>
              <w:right w:val="single" w:sz="12" w:space="0" w:color="000000"/>
            </w:tcBorders>
            <w:shd w:val="pct30" w:color="auto" w:fill="FFFFFF"/>
          </w:tcPr>
          <w:p w14:paraId="5756384D" w14:textId="77777777" w:rsidR="00000000" w:rsidRDefault="00000000">
            <w:pPr>
              <w:spacing w:after="0"/>
              <w:ind w:left="-113" w:right="-113"/>
              <w:jc w:val="center"/>
              <w:rPr>
                <w:rtl/>
              </w:rPr>
            </w:pPr>
            <w:r>
              <w:rPr>
                <w:rtl/>
              </w:rPr>
              <w:t>1</w:t>
            </w:r>
          </w:p>
        </w:tc>
        <w:tc>
          <w:tcPr>
            <w:tcW w:w="1017" w:type="dxa"/>
            <w:tcBorders>
              <w:top w:val="nil"/>
              <w:left w:val="nil"/>
              <w:bottom w:val="nil"/>
              <w:right w:val="single" w:sz="6" w:space="0" w:color="000000"/>
            </w:tcBorders>
          </w:tcPr>
          <w:p w14:paraId="21BAD7C3" w14:textId="77777777" w:rsidR="00000000" w:rsidRDefault="00000000">
            <w:pPr>
              <w:spacing w:after="0"/>
              <w:jc w:val="center"/>
            </w:pPr>
            <w:r>
              <w:rPr>
                <w:rtl/>
              </w:rPr>
              <w:t>אם</w:t>
            </w:r>
          </w:p>
        </w:tc>
        <w:tc>
          <w:tcPr>
            <w:tcW w:w="1041" w:type="dxa"/>
            <w:tcBorders>
              <w:top w:val="nil"/>
              <w:left w:val="nil"/>
              <w:bottom w:val="nil"/>
              <w:right w:val="single" w:sz="6" w:space="0" w:color="000000"/>
            </w:tcBorders>
          </w:tcPr>
          <w:p w14:paraId="17F41C00" w14:textId="77777777" w:rsidR="00000000" w:rsidRDefault="00000000">
            <w:pPr>
              <w:spacing w:after="0"/>
              <w:jc w:val="center"/>
            </w:pPr>
            <w:r>
              <w:rPr>
                <w:rtl/>
              </w:rPr>
              <w:t>בן</w:t>
            </w:r>
          </w:p>
        </w:tc>
        <w:tc>
          <w:tcPr>
            <w:tcW w:w="1152" w:type="dxa"/>
            <w:tcBorders>
              <w:top w:val="nil"/>
              <w:left w:val="nil"/>
              <w:bottom w:val="nil"/>
              <w:right w:val="single" w:sz="6" w:space="0" w:color="000000"/>
            </w:tcBorders>
          </w:tcPr>
          <w:p w14:paraId="0AE2DC68" w14:textId="77777777" w:rsidR="00000000" w:rsidRDefault="00000000">
            <w:pPr>
              <w:spacing w:after="0"/>
              <w:jc w:val="center"/>
            </w:pPr>
            <w:r>
              <w:rPr>
                <w:rtl/>
              </w:rPr>
              <w:t>אב</w:t>
            </w:r>
          </w:p>
        </w:tc>
        <w:tc>
          <w:tcPr>
            <w:tcW w:w="1152" w:type="dxa"/>
            <w:tcBorders>
              <w:top w:val="nil"/>
              <w:left w:val="nil"/>
              <w:bottom w:val="nil"/>
              <w:right w:val="single" w:sz="12" w:space="0" w:color="000000"/>
            </w:tcBorders>
          </w:tcPr>
          <w:p w14:paraId="3C2E424C" w14:textId="77777777" w:rsidR="00000000" w:rsidRDefault="00000000">
            <w:pPr>
              <w:spacing w:after="0"/>
              <w:jc w:val="center"/>
            </w:pPr>
            <w:r>
              <w:rPr>
                <w:rtl/>
              </w:rPr>
              <w:t>בת</w:t>
            </w:r>
          </w:p>
        </w:tc>
      </w:tr>
      <w:tr w:rsidR="00000000" w14:paraId="43D17271" w14:textId="77777777">
        <w:tblPrEx>
          <w:tblCellMar>
            <w:top w:w="0" w:type="dxa"/>
            <w:bottom w:w="0" w:type="dxa"/>
          </w:tblCellMar>
        </w:tblPrEx>
        <w:tc>
          <w:tcPr>
            <w:tcW w:w="283" w:type="dxa"/>
            <w:tcBorders>
              <w:top w:val="single" w:sz="6" w:space="0" w:color="000000"/>
              <w:left w:val="single" w:sz="12" w:space="0" w:color="000000"/>
              <w:bottom w:val="nil"/>
              <w:right w:val="single" w:sz="12" w:space="0" w:color="000000"/>
            </w:tcBorders>
            <w:shd w:val="pct30" w:color="auto" w:fill="FFFFFF"/>
          </w:tcPr>
          <w:p w14:paraId="2D8810AC" w14:textId="77777777" w:rsidR="00000000" w:rsidRDefault="00000000">
            <w:pPr>
              <w:spacing w:after="0"/>
              <w:ind w:left="-113" w:right="-113"/>
              <w:jc w:val="center"/>
              <w:rPr>
                <w:rtl/>
              </w:rPr>
            </w:pPr>
            <w:r>
              <w:rPr>
                <w:rtl/>
              </w:rPr>
              <w:t>2</w:t>
            </w:r>
          </w:p>
        </w:tc>
        <w:tc>
          <w:tcPr>
            <w:tcW w:w="1017" w:type="dxa"/>
            <w:tcBorders>
              <w:top w:val="single" w:sz="6" w:space="0" w:color="000000"/>
              <w:left w:val="nil"/>
              <w:bottom w:val="nil"/>
              <w:right w:val="single" w:sz="6" w:space="0" w:color="000000"/>
            </w:tcBorders>
          </w:tcPr>
          <w:p w14:paraId="57F4592B" w14:textId="77777777" w:rsidR="00000000" w:rsidRDefault="00000000">
            <w:pPr>
              <w:spacing w:after="0"/>
              <w:jc w:val="center"/>
            </w:pPr>
            <w:r>
              <w:rPr>
                <w:rtl/>
              </w:rPr>
              <w:t>אשת אב</w:t>
            </w:r>
          </w:p>
        </w:tc>
        <w:tc>
          <w:tcPr>
            <w:tcW w:w="1041" w:type="dxa"/>
            <w:tcBorders>
              <w:top w:val="single" w:sz="6" w:space="0" w:color="000000"/>
              <w:left w:val="nil"/>
              <w:bottom w:val="nil"/>
              <w:right w:val="single" w:sz="6" w:space="0" w:color="000000"/>
            </w:tcBorders>
          </w:tcPr>
          <w:p w14:paraId="540DB9C9" w14:textId="77777777" w:rsidR="00000000" w:rsidRDefault="00000000">
            <w:pPr>
              <w:spacing w:after="0"/>
              <w:jc w:val="center"/>
            </w:pPr>
            <w:r>
              <w:rPr>
                <w:rtl/>
              </w:rPr>
              <w:t>בן חורג</w:t>
            </w:r>
          </w:p>
        </w:tc>
        <w:tc>
          <w:tcPr>
            <w:tcW w:w="1152" w:type="dxa"/>
            <w:tcBorders>
              <w:top w:val="single" w:sz="6" w:space="0" w:color="000000"/>
              <w:left w:val="nil"/>
              <w:bottom w:val="nil"/>
              <w:right w:val="single" w:sz="6" w:space="0" w:color="000000"/>
            </w:tcBorders>
          </w:tcPr>
          <w:p w14:paraId="2D9D34D4" w14:textId="77777777" w:rsidR="00000000" w:rsidRDefault="00000000">
            <w:pPr>
              <w:spacing w:after="0"/>
              <w:jc w:val="center"/>
            </w:pPr>
            <w:r>
              <w:rPr>
                <w:rtl/>
              </w:rPr>
              <w:t>בעל האם</w:t>
            </w:r>
          </w:p>
        </w:tc>
        <w:tc>
          <w:tcPr>
            <w:tcW w:w="1152" w:type="dxa"/>
            <w:tcBorders>
              <w:top w:val="single" w:sz="6" w:space="0" w:color="000000"/>
              <w:left w:val="nil"/>
              <w:bottom w:val="nil"/>
              <w:right w:val="single" w:sz="12" w:space="0" w:color="000000"/>
            </w:tcBorders>
          </w:tcPr>
          <w:p w14:paraId="03007692" w14:textId="77777777" w:rsidR="00000000" w:rsidRDefault="00000000">
            <w:pPr>
              <w:spacing w:after="0"/>
              <w:jc w:val="center"/>
            </w:pPr>
            <w:r>
              <w:rPr>
                <w:rtl/>
              </w:rPr>
              <w:t>בת חורגת</w:t>
            </w:r>
          </w:p>
        </w:tc>
      </w:tr>
      <w:tr w:rsidR="00000000" w14:paraId="1EB3FD44"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552023C1" w14:textId="77777777" w:rsidR="00000000" w:rsidRDefault="00000000">
            <w:pPr>
              <w:spacing w:after="0"/>
              <w:ind w:left="-113" w:right="-113"/>
              <w:jc w:val="center"/>
              <w:rPr>
                <w:rtl/>
              </w:rPr>
            </w:pPr>
            <w:r>
              <w:rPr>
                <w:rtl/>
              </w:rPr>
              <w:t>3</w:t>
            </w:r>
          </w:p>
        </w:tc>
        <w:tc>
          <w:tcPr>
            <w:tcW w:w="1017" w:type="dxa"/>
            <w:tcBorders>
              <w:top w:val="single" w:sz="6" w:space="0" w:color="000000"/>
              <w:left w:val="nil"/>
              <w:bottom w:val="single" w:sz="6" w:space="0" w:color="000000"/>
              <w:right w:val="single" w:sz="6" w:space="0" w:color="000000"/>
            </w:tcBorders>
          </w:tcPr>
          <w:p w14:paraId="4D0897A0" w14:textId="77777777" w:rsidR="00000000" w:rsidRDefault="00000000">
            <w:pPr>
              <w:spacing w:after="0"/>
              <w:jc w:val="center"/>
            </w:pPr>
            <w:r>
              <w:rPr>
                <w:rtl/>
              </w:rPr>
              <w:t>אחות</w:t>
            </w:r>
          </w:p>
        </w:tc>
        <w:tc>
          <w:tcPr>
            <w:tcW w:w="1041" w:type="dxa"/>
            <w:tcBorders>
              <w:top w:val="single" w:sz="6" w:space="0" w:color="000000"/>
              <w:left w:val="nil"/>
              <w:bottom w:val="single" w:sz="6" w:space="0" w:color="000000"/>
              <w:right w:val="single" w:sz="6" w:space="0" w:color="000000"/>
            </w:tcBorders>
          </w:tcPr>
          <w:p w14:paraId="5DADC045" w14:textId="77777777" w:rsidR="00000000" w:rsidRDefault="00000000">
            <w:pPr>
              <w:spacing w:after="0"/>
              <w:jc w:val="center"/>
            </w:pPr>
            <w:r>
              <w:rPr>
                <w:rtl/>
              </w:rPr>
              <w:t>אח</w:t>
            </w:r>
          </w:p>
        </w:tc>
        <w:tc>
          <w:tcPr>
            <w:tcW w:w="1152" w:type="dxa"/>
            <w:tcBorders>
              <w:top w:val="single" w:sz="6" w:space="0" w:color="000000"/>
              <w:left w:val="nil"/>
              <w:bottom w:val="single" w:sz="6" w:space="0" w:color="000000"/>
              <w:right w:val="single" w:sz="6" w:space="0" w:color="000000"/>
            </w:tcBorders>
          </w:tcPr>
          <w:p w14:paraId="6DB60D87" w14:textId="77777777" w:rsidR="00000000" w:rsidRDefault="00000000">
            <w:pPr>
              <w:spacing w:after="0"/>
              <w:jc w:val="center"/>
            </w:pPr>
            <w:r>
              <w:rPr>
                <w:rtl/>
              </w:rPr>
              <w:t>אח</w:t>
            </w:r>
          </w:p>
        </w:tc>
        <w:tc>
          <w:tcPr>
            <w:tcW w:w="1152" w:type="dxa"/>
            <w:tcBorders>
              <w:top w:val="single" w:sz="6" w:space="0" w:color="000000"/>
              <w:left w:val="nil"/>
              <w:bottom w:val="single" w:sz="6" w:space="0" w:color="000000"/>
              <w:right w:val="single" w:sz="12" w:space="0" w:color="000000"/>
            </w:tcBorders>
          </w:tcPr>
          <w:p w14:paraId="7C31D48C" w14:textId="77777777" w:rsidR="00000000" w:rsidRDefault="00000000">
            <w:pPr>
              <w:spacing w:after="0"/>
              <w:jc w:val="center"/>
            </w:pPr>
            <w:r>
              <w:rPr>
                <w:rtl/>
              </w:rPr>
              <w:t>אחות</w:t>
            </w:r>
          </w:p>
        </w:tc>
      </w:tr>
      <w:tr w:rsidR="00000000" w14:paraId="7300D07C" w14:textId="77777777">
        <w:tblPrEx>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7A07DDA9" w14:textId="77777777" w:rsidR="00000000" w:rsidRDefault="00000000">
            <w:pPr>
              <w:spacing w:after="0"/>
              <w:ind w:left="-113" w:right="-113"/>
              <w:jc w:val="center"/>
              <w:rPr>
                <w:rtl/>
              </w:rPr>
            </w:pPr>
            <w:r>
              <w:rPr>
                <w:rtl/>
              </w:rPr>
              <w:t>4</w:t>
            </w:r>
          </w:p>
        </w:tc>
        <w:tc>
          <w:tcPr>
            <w:tcW w:w="1017" w:type="dxa"/>
            <w:tcBorders>
              <w:top w:val="single" w:sz="6" w:space="0" w:color="000000"/>
              <w:left w:val="nil"/>
              <w:bottom w:val="single" w:sz="6" w:space="0" w:color="000000"/>
              <w:right w:val="single" w:sz="6" w:space="0" w:color="000000"/>
            </w:tcBorders>
          </w:tcPr>
          <w:p w14:paraId="1ACF92EF" w14:textId="77777777" w:rsidR="00000000" w:rsidRDefault="00000000">
            <w:pPr>
              <w:spacing w:after="0"/>
              <w:jc w:val="center"/>
            </w:pPr>
            <w:r>
              <w:rPr>
                <w:rtl/>
              </w:rPr>
              <w:t>נכדה</w:t>
            </w:r>
          </w:p>
        </w:tc>
        <w:tc>
          <w:tcPr>
            <w:tcW w:w="1041" w:type="dxa"/>
            <w:tcBorders>
              <w:top w:val="single" w:sz="6" w:space="0" w:color="000000"/>
              <w:left w:val="nil"/>
              <w:bottom w:val="single" w:sz="6" w:space="0" w:color="000000"/>
              <w:right w:val="single" w:sz="6" w:space="0" w:color="000000"/>
            </w:tcBorders>
          </w:tcPr>
          <w:p w14:paraId="28449C17" w14:textId="77777777" w:rsidR="00000000" w:rsidRDefault="00000000">
            <w:pPr>
              <w:spacing w:after="0"/>
              <w:jc w:val="center"/>
            </w:pPr>
            <w:r>
              <w:rPr>
                <w:rtl/>
              </w:rPr>
              <w:t>סב</w:t>
            </w:r>
          </w:p>
        </w:tc>
        <w:tc>
          <w:tcPr>
            <w:tcW w:w="1152" w:type="dxa"/>
            <w:tcBorders>
              <w:top w:val="single" w:sz="6" w:space="0" w:color="000000"/>
              <w:left w:val="nil"/>
              <w:bottom w:val="single" w:sz="6" w:space="0" w:color="000000"/>
              <w:right w:val="single" w:sz="6" w:space="0" w:color="000000"/>
            </w:tcBorders>
          </w:tcPr>
          <w:p w14:paraId="6B24D9D9" w14:textId="77777777" w:rsidR="00000000" w:rsidRDefault="00000000">
            <w:pPr>
              <w:spacing w:after="0"/>
              <w:jc w:val="center"/>
            </w:pPr>
            <w:r>
              <w:rPr>
                <w:rtl/>
              </w:rPr>
              <w:t>נכד</w:t>
            </w:r>
          </w:p>
        </w:tc>
        <w:tc>
          <w:tcPr>
            <w:tcW w:w="1152" w:type="dxa"/>
            <w:tcBorders>
              <w:top w:val="single" w:sz="6" w:space="0" w:color="000000"/>
              <w:left w:val="nil"/>
              <w:bottom w:val="single" w:sz="6" w:space="0" w:color="000000"/>
              <w:right w:val="single" w:sz="12" w:space="0" w:color="000000"/>
            </w:tcBorders>
          </w:tcPr>
          <w:p w14:paraId="7FC63C36" w14:textId="77777777" w:rsidR="00000000" w:rsidRDefault="00000000">
            <w:pPr>
              <w:spacing w:after="0"/>
              <w:jc w:val="center"/>
            </w:pPr>
            <w:r>
              <w:rPr>
                <w:rtl/>
              </w:rPr>
              <w:t>סבתא</w:t>
            </w:r>
          </w:p>
        </w:tc>
      </w:tr>
      <w:tr w:rsidR="00000000" w14:paraId="0050AEEB"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014B2268" w14:textId="77777777" w:rsidR="00000000" w:rsidRDefault="00000000">
            <w:pPr>
              <w:spacing w:after="0"/>
              <w:ind w:left="-113" w:right="-113"/>
              <w:jc w:val="center"/>
              <w:rPr>
                <w:rtl/>
              </w:rPr>
            </w:pPr>
            <w:r>
              <w:rPr>
                <w:rtl/>
              </w:rPr>
              <w:t>5</w:t>
            </w:r>
          </w:p>
        </w:tc>
        <w:tc>
          <w:tcPr>
            <w:tcW w:w="1017" w:type="dxa"/>
            <w:tcBorders>
              <w:top w:val="single" w:sz="6" w:space="0" w:color="000000"/>
              <w:left w:val="nil"/>
              <w:bottom w:val="single" w:sz="6" w:space="0" w:color="000000"/>
              <w:right w:val="single" w:sz="6" w:space="0" w:color="000000"/>
            </w:tcBorders>
          </w:tcPr>
          <w:p w14:paraId="3A739EE9" w14:textId="77777777" w:rsidR="00000000" w:rsidRDefault="00000000">
            <w:pPr>
              <w:spacing w:after="0"/>
              <w:jc w:val="center"/>
            </w:pPr>
            <w:r>
              <w:rPr>
                <w:rtl/>
              </w:rPr>
              <w:t>בת אשת-האב</w:t>
            </w:r>
          </w:p>
        </w:tc>
        <w:tc>
          <w:tcPr>
            <w:tcW w:w="1041" w:type="dxa"/>
            <w:tcBorders>
              <w:top w:val="single" w:sz="6" w:space="0" w:color="000000"/>
              <w:left w:val="nil"/>
              <w:bottom w:val="single" w:sz="6" w:space="0" w:color="000000"/>
              <w:right w:val="single" w:sz="6" w:space="0" w:color="000000"/>
            </w:tcBorders>
          </w:tcPr>
          <w:p w14:paraId="00A43428" w14:textId="77777777" w:rsidR="00000000" w:rsidRDefault="00000000">
            <w:pPr>
              <w:spacing w:after="0"/>
              <w:jc w:val="center"/>
            </w:pPr>
            <w:r>
              <w:rPr>
                <w:rtl/>
              </w:rPr>
              <w:t>בן בעל-האם</w:t>
            </w:r>
          </w:p>
        </w:tc>
        <w:tc>
          <w:tcPr>
            <w:tcW w:w="1152" w:type="dxa"/>
            <w:tcBorders>
              <w:top w:val="single" w:sz="6" w:space="0" w:color="000000"/>
              <w:left w:val="nil"/>
              <w:bottom w:val="single" w:sz="6" w:space="0" w:color="000000"/>
              <w:right w:val="single" w:sz="6" w:space="0" w:color="000000"/>
            </w:tcBorders>
          </w:tcPr>
          <w:p w14:paraId="36718380" w14:textId="77777777" w:rsidR="00000000" w:rsidRDefault="00000000">
            <w:pPr>
              <w:spacing w:after="0"/>
              <w:jc w:val="center"/>
            </w:pPr>
            <w:r>
              <w:rPr>
                <w:rtl/>
              </w:rPr>
              <w:t>בן אשת-האב</w:t>
            </w:r>
          </w:p>
        </w:tc>
        <w:tc>
          <w:tcPr>
            <w:tcW w:w="1152" w:type="dxa"/>
            <w:tcBorders>
              <w:top w:val="single" w:sz="6" w:space="0" w:color="000000"/>
              <w:left w:val="nil"/>
              <w:bottom w:val="single" w:sz="6" w:space="0" w:color="000000"/>
              <w:right w:val="single" w:sz="12" w:space="0" w:color="000000"/>
            </w:tcBorders>
          </w:tcPr>
          <w:p w14:paraId="3BCE9C58" w14:textId="77777777" w:rsidR="00000000" w:rsidRDefault="00000000">
            <w:pPr>
              <w:spacing w:after="0"/>
              <w:jc w:val="center"/>
            </w:pPr>
            <w:r>
              <w:rPr>
                <w:rtl/>
              </w:rPr>
              <w:t>בת בעל-האם</w:t>
            </w:r>
          </w:p>
        </w:tc>
      </w:tr>
      <w:tr w:rsidR="00000000" w14:paraId="6DBF122E" w14:textId="77777777">
        <w:tblPrEx>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325323C5" w14:textId="77777777" w:rsidR="00000000" w:rsidRDefault="00000000">
            <w:pPr>
              <w:spacing w:after="0"/>
              <w:ind w:left="-113" w:right="-113"/>
              <w:jc w:val="center"/>
              <w:rPr>
                <w:rtl/>
              </w:rPr>
            </w:pPr>
            <w:r>
              <w:rPr>
                <w:rtl/>
              </w:rPr>
              <w:t>6</w:t>
            </w:r>
          </w:p>
        </w:tc>
        <w:tc>
          <w:tcPr>
            <w:tcW w:w="1017" w:type="dxa"/>
            <w:tcBorders>
              <w:top w:val="single" w:sz="6" w:space="0" w:color="000000"/>
              <w:left w:val="nil"/>
              <w:bottom w:val="single" w:sz="6" w:space="0" w:color="000000"/>
              <w:right w:val="single" w:sz="6" w:space="0" w:color="000000"/>
            </w:tcBorders>
          </w:tcPr>
          <w:p w14:paraId="3A901176" w14:textId="77777777" w:rsidR="00000000" w:rsidRDefault="00000000">
            <w:pPr>
              <w:spacing w:after="0"/>
              <w:jc w:val="center"/>
            </w:pPr>
            <w:r>
              <w:rPr>
                <w:rtl/>
              </w:rPr>
              <w:t>אחות האב</w:t>
            </w:r>
          </w:p>
        </w:tc>
        <w:tc>
          <w:tcPr>
            <w:tcW w:w="1041" w:type="dxa"/>
            <w:tcBorders>
              <w:top w:val="single" w:sz="6" w:space="0" w:color="000000"/>
              <w:left w:val="nil"/>
              <w:bottom w:val="single" w:sz="6" w:space="0" w:color="000000"/>
              <w:right w:val="single" w:sz="6" w:space="0" w:color="000000"/>
            </w:tcBorders>
          </w:tcPr>
          <w:p w14:paraId="43FABC60" w14:textId="77777777" w:rsidR="00000000" w:rsidRDefault="00000000">
            <w:pPr>
              <w:spacing w:after="0"/>
              <w:jc w:val="center"/>
            </w:pPr>
            <w:r>
              <w:rPr>
                <w:rtl/>
              </w:rPr>
              <w:t>בן האח</w:t>
            </w:r>
          </w:p>
        </w:tc>
        <w:tc>
          <w:tcPr>
            <w:tcW w:w="1152" w:type="dxa"/>
            <w:tcBorders>
              <w:top w:val="single" w:sz="6" w:space="0" w:color="000000"/>
              <w:left w:val="nil"/>
              <w:bottom w:val="single" w:sz="6" w:space="0" w:color="000000"/>
              <w:right w:val="single" w:sz="6" w:space="0" w:color="000000"/>
            </w:tcBorders>
          </w:tcPr>
          <w:p w14:paraId="051986EB" w14:textId="77777777" w:rsidR="00000000" w:rsidRDefault="00000000">
            <w:pPr>
              <w:spacing w:after="0"/>
              <w:jc w:val="center"/>
            </w:pPr>
            <w:r>
              <w:rPr>
                <w:rtl/>
              </w:rPr>
              <w:t>אחי האב</w:t>
            </w:r>
          </w:p>
        </w:tc>
        <w:tc>
          <w:tcPr>
            <w:tcW w:w="1152" w:type="dxa"/>
            <w:tcBorders>
              <w:top w:val="single" w:sz="6" w:space="0" w:color="000000"/>
              <w:left w:val="nil"/>
              <w:bottom w:val="single" w:sz="6" w:space="0" w:color="000000"/>
              <w:right w:val="single" w:sz="12" w:space="0" w:color="000000"/>
            </w:tcBorders>
          </w:tcPr>
          <w:p w14:paraId="3F59A942" w14:textId="77777777" w:rsidR="00000000" w:rsidRDefault="00000000">
            <w:pPr>
              <w:spacing w:after="0"/>
              <w:jc w:val="center"/>
            </w:pPr>
            <w:r>
              <w:rPr>
                <w:rtl/>
              </w:rPr>
              <w:t>בת האח</w:t>
            </w:r>
          </w:p>
        </w:tc>
      </w:tr>
      <w:tr w:rsidR="00000000" w14:paraId="16607C3D"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56295A4F" w14:textId="77777777" w:rsidR="00000000" w:rsidRDefault="00000000">
            <w:pPr>
              <w:spacing w:after="0"/>
              <w:ind w:left="-113" w:right="-113"/>
              <w:jc w:val="center"/>
              <w:rPr>
                <w:rtl/>
              </w:rPr>
            </w:pPr>
            <w:r>
              <w:rPr>
                <w:rtl/>
              </w:rPr>
              <w:t>7</w:t>
            </w:r>
          </w:p>
        </w:tc>
        <w:tc>
          <w:tcPr>
            <w:tcW w:w="1017" w:type="dxa"/>
            <w:tcBorders>
              <w:top w:val="single" w:sz="6" w:space="0" w:color="000000"/>
              <w:left w:val="nil"/>
              <w:bottom w:val="single" w:sz="6" w:space="0" w:color="000000"/>
              <w:right w:val="single" w:sz="6" w:space="0" w:color="000000"/>
            </w:tcBorders>
          </w:tcPr>
          <w:p w14:paraId="0B7A5C3F" w14:textId="77777777" w:rsidR="00000000" w:rsidRDefault="00000000">
            <w:pPr>
              <w:spacing w:after="0"/>
              <w:jc w:val="center"/>
            </w:pPr>
            <w:r>
              <w:rPr>
                <w:rtl/>
              </w:rPr>
              <w:t>אחות האם</w:t>
            </w:r>
          </w:p>
        </w:tc>
        <w:tc>
          <w:tcPr>
            <w:tcW w:w="1041" w:type="dxa"/>
            <w:tcBorders>
              <w:top w:val="single" w:sz="6" w:space="0" w:color="000000"/>
              <w:left w:val="nil"/>
              <w:bottom w:val="single" w:sz="6" w:space="0" w:color="000000"/>
              <w:right w:val="single" w:sz="6" w:space="0" w:color="000000"/>
            </w:tcBorders>
          </w:tcPr>
          <w:p w14:paraId="7031A4AA" w14:textId="77777777" w:rsidR="00000000" w:rsidRDefault="00000000">
            <w:pPr>
              <w:spacing w:after="0"/>
              <w:jc w:val="center"/>
            </w:pPr>
            <w:r>
              <w:rPr>
                <w:rtl/>
              </w:rPr>
              <w:t>בן האחות</w:t>
            </w:r>
          </w:p>
        </w:tc>
        <w:tc>
          <w:tcPr>
            <w:tcW w:w="1152" w:type="dxa"/>
            <w:tcBorders>
              <w:top w:val="single" w:sz="6" w:space="0" w:color="000000"/>
              <w:left w:val="nil"/>
              <w:bottom w:val="single" w:sz="6" w:space="0" w:color="000000"/>
              <w:right w:val="single" w:sz="6" w:space="0" w:color="000000"/>
            </w:tcBorders>
          </w:tcPr>
          <w:p w14:paraId="3B870E69" w14:textId="77777777" w:rsidR="00000000" w:rsidRDefault="00000000">
            <w:pPr>
              <w:spacing w:after="0"/>
              <w:jc w:val="center"/>
            </w:pPr>
            <w:r>
              <w:rPr>
                <w:rtl/>
              </w:rPr>
              <w:t>אח האם</w:t>
            </w:r>
          </w:p>
        </w:tc>
        <w:tc>
          <w:tcPr>
            <w:tcW w:w="1152" w:type="dxa"/>
            <w:tcBorders>
              <w:top w:val="single" w:sz="6" w:space="0" w:color="000000"/>
              <w:left w:val="nil"/>
              <w:bottom w:val="single" w:sz="6" w:space="0" w:color="000000"/>
              <w:right w:val="single" w:sz="12" w:space="0" w:color="000000"/>
            </w:tcBorders>
          </w:tcPr>
          <w:p w14:paraId="4740A756" w14:textId="77777777" w:rsidR="00000000" w:rsidRDefault="00000000">
            <w:pPr>
              <w:spacing w:after="0"/>
              <w:jc w:val="center"/>
            </w:pPr>
            <w:r>
              <w:rPr>
                <w:rtl/>
              </w:rPr>
              <w:t>בת האחות</w:t>
            </w:r>
          </w:p>
        </w:tc>
      </w:tr>
      <w:tr w:rsidR="00000000" w14:paraId="53852BD8" w14:textId="77777777">
        <w:tblPrEx>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0E8AFC84" w14:textId="77777777" w:rsidR="00000000" w:rsidRDefault="00000000">
            <w:pPr>
              <w:spacing w:after="0"/>
              <w:ind w:left="-113" w:right="-113"/>
              <w:jc w:val="center"/>
              <w:rPr>
                <w:rtl/>
              </w:rPr>
            </w:pPr>
            <w:r>
              <w:rPr>
                <w:rtl/>
              </w:rPr>
              <w:t>8</w:t>
            </w:r>
          </w:p>
        </w:tc>
        <w:tc>
          <w:tcPr>
            <w:tcW w:w="1017" w:type="dxa"/>
            <w:tcBorders>
              <w:top w:val="single" w:sz="6" w:space="0" w:color="000000"/>
              <w:left w:val="nil"/>
              <w:bottom w:val="single" w:sz="6" w:space="0" w:color="000000"/>
              <w:right w:val="single" w:sz="6" w:space="0" w:color="000000"/>
            </w:tcBorders>
          </w:tcPr>
          <w:p w14:paraId="05060AF4" w14:textId="77777777" w:rsidR="00000000" w:rsidRDefault="00000000">
            <w:pPr>
              <w:spacing w:after="0"/>
              <w:jc w:val="center"/>
            </w:pPr>
            <w:r>
              <w:rPr>
                <w:rtl/>
              </w:rPr>
              <w:t>אשת אחי-האב</w:t>
            </w:r>
          </w:p>
        </w:tc>
        <w:tc>
          <w:tcPr>
            <w:tcW w:w="1041" w:type="dxa"/>
            <w:tcBorders>
              <w:top w:val="single" w:sz="6" w:space="0" w:color="000000"/>
              <w:left w:val="nil"/>
              <w:bottom w:val="single" w:sz="6" w:space="0" w:color="000000"/>
              <w:right w:val="single" w:sz="6" w:space="0" w:color="000000"/>
            </w:tcBorders>
          </w:tcPr>
          <w:p w14:paraId="53DEF28E" w14:textId="77777777" w:rsidR="00000000" w:rsidRDefault="00000000">
            <w:pPr>
              <w:spacing w:after="0"/>
              <w:jc w:val="center"/>
            </w:pPr>
            <w:r>
              <w:rPr>
                <w:rtl/>
              </w:rPr>
              <w:t>בן אחי-הבעל</w:t>
            </w:r>
          </w:p>
        </w:tc>
        <w:tc>
          <w:tcPr>
            <w:tcW w:w="1152" w:type="dxa"/>
            <w:tcBorders>
              <w:top w:val="single" w:sz="6" w:space="0" w:color="000000"/>
              <w:left w:val="nil"/>
              <w:bottom w:val="single" w:sz="6" w:space="0" w:color="000000"/>
              <w:right w:val="single" w:sz="6" w:space="0" w:color="000000"/>
            </w:tcBorders>
          </w:tcPr>
          <w:p w14:paraId="2B0C091B" w14:textId="77777777" w:rsidR="00000000" w:rsidRDefault="00000000">
            <w:pPr>
              <w:spacing w:after="0"/>
              <w:jc w:val="center"/>
            </w:pPr>
            <w:r>
              <w:rPr>
                <w:rtl/>
              </w:rPr>
              <w:t>אחי האב</w:t>
            </w:r>
            <w:r>
              <w:rPr>
                <w:rStyle w:val="FootnoteReference"/>
                <w:rtl/>
              </w:rPr>
              <w:footnoteReference w:id="10"/>
            </w:r>
          </w:p>
        </w:tc>
        <w:tc>
          <w:tcPr>
            <w:tcW w:w="1152" w:type="dxa"/>
            <w:tcBorders>
              <w:top w:val="single" w:sz="6" w:space="0" w:color="000000"/>
              <w:left w:val="nil"/>
              <w:bottom w:val="single" w:sz="6" w:space="0" w:color="000000"/>
              <w:right w:val="single" w:sz="12" w:space="0" w:color="000000"/>
            </w:tcBorders>
          </w:tcPr>
          <w:p w14:paraId="07C60A48" w14:textId="77777777" w:rsidR="00000000" w:rsidRDefault="00000000">
            <w:pPr>
              <w:spacing w:after="0"/>
              <w:jc w:val="center"/>
            </w:pPr>
            <w:r>
              <w:rPr>
                <w:rtl/>
              </w:rPr>
              <w:t>בת האח</w:t>
            </w:r>
          </w:p>
        </w:tc>
      </w:tr>
      <w:tr w:rsidR="00000000" w14:paraId="62E7183E"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36EFE672" w14:textId="77777777" w:rsidR="00000000" w:rsidRDefault="00000000">
            <w:pPr>
              <w:spacing w:after="0"/>
              <w:ind w:left="-113" w:right="-113"/>
              <w:jc w:val="center"/>
              <w:rPr>
                <w:rtl/>
              </w:rPr>
            </w:pPr>
            <w:r>
              <w:rPr>
                <w:rtl/>
              </w:rPr>
              <w:t>9</w:t>
            </w:r>
          </w:p>
        </w:tc>
        <w:tc>
          <w:tcPr>
            <w:tcW w:w="1017" w:type="dxa"/>
            <w:tcBorders>
              <w:top w:val="single" w:sz="6" w:space="0" w:color="000000"/>
              <w:left w:val="nil"/>
              <w:bottom w:val="single" w:sz="6" w:space="0" w:color="000000"/>
              <w:right w:val="single" w:sz="6" w:space="0" w:color="000000"/>
            </w:tcBorders>
          </w:tcPr>
          <w:p w14:paraId="2C686940" w14:textId="77777777" w:rsidR="00000000" w:rsidRDefault="00000000">
            <w:pPr>
              <w:spacing w:after="0"/>
              <w:jc w:val="center"/>
            </w:pPr>
            <w:r>
              <w:rPr>
                <w:rtl/>
              </w:rPr>
              <w:t>אשת הבן</w:t>
            </w:r>
          </w:p>
        </w:tc>
        <w:tc>
          <w:tcPr>
            <w:tcW w:w="1041" w:type="dxa"/>
            <w:tcBorders>
              <w:top w:val="single" w:sz="6" w:space="0" w:color="000000"/>
              <w:left w:val="nil"/>
              <w:bottom w:val="single" w:sz="6" w:space="0" w:color="000000"/>
              <w:right w:val="single" w:sz="6" w:space="0" w:color="000000"/>
            </w:tcBorders>
          </w:tcPr>
          <w:p w14:paraId="3C9A7AD1" w14:textId="77777777" w:rsidR="00000000" w:rsidRDefault="00000000">
            <w:pPr>
              <w:spacing w:after="0"/>
              <w:jc w:val="center"/>
            </w:pPr>
            <w:r>
              <w:rPr>
                <w:rtl/>
              </w:rPr>
              <w:t>אב הבעל</w:t>
            </w:r>
          </w:p>
        </w:tc>
        <w:tc>
          <w:tcPr>
            <w:tcW w:w="1152" w:type="dxa"/>
            <w:tcBorders>
              <w:top w:val="single" w:sz="6" w:space="0" w:color="000000"/>
              <w:left w:val="nil"/>
              <w:bottom w:val="single" w:sz="6" w:space="0" w:color="000000"/>
              <w:right w:val="single" w:sz="6" w:space="0" w:color="000000"/>
            </w:tcBorders>
          </w:tcPr>
          <w:p w14:paraId="0D66711B" w14:textId="77777777" w:rsidR="00000000" w:rsidRDefault="00000000">
            <w:pPr>
              <w:spacing w:after="0"/>
              <w:jc w:val="center"/>
            </w:pPr>
            <w:r>
              <w:rPr>
                <w:rtl/>
              </w:rPr>
              <w:t>בעל הבת</w:t>
            </w:r>
          </w:p>
        </w:tc>
        <w:tc>
          <w:tcPr>
            <w:tcW w:w="1152" w:type="dxa"/>
            <w:tcBorders>
              <w:top w:val="single" w:sz="6" w:space="0" w:color="000000"/>
              <w:left w:val="nil"/>
              <w:bottom w:val="single" w:sz="6" w:space="0" w:color="000000"/>
              <w:right w:val="single" w:sz="12" w:space="0" w:color="000000"/>
            </w:tcBorders>
          </w:tcPr>
          <w:p w14:paraId="2E0DCFBC" w14:textId="77777777" w:rsidR="00000000" w:rsidRDefault="00000000">
            <w:pPr>
              <w:spacing w:after="0"/>
              <w:jc w:val="center"/>
            </w:pPr>
            <w:r>
              <w:rPr>
                <w:rtl/>
              </w:rPr>
              <w:t>אם האישה</w:t>
            </w:r>
          </w:p>
        </w:tc>
      </w:tr>
      <w:tr w:rsidR="00000000" w14:paraId="356D88DC" w14:textId="77777777">
        <w:tblPrEx>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5699DE29" w14:textId="77777777" w:rsidR="00000000" w:rsidRDefault="00000000">
            <w:pPr>
              <w:spacing w:after="0"/>
              <w:ind w:left="-113" w:right="-113"/>
              <w:jc w:val="center"/>
              <w:rPr>
                <w:rtl/>
              </w:rPr>
            </w:pPr>
            <w:r>
              <w:rPr>
                <w:rtl/>
              </w:rPr>
              <w:t>10</w:t>
            </w:r>
          </w:p>
        </w:tc>
        <w:tc>
          <w:tcPr>
            <w:tcW w:w="1017" w:type="dxa"/>
            <w:tcBorders>
              <w:top w:val="single" w:sz="6" w:space="0" w:color="000000"/>
              <w:left w:val="nil"/>
              <w:bottom w:val="single" w:sz="6" w:space="0" w:color="000000"/>
              <w:right w:val="single" w:sz="6" w:space="0" w:color="000000"/>
            </w:tcBorders>
          </w:tcPr>
          <w:p w14:paraId="67ECAA5A" w14:textId="77777777" w:rsidR="00000000" w:rsidRDefault="00000000">
            <w:pPr>
              <w:spacing w:after="0"/>
              <w:jc w:val="center"/>
            </w:pPr>
            <w:r>
              <w:rPr>
                <w:rtl/>
              </w:rPr>
              <w:t>אשת האח</w:t>
            </w:r>
          </w:p>
        </w:tc>
        <w:tc>
          <w:tcPr>
            <w:tcW w:w="1041" w:type="dxa"/>
            <w:tcBorders>
              <w:top w:val="single" w:sz="6" w:space="0" w:color="000000"/>
              <w:left w:val="nil"/>
              <w:bottom w:val="single" w:sz="6" w:space="0" w:color="000000"/>
              <w:right w:val="single" w:sz="6" w:space="0" w:color="000000"/>
            </w:tcBorders>
          </w:tcPr>
          <w:p w14:paraId="7D502844" w14:textId="77777777" w:rsidR="00000000" w:rsidRDefault="00000000">
            <w:pPr>
              <w:spacing w:after="0"/>
              <w:jc w:val="center"/>
            </w:pPr>
            <w:r>
              <w:rPr>
                <w:rtl/>
              </w:rPr>
              <w:t>אחי הבעל</w:t>
            </w:r>
          </w:p>
        </w:tc>
        <w:tc>
          <w:tcPr>
            <w:tcW w:w="1152" w:type="dxa"/>
            <w:tcBorders>
              <w:top w:val="single" w:sz="6" w:space="0" w:color="000000"/>
              <w:left w:val="nil"/>
              <w:bottom w:val="single" w:sz="6" w:space="0" w:color="000000"/>
              <w:right w:val="single" w:sz="6" w:space="0" w:color="000000"/>
            </w:tcBorders>
          </w:tcPr>
          <w:p w14:paraId="0725B649" w14:textId="77777777" w:rsidR="00000000" w:rsidRDefault="00000000">
            <w:pPr>
              <w:spacing w:after="0"/>
              <w:jc w:val="center"/>
            </w:pPr>
            <w:r>
              <w:rPr>
                <w:rtl/>
              </w:rPr>
              <w:t>בעל האחות</w:t>
            </w:r>
          </w:p>
        </w:tc>
        <w:tc>
          <w:tcPr>
            <w:tcW w:w="1152" w:type="dxa"/>
            <w:tcBorders>
              <w:top w:val="single" w:sz="6" w:space="0" w:color="000000"/>
              <w:left w:val="nil"/>
              <w:bottom w:val="single" w:sz="6" w:space="0" w:color="000000"/>
              <w:right w:val="single" w:sz="12" w:space="0" w:color="000000"/>
            </w:tcBorders>
          </w:tcPr>
          <w:p w14:paraId="4CCED27B" w14:textId="77777777" w:rsidR="00000000" w:rsidRDefault="00000000">
            <w:pPr>
              <w:spacing w:after="0"/>
              <w:jc w:val="center"/>
            </w:pPr>
            <w:r>
              <w:rPr>
                <w:rtl/>
              </w:rPr>
              <w:t>אחות האישה</w:t>
            </w:r>
          </w:p>
        </w:tc>
      </w:tr>
      <w:tr w:rsidR="00000000" w14:paraId="4CBC6368"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6" w:space="0" w:color="000000"/>
              <w:right w:val="single" w:sz="12" w:space="0" w:color="000000"/>
            </w:tcBorders>
            <w:shd w:val="pct30" w:color="auto" w:fill="FFFFFF"/>
          </w:tcPr>
          <w:p w14:paraId="46282109" w14:textId="77777777" w:rsidR="00000000" w:rsidRDefault="00000000">
            <w:pPr>
              <w:spacing w:after="0"/>
              <w:ind w:left="-113" w:right="-113"/>
              <w:jc w:val="center"/>
              <w:rPr>
                <w:rtl/>
              </w:rPr>
            </w:pPr>
            <w:r>
              <w:rPr>
                <w:rtl/>
              </w:rPr>
              <w:t>11</w:t>
            </w:r>
          </w:p>
        </w:tc>
        <w:tc>
          <w:tcPr>
            <w:tcW w:w="1017" w:type="dxa"/>
            <w:tcBorders>
              <w:top w:val="single" w:sz="6" w:space="0" w:color="000000"/>
              <w:left w:val="nil"/>
              <w:bottom w:val="single" w:sz="6" w:space="0" w:color="000000"/>
              <w:right w:val="single" w:sz="6" w:space="0" w:color="000000"/>
            </w:tcBorders>
          </w:tcPr>
          <w:p w14:paraId="0C882A31" w14:textId="77777777" w:rsidR="00000000" w:rsidRDefault="00000000">
            <w:pPr>
              <w:spacing w:after="0"/>
              <w:jc w:val="center"/>
            </w:pPr>
            <w:r>
              <w:rPr>
                <w:rtl/>
              </w:rPr>
              <w:t>בת האשה</w:t>
            </w:r>
          </w:p>
        </w:tc>
        <w:tc>
          <w:tcPr>
            <w:tcW w:w="1041" w:type="dxa"/>
            <w:tcBorders>
              <w:top w:val="single" w:sz="6" w:space="0" w:color="000000"/>
              <w:left w:val="nil"/>
              <w:bottom w:val="single" w:sz="6" w:space="0" w:color="000000"/>
              <w:right w:val="single" w:sz="6" w:space="0" w:color="000000"/>
            </w:tcBorders>
          </w:tcPr>
          <w:p w14:paraId="5EC75E0F" w14:textId="77777777" w:rsidR="00000000" w:rsidRDefault="00000000">
            <w:pPr>
              <w:spacing w:after="0"/>
              <w:jc w:val="center"/>
            </w:pPr>
            <w:r>
              <w:rPr>
                <w:rtl/>
              </w:rPr>
              <w:t>בעל האם</w:t>
            </w:r>
          </w:p>
        </w:tc>
        <w:tc>
          <w:tcPr>
            <w:tcW w:w="1152" w:type="dxa"/>
            <w:tcBorders>
              <w:top w:val="single" w:sz="6" w:space="0" w:color="000000"/>
              <w:left w:val="nil"/>
              <w:bottom w:val="single" w:sz="6" w:space="0" w:color="000000"/>
              <w:right w:val="single" w:sz="6" w:space="0" w:color="000000"/>
            </w:tcBorders>
          </w:tcPr>
          <w:p w14:paraId="2170517F" w14:textId="77777777" w:rsidR="00000000" w:rsidRDefault="00000000">
            <w:pPr>
              <w:spacing w:after="0"/>
              <w:jc w:val="center"/>
            </w:pPr>
            <w:r>
              <w:rPr>
                <w:rtl/>
              </w:rPr>
              <w:t>בן הבעל</w:t>
            </w:r>
          </w:p>
        </w:tc>
        <w:tc>
          <w:tcPr>
            <w:tcW w:w="1152" w:type="dxa"/>
            <w:tcBorders>
              <w:top w:val="single" w:sz="6" w:space="0" w:color="000000"/>
              <w:left w:val="nil"/>
              <w:bottom w:val="single" w:sz="6" w:space="0" w:color="000000"/>
              <w:right w:val="single" w:sz="12" w:space="0" w:color="000000"/>
            </w:tcBorders>
          </w:tcPr>
          <w:p w14:paraId="6CF34C20" w14:textId="77777777" w:rsidR="00000000" w:rsidRDefault="00000000">
            <w:pPr>
              <w:spacing w:after="0"/>
              <w:jc w:val="center"/>
            </w:pPr>
            <w:r>
              <w:rPr>
                <w:rtl/>
              </w:rPr>
              <w:t>אשת האב</w:t>
            </w:r>
          </w:p>
        </w:tc>
      </w:tr>
      <w:tr w:rsidR="00000000" w14:paraId="4889C33E" w14:textId="77777777">
        <w:tblPrEx>
          <w:tblCellMar>
            <w:top w:w="0" w:type="dxa"/>
            <w:bottom w:w="0" w:type="dxa"/>
          </w:tblCellMar>
        </w:tblPrEx>
        <w:tc>
          <w:tcPr>
            <w:tcW w:w="283" w:type="dxa"/>
            <w:tcBorders>
              <w:top w:val="single" w:sz="6" w:space="0" w:color="000000"/>
              <w:left w:val="single" w:sz="12" w:space="0" w:color="000000"/>
              <w:bottom w:val="nil"/>
              <w:right w:val="single" w:sz="12" w:space="0" w:color="000000"/>
            </w:tcBorders>
            <w:shd w:val="pct30" w:color="auto" w:fill="FFFFFF"/>
          </w:tcPr>
          <w:p w14:paraId="723E6951" w14:textId="77777777" w:rsidR="00000000" w:rsidRDefault="00000000">
            <w:pPr>
              <w:spacing w:after="0"/>
              <w:ind w:left="-113" w:right="-113"/>
              <w:jc w:val="center"/>
              <w:rPr>
                <w:rtl/>
              </w:rPr>
            </w:pPr>
            <w:r>
              <w:rPr>
                <w:rtl/>
              </w:rPr>
              <w:t>12</w:t>
            </w:r>
          </w:p>
        </w:tc>
        <w:tc>
          <w:tcPr>
            <w:tcW w:w="1017" w:type="dxa"/>
            <w:tcBorders>
              <w:top w:val="single" w:sz="6" w:space="0" w:color="000000"/>
              <w:left w:val="nil"/>
              <w:bottom w:val="nil"/>
              <w:right w:val="single" w:sz="6" w:space="0" w:color="000000"/>
            </w:tcBorders>
          </w:tcPr>
          <w:p w14:paraId="5F5B2EC7" w14:textId="77777777" w:rsidR="00000000" w:rsidRDefault="00000000">
            <w:pPr>
              <w:spacing w:after="0"/>
              <w:jc w:val="center"/>
            </w:pPr>
            <w:r>
              <w:rPr>
                <w:rtl/>
              </w:rPr>
              <w:t>נכדת האשה</w:t>
            </w:r>
          </w:p>
        </w:tc>
        <w:tc>
          <w:tcPr>
            <w:tcW w:w="1041" w:type="dxa"/>
            <w:tcBorders>
              <w:top w:val="single" w:sz="6" w:space="0" w:color="000000"/>
              <w:left w:val="nil"/>
              <w:bottom w:val="nil"/>
              <w:right w:val="single" w:sz="6" w:space="0" w:color="000000"/>
            </w:tcBorders>
          </w:tcPr>
          <w:p w14:paraId="481E66ED" w14:textId="77777777" w:rsidR="00000000" w:rsidRDefault="00000000">
            <w:pPr>
              <w:spacing w:after="0"/>
              <w:jc w:val="center"/>
            </w:pPr>
            <w:r>
              <w:rPr>
                <w:rtl/>
              </w:rPr>
              <w:t>בעל הסבתא</w:t>
            </w:r>
          </w:p>
        </w:tc>
        <w:tc>
          <w:tcPr>
            <w:tcW w:w="1152" w:type="dxa"/>
            <w:tcBorders>
              <w:top w:val="single" w:sz="6" w:space="0" w:color="000000"/>
              <w:left w:val="nil"/>
              <w:bottom w:val="nil"/>
              <w:right w:val="single" w:sz="6" w:space="0" w:color="000000"/>
            </w:tcBorders>
          </w:tcPr>
          <w:p w14:paraId="515F7BBF" w14:textId="77777777" w:rsidR="00000000" w:rsidRDefault="00000000">
            <w:pPr>
              <w:spacing w:after="0"/>
              <w:jc w:val="center"/>
            </w:pPr>
            <w:r>
              <w:rPr>
                <w:rtl/>
              </w:rPr>
              <w:t>נכד הבעל</w:t>
            </w:r>
          </w:p>
        </w:tc>
        <w:tc>
          <w:tcPr>
            <w:tcW w:w="1152" w:type="dxa"/>
            <w:tcBorders>
              <w:top w:val="single" w:sz="6" w:space="0" w:color="000000"/>
              <w:left w:val="nil"/>
              <w:bottom w:val="nil"/>
              <w:right w:val="single" w:sz="12" w:space="0" w:color="000000"/>
            </w:tcBorders>
          </w:tcPr>
          <w:p w14:paraId="571B2C92" w14:textId="77777777" w:rsidR="00000000" w:rsidRDefault="00000000">
            <w:pPr>
              <w:spacing w:after="0"/>
              <w:jc w:val="center"/>
            </w:pPr>
            <w:r>
              <w:rPr>
                <w:rtl/>
              </w:rPr>
              <w:t>אשת הסב</w:t>
            </w:r>
          </w:p>
        </w:tc>
      </w:tr>
      <w:tr w:rsidR="00000000" w14:paraId="49218DC7" w14:textId="77777777">
        <w:tblPrEx>
          <w:tblBorders>
            <w:bottom w:val="single" w:sz="6" w:space="0" w:color="000000"/>
          </w:tblBorders>
          <w:tblCellMar>
            <w:top w:w="0" w:type="dxa"/>
            <w:bottom w:w="0" w:type="dxa"/>
          </w:tblCellMar>
        </w:tblPrEx>
        <w:tc>
          <w:tcPr>
            <w:tcW w:w="283" w:type="dxa"/>
            <w:tcBorders>
              <w:top w:val="single" w:sz="6" w:space="0" w:color="000000"/>
              <w:left w:val="single" w:sz="12" w:space="0" w:color="000000"/>
              <w:bottom w:val="single" w:sz="12" w:space="0" w:color="auto"/>
              <w:right w:val="single" w:sz="12" w:space="0" w:color="000000"/>
            </w:tcBorders>
            <w:shd w:val="pct30" w:color="auto" w:fill="FFFFFF"/>
          </w:tcPr>
          <w:p w14:paraId="6813F212" w14:textId="77777777" w:rsidR="00000000" w:rsidRDefault="00000000">
            <w:pPr>
              <w:spacing w:after="0"/>
              <w:ind w:left="-113" w:right="-113"/>
              <w:jc w:val="center"/>
              <w:rPr>
                <w:rtl/>
              </w:rPr>
            </w:pPr>
            <w:r>
              <w:rPr>
                <w:rtl/>
              </w:rPr>
              <w:t>13</w:t>
            </w:r>
          </w:p>
        </w:tc>
        <w:tc>
          <w:tcPr>
            <w:tcW w:w="1017" w:type="dxa"/>
            <w:tcBorders>
              <w:top w:val="single" w:sz="6" w:space="0" w:color="000000"/>
              <w:left w:val="nil"/>
              <w:bottom w:val="single" w:sz="12" w:space="0" w:color="auto"/>
              <w:right w:val="single" w:sz="6" w:space="0" w:color="000000"/>
            </w:tcBorders>
          </w:tcPr>
          <w:p w14:paraId="603A807E" w14:textId="77777777" w:rsidR="00000000" w:rsidRDefault="00000000">
            <w:pPr>
              <w:spacing w:after="0"/>
              <w:jc w:val="center"/>
            </w:pPr>
            <w:r>
              <w:rPr>
                <w:rtl/>
              </w:rPr>
              <w:t>אחות האשה</w:t>
            </w:r>
          </w:p>
        </w:tc>
        <w:tc>
          <w:tcPr>
            <w:tcW w:w="1041" w:type="dxa"/>
            <w:tcBorders>
              <w:top w:val="single" w:sz="6" w:space="0" w:color="000000"/>
              <w:left w:val="nil"/>
              <w:bottom w:val="single" w:sz="12" w:space="0" w:color="auto"/>
              <w:right w:val="single" w:sz="6" w:space="0" w:color="000000"/>
            </w:tcBorders>
          </w:tcPr>
          <w:p w14:paraId="3F604774" w14:textId="77777777" w:rsidR="00000000" w:rsidRDefault="00000000">
            <w:pPr>
              <w:spacing w:after="0"/>
              <w:jc w:val="center"/>
            </w:pPr>
            <w:r>
              <w:rPr>
                <w:rtl/>
              </w:rPr>
              <w:t>בעל האחות</w:t>
            </w:r>
          </w:p>
        </w:tc>
        <w:tc>
          <w:tcPr>
            <w:tcW w:w="1152" w:type="dxa"/>
            <w:tcBorders>
              <w:top w:val="single" w:sz="6" w:space="0" w:color="000000"/>
              <w:left w:val="nil"/>
              <w:bottom w:val="single" w:sz="12" w:space="0" w:color="auto"/>
              <w:right w:val="single" w:sz="6" w:space="0" w:color="000000"/>
            </w:tcBorders>
          </w:tcPr>
          <w:p w14:paraId="6BA1F345" w14:textId="77777777" w:rsidR="00000000" w:rsidRDefault="00000000">
            <w:pPr>
              <w:spacing w:after="0"/>
              <w:jc w:val="center"/>
            </w:pPr>
            <w:r>
              <w:rPr>
                <w:rtl/>
              </w:rPr>
              <w:t>אח הבעל</w:t>
            </w:r>
          </w:p>
        </w:tc>
        <w:tc>
          <w:tcPr>
            <w:tcW w:w="1152" w:type="dxa"/>
            <w:tcBorders>
              <w:top w:val="single" w:sz="6" w:space="0" w:color="000000"/>
              <w:left w:val="nil"/>
              <w:bottom w:val="single" w:sz="12" w:space="0" w:color="auto"/>
              <w:right w:val="single" w:sz="12" w:space="0" w:color="000000"/>
            </w:tcBorders>
          </w:tcPr>
          <w:p w14:paraId="3EFE9EDE" w14:textId="77777777" w:rsidR="00000000" w:rsidRDefault="00000000">
            <w:pPr>
              <w:spacing w:after="0"/>
              <w:jc w:val="center"/>
            </w:pPr>
            <w:r>
              <w:rPr>
                <w:rtl/>
              </w:rPr>
              <w:t>אשת האח</w:t>
            </w:r>
          </w:p>
        </w:tc>
      </w:tr>
    </w:tbl>
    <w:p w14:paraId="2748F10C" w14:textId="77777777" w:rsidR="00000000" w:rsidRDefault="00000000">
      <w:pPr>
        <w:rPr>
          <w:rtl/>
        </w:rPr>
      </w:pPr>
    </w:p>
    <w:p w14:paraId="34542676" w14:textId="77777777" w:rsidR="00000000" w:rsidRDefault="00000000">
      <w:pPr>
        <w:rPr>
          <w:rtl/>
        </w:rPr>
      </w:pPr>
      <w:r>
        <w:rPr>
          <w:rtl/>
        </w:rPr>
        <w:t>כבר עיון ראשוני בטבלה זו פותר מספר קושיות. ראשית, ברור שאין צורך לכתוב במפורש את איסור הביאה על הבת, החותנת או בן האח, שכן הם נובעים מאיסורים אחרים הכתובים במפורש. כמו כן, אנו רואים שכל האיסורים המפורטים בתורה הם חיוניים, ואי אפשר לוותר על אף אחד מהם. האיסור היחיד הכתוב במפורש למרות שניתן ללמוד אותו מאיסורים אחרים הוא איסור אשת האח (שורות 10 ו13-), אולם במקרה זה, האיזכור המפורש הוא חיוני: אשת האח אסורה גם לאחר מיתת האח, בניגוד לאחות האישה, שאסורה רק בחיי האישה</w:t>
      </w:r>
      <w:r>
        <w:rPr>
          <w:rStyle w:val="FootnoteReference"/>
          <w:rtl/>
        </w:rPr>
        <w:footnoteReference w:id="11"/>
      </w:r>
      <w:r>
        <w:rPr>
          <w:rtl/>
        </w:rPr>
        <w:t>. ניתן, אם כן, לסכם שהתורה בחרה בקפידה את הנשים הכלולות ברשימה, כדי לסכם את כל העריות הקיימות.</w:t>
      </w:r>
    </w:p>
    <w:p w14:paraId="1B545330" w14:textId="77777777" w:rsidR="00000000" w:rsidRDefault="00000000">
      <w:pPr>
        <w:pStyle w:val="2"/>
        <w:rPr>
          <w:rtl/>
        </w:rPr>
      </w:pPr>
      <w:r>
        <w:rPr>
          <w:rtl/>
        </w:rPr>
        <w:t>שני סוגים של עריות</w:t>
      </w:r>
    </w:p>
    <w:p w14:paraId="0D081582" w14:textId="77777777" w:rsidR="00000000" w:rsidRDefault="00000000">
      <w:pPr>
        <w:rPr>
          <w:rtl/>
        </w:rPr>
      </w:pPr>
      <w:r>
        <w:rPr>
          <w:rtl/>
        </w:rPr>
        <w:t>איסורי העריות מתחלקים לשני סוגי איסורים: איסורים הנובעים מקרבה לאדם, ואיסורים הנובעים משייכות לאותה משפחה</w:t>
      </w:r>
      <w:r>
        <w:rPr>
          <w:rStyle w:val="FootnoteReference"/>
          <w:rtl/>
        </w:rPr>
        <w:footnoteReference w:id="12"/>
      </w:r>
      <w:r>
        <w:rPr>
          <w:rtl/>
        </w:rPr>
        <w:t xml:space="preserve">. חלוקה זו עולה בבירור מהנימוקים </w:t>
      </w:r>
      <w:r>
        <w:rPr>
          <w:rtl/>
        </w:rPr>
        <w:t xml:space="preserve">שהתורה נותנת לכל איסור: לעיתים האיסור מנומק בכך שהאישה היא "ערווה", ולעיתים הוא מנומק בכך שהיא "שאר". נראה, שהמילה "שאר" מצביעה על איסור הנובע מיחסי קרבה (וכן אם לא מופיעה אף מילת קישור, כגון "אמך היא"), ואילו המילה "ערווה" מצביעה על איסור הנובע מקשרי משפחה דרך נישואין. </w:t>
      </w:r>
    </w:p>
    <w:p w14:paraId="0A2DD121" w14:textId="77777777" w:rsidR="00000000" w:rsidRDefault="00000000">
      <w:pPr>
        <w:rPr>
          <w:rtl/>
        </w:rPr>
      </w:pPr>
      <w:r>
        <w:rPr>
          <w:rtl/>
        </w:rPr>
        <w:t>המסגרת המשפחתית נקבעת באופן מובהק ע"י הבעל, ולא ע"י האישה. זאת אנו רואים בדינים רבים: אישה הנישאת לכהן מותרת לאכול בתרומה לאחר נישואיה, וכהן מחוייב להיטמא לאחותו רק אם עוד לא נישאה. האיסור לבוא על אחות-אביו ואחות-אמו הם איסורים השייכים למסגרת המשפחתית, והתורה מנמקת את האיסור בכך שהם שאר אביו ואמו</w:t>
      </w:r>
      <w:r>
        <w:rPr>
          <w:rStyle w:val="FootnoteReference"/>
          <w:rtl/>
        </w:rPr>
        <w:footnoteReference w:id="13"/>
      </w:r>
      <w:r>
        <w:rPr>
          <w:rtl/>
        </w:rPr>
        <w:t>. האב, האם והאחות נחשבים, כפי שביארנו לעיל, ל"בשרו" של האדם, ולכן התורה אינה מכנה אותם "שארו". ההבחנה בין איסורי משפחה לאיסורי שארות עולה בצורה יפה באיסור אשת אחי-האב: היא ודאי אינה נחשבת לשארו של האדם, ולכן היא אסורה רק בשל שייכותה לאותה משפחה. מסיבה זו, אשת אחי-האם מותרת, שהרי היא אינה שייכת לאותה משפחה</w:t>
      </w:r>
      <w:r>
        <w:rPr>
          <w:rStyle w:val="FootnoteReference"/>
          <w:rtl/>
        </w:rPr>
        <w:footnoteReference w:id="14"/>
      </w:r>
      <w:r>
        <w:rPr>
          <w:rtl/>
        </w:rPr>
        <w:t>.</w:t>
      </w:r>
    </w:p>
    <w:p w14:paraId="1ABC9B9C" w14:textId="77777777" w:rsidR="00000000" w:rsidRDefault="00000000">
      <w:pPr>
        <w:pStyle w:val="2"/>
        <w:rPr>
          <w:rtl/>
        </w:rPr>
      </w:pPr>
      <w:r>
        <w:rPr>
          <w:rtl/>
        </w:rPr>
        <w:t>סדר האיסורים בפרשה</w:t>
      </w:r>
    </w:p>
    <w:p w14:paraId="50AA6120" w14:textId="77777777" w:rsidR="00000000" w:rsidRDefault="00000000">
      <w:pPr>
        <w:rPr>
          <w:rtl/>
        </w:rPr>
      </w:pPr>
      <w:r>
        <w:rPr>
          <w:rtl/>
        </w:rPr>
        <w:t>נראה שהתורה סידרה את איסורי העריות בסדר הקרבה: בתחילה - מובאים הקרובים האסורים על האדם בשל קרבה, ורק אחר כך פורטו הנשים האסורות על האדם בשל נישואיו. קיים גם הבדל בולט בין הניסוח של שתי קבוצות האיסורים הללו: התורה אינה כותבת שבת אשתו או אחות אשתו הן עריות, אלא אוסרת לקחת "אשה ובתה" או "אשה אל אחֹתה":</w:t>
      </w:r>
    </w:p>
    <w:p w14:paraId="335CDDF8" w14:textId="77777777" w:rsidR="00000000" w:rsidRDefault="00000000">
      <w:pPr>
        <w:pStyle w:val="a1"/>
        <w:ind w:left="567" w:right="0"/>
        <w:rPr>
          <w:rtl/>
        </w:rPr>
      </w:pPr>
      <w:r>
        <w:rPr>
          <w:rtl/>
        </w:rPr>
        <w:t>"ערות אִשה ובתה לא תגלה, את בת בנה ואת בת בתה לא תקח לגלות ערותה, שארה הנה זמה הִוא: ואשה אל אחֹתה לא תקח, לצרֹר לגלות ערותה עליה בחייה".</w:t>
      </w:r>
      <w:r>
        <w:rPr>
          <w:rtl/>
        </w:rPr>
        <w:tab/>
      </w:r>
      <w:r>
        <w:rPr>
          <w:szCs w:val="16"/>
          <w:rtl/>
        </w:rPr>
        <w:t>(ויקרא י"ז, יז-יח)</w:t>
      </w:r>
    </w:p>
    <w:p w14:paraId="0CBC48AA" w14:textId="77777777" w:rsidR="00000000" w:rsidRDefault="00000000">
      <w:pPr>
        <w:rPr>
          <w:rtl/>
        </w:rPr>
      </w:pPr>
      <w:r>
        <w:rPr>
          <w:rtl/>
        </w:rPr>
        <w:t>ניתן ללמוד מכך שהיחס לאיסורי העריות הללו שונה מהיחס לאיסורי העריות האחרים. במובן מסויים, הזיקה בין האיש לאשתו פחותה מהזיקה שבין האיש לאמו, לאחותו או לבתו</w:t>
      </w:r>
      <w:r>
        <w:rPr>
          <w:rStyle w:val="FootnoteReference"/>
          <w:rtl/>
        </w:rPr>
        <w:footnoteReference w:id="15"/>
      </w:r>
      <w:r>
        <w:rPr>
          <w:rtl/>
        </w:rPr>
        <w:t xml:space="preserve">. לכן, הבעייתיות אינה בלקיחת בת האישה (כשם שיש בעייתיות בלקיחת האחות), אלא בלקיחת אישה ובתה, או אשה ואחותה, בעת ובעונה אחת. </w:t>
      </w:r>
    </w:p>
    <w:p w14:paraId="2E3C65DE" w14:textId="77777777" w:rsidR="00000000" w:rsidRDefault="00000000">
      <w:pPr>
        <w:rPr>
          <w:rtl/>
        </w:rPr>
      </w:pPr>
      <w:r>
        <w:rPr>
          <w:rtl/>
        </w:rPr>
        <w:t>הסדר הפנימי של הקבוצה הראשונה (שורות 1-10) - אף הוא סדר של קרבה. בחמש השורות הראשונות מפורטים הקרובים מדרגה ראשונה, ושלוש השורות שאחריהן מפרטות את הקרובים מדרגה שנייה.</w:t>
      </w:r>
    </w:p>
    <w:p w14:paraId="5E1CD3C2" w14:textId="77777777" w:rsidR="00000000" w:rsidRDefault="00000000">
      <w:pPr>
        <w:rPr>
          <w:rtl/>
        </w:rPr>
      </w:pPr>
      <w:r>
        <w:rPr>
          <w:rtl/>
        </w:rPr>
        <w:lastRenderedPageBreak/>
        <w:t>כמובן, על סידור זה ישנה שאלה מתבקשת: מדוע אשת הבן ואשת האח סודרו בסוף הקבוצה הראשונה (שורות 9-10), ולא במקום המתאים להם, בשורות 1-5? נראה ששתי הערוות הללו אינן ערוות מוחלטות, וישנם מקרים שבהם הן מותרות. ביחס לאשת האח הדבר פשוט: מותר לאדם לישא את אשת אחיו כאשר הוא מייבם אותה. מסתבר, שבאופן עקרוני צריך היה להיות ייבום גם ביחס לאשת הבן (כפי שיהודה ייבם את תמר כלתו), אך התורה אסרה אותו. לכן, סידרה התורה את שני האיסורים הללו כנספחים לפרשת העריות, ולא מיקמה כל אחד מהם במקום המתאים לו.</w:t>
      </w:r>
    </w:p>
    <w:p w14:paraId="12F498B7" w14:textId="77777777" w:rsidR="00000000" w:rsidRDefault="00000000">
      <w:pPr>
        <w:rPr>
          <w:rtl/>
        </w:rPr>
      </w:pPr>
    </w:p>
    <w:p w14:paraId="4C9352C9" w14:textId="77777777" w:rsidR="00000000" w:rsidRDefault="00000000">
      <w:pPr>
        <w:pStyle w:val="a1"/>
        <w:ind w:left="567" w:right="0"/>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14C8A456" w14:textId="77777777">
        <w:tblPrEx>
          <w:tblCellMar>
            <w:top w:w="0" w:type="dxa"/>
            <w:bottom w:w="0" w:type="dxa"/>
          </w:tblCellMar>
        </w:tblPrEx>
        <w:tc>
          <w:tcPr>
            <w:tcW w:w="283" w:type="dxa"/>
            <w:tcBorders>
              <w:top w:val="nil"/>
              <w:left w:val="nil"/>
              <w:bottom w:val="nil"/>
              <w:right w:val="nil"/>
            </w:tcBorders>
          </w:tcPr>
          <w:p w14:paraId="4ADBCC99" w14:textId="77777777" w:rsidR="00000000" w:rsidRDefault="00000000">
            <w:pPr>
              <w:pStyle w:val="a2"/>
              <w:rPr>
                <w:rtl/>
              </w:rPr>
            </w:pPr>
            <w:r>
              <w:rPr>
                <w:rtl/>
              </w:rPr>
              <w:t>*</w:t>
            </w:r>
          </w:p>
        </w:tc>
        <w:tc>
          <w:tcPr>
            <w:tcW w:w="4111" w:type="dxa"/>
            <w:tcBorders>
              <w:top w:val="nil"/>
              <w:left w:val="nil"/>
              <w:bottom w:val="nil"/>
              <w:right w:val="nil"/>
            </w:tcBorders>
          </w:tcPr>
          <w:p w14:paraId="6D44F2C7" w14:textId="77777777" w:rsidR="00000000" w:rsidRDefault="00000000">
            <w:pPr>
              <w:pStyle w:val="a2"/>
              <w:rPr>
                <w:rtl/>
              </w:rPr>
            </w:pPr>
            <w:r>
              <w:rPr>
                <w:rtl/>
              </w:rPr>
              <w:t>**********************************************************</w:t>
            </w:r>
          </w:p>
        </w:tc>
        <w:tc>
          <w:tcPr>
            <w:tcW w:w="284" w:type="dxa"/>
            <w:tcBorders>
              <w:top w:val="nil"/>
              <w:left w:val="nil"/>
              <w:bottom w:val="nil"/>
              <w:right w:val="nil"/>
            </w:tcBorders>
          </w:tcPr>
          <w:p w14:paraId="0922BD66" w14:textId="77777777" w:rsidR="00000000" w:rsidRDefault="00000000">
            <w:pPr>
              <w:pStyle w:val="a2"/>
              <w:rPr>
                <w:rtl/>
              </w:rPr>
            </w:pPr>
            <w:r>
              <w:rPr>
                <w:rtl/>
              </w:rPr>
              <w:t>*</w:t>
            </w:r>
          </w:p>
        </w:tc>
      </w:tr>
      <w:tr w:rsidR="00000000" w14:paraId="48EB2B6F" w14:textId="77777777">
        <w:tblPrEx>
          <w:tblCellMar>
            <w:top w:w="0" w:type="dxa"/>
            <w:bottom w:w="0" w:type="dxa"/>
          </w:tblCellMar>
        </w:tblPrEx>
        <w:tc>
          <w:tcPr>
            <w:tcW w:w="283" w:type="dxa"/>
            <w:tcBorders>
              <w:top w:val="nil"/>
              <w:left w:val="nil"/>
              <w:bottom w:val="nil"/>
              <w:right w:val="nil"/>
            </w:tcBorders>
          </w:tcPr>
          <w:p w14:paraId="70552625" w14:textId="77777777" w:rsidR="00000000" w:rsidRDefault="00000000">
            <w:pPr>
              <w:pStyle w:val="a2"/>
              <w:rPr>
                <w:rtl/>
              </w:rPr>
            </w:pPr>
            <w:r>
              <w:rPr>
                <w:rtl/>
              </w:rPr>
              <w:t>* * * * * * * * * *</w:t>
            </w:r>
          </w:p>
        </w:tc>
        <w:tc>
          <w:tcPr>
            <w:tcW w:w="4111" w:type="dxa"/>
            <w:tcBorders>
              <w:top w:val="nil"/>
              <w:left w:val="nil"/>
              <w:bottom w:val="nil"/>
              <w:right w:val="nil"/>
            </w:tcBorders>
          </w:tcPr>
          <w:p w14:paraId="0DA54E68" w14:textId="77777777" w:rsidR="00000000" w:rsidRDefault="00000000">
            <w:pPr>
              <w:pStyle w:val="a2"/>
              <w:rPr>
                <w:rtl/>
              </w:rPr>
            </w:pPr>
            <w:r>
              <w:rPr>
                <w:rtl/>
              </w:rPr>
              <w:t>כל הזכויות שמורות לישיבת הר עציון ולרב מאיר שפיגלמן, תשס"ג</w:t>
            </w:r>
          </w:p>
          <w:p w14:paraId="19BDB417" w14:textId="77777777" w:rsidR="00000000" w:rsidRDefault="00000000">
            <w:pPr>
              <w:pStyle w:val="a2"/>
              <w:rPr>
                <w:rtl/>
              </w:rPr>
            </w:pPr>
            <w:r>
              <w:rPr>
                <w:rtl/>
              </w:rPr>
              <w:t>*******************************************************</w:t>
            </w:r>
          </w:p>
          <w:p w14:paraId="1DB294B3" w14:textId="77777777" w:rsidR="00000000" w:rsidRDefault="00000000">
            <w:pPr>
              <w:pStyle w:val="a2"/>
              <w:rPr>
                <w:rtl/>
              </w:rPr>
            </w:pPr>
          </w:p>
          <w:p w14:paraId="66FF4F4C" w14:textId="77777777" w:rsidR="00000000" w:rsidRDefault="00000000">
            <w:pPr>
              <w:pStyle w:val="a2"/>
              <w:rPr>
                <w:rtl/>
              </w:rPr>
            </w:pPr>
            <w:r>
              <w:rPr>
                <w:rtl/>
              </w:rPr>
              <w:t>בית המדרש הוירטואלי שליד ישיבת הר עציון</w:t>
            </w:r>
          </w:p>
          <w:p w14:paraId="6B920042" w14:textId="77777777" w:rsidR="00000000" w:rsidRDefault="00000000">
            <w:pPr>
              <w:pStyle w:val="a2"/>
              <w:rPr>
                <w:noProof w:val="0"/>
                <w:rtl/>
              </w:rPr>
            </w:pPr>
            <w:r>
              <w:rPr>
                <w:rtl/>
              </w:rPr>
              <w:t>האתר בעברית:</w:t>
            </w:r>
            <w:r>
              <w:rPr>
                <w:rtl/>
              </w:rPr>
              <w:tab/>
            </w:r>
            <w:r>
              <w:t>http://www.vbm-torah.org/hebweb</w:t>
            </w:r>
          </w:p>
          <w:p w14:paraId="5B20C229" w14:textId="77777777" w:rsidR="00000000" w:rsidRDefault="00000000">
            <w:pPr>
              <w:pStyle w:val="a2"/>
              <w:rPr>
                <w:noProof w:val="0"/>
                <w:rtl/>
              </w:rPr>
            </w:pPr>
            <w:r>
              <w:rPr>
                <w:rtl/>
              </w:rPr>
              <w:t>האתר באנגלית:</w:t>
            </w:r>
            <w:r>
              <w:rPr>
                <w:rtl/>
              </w:rPr>
              <w:tab/>
            </w:r>
            <w:r>
              <w:t>http://www.vbm-torah.org</w:t>
            </w:r>
          </w:p>
          <w:p w14:paraId="12C5852D" w14:textId="77777777" w:rsidR="00000000" w:rsidRDefault="00000000">
            <w:pPr>
              <w:pStyle w:val="a2"/>
              <w:rPr>
                <w:rtl/>
              </w:rPr>
            </w:pPr>
          </w:p>
          <w:p w14:paraId="3E92C080" w14:textId="77777777" w:rsidR="00000000" w:rsidRDefault="00000000">
            <w:pPr>
              <w:pStyle w:val="a2"/>
              <w:rPr>
                <w:rtl/>
              </w:rPr>
            </w:pPr>
            <w:r>
              <w:rPr>
                <w:rtl/>
              </w:rPr>
              <w:t xml:space="preserve">משרדי בית המדרש הוירטואלי: 02-9931456 שלוחה 5 </w:t>
            </w:r>
          </w:p>
          <w:p w14:paraId="1EEFCE56" w14:textId="77777777" w:rsidR="00000000" w:rsidRDefault="00000000">
            <w:pPr>
              <w:pStyle w:val="a2"/>
              <w:rPr>
                <w:noProof w:val="0"/>
                <w:rtl/>
              </w:rPr>
            </w:pPr>
            <w:r>
              <w:rPr>
                <w:rtl/>
              </w:rPr>
              <w:t xml:space="preserve">דואל: </w:t>
            </w:r>
            <w:hyperlink r:id="rId8" w:history="1">
              <w:r>
                <w:rPr>
                  <w:rStyle w:val="Hyperlink"/>
                </w:rPr>
                <w:t>YHE@etzion.org.il</w:t>
              </w:r>
            </w:hyperlink>
          </w:p>
        </w:tc>
        <w:tc>
          <w:tcPr>
            <w:tcW w:w="284" w:type="dxa"/>
            <w:tcBorders>
              <w:top w:val="nil"/>
              <w:left w:val="nil"/>
              <w:bottom w:val="nil"/>
              <w:right w:val="nil"/>
            </w:tcBorders>
          </w:tcPr>
          <w:p w14:paraId="70CB78EE" w14:textId="77777777" w:rsidR="00000000" w:rsidRDefault="00000000">
            <w:pPr>
              <w:pStyle w:val="a2"/>
              <w:rPr>
                <w:rtl/>
              </w:rPr>
            </w:pPr>
            <w:r>
              <w:rPr>
                <w:rtl/>
              </w:rPr>
              <w:t xml:space="preserve">* * * * * * * * * * </w:t>
            </w:r>
          </w:p>
        </w:tc>
      </w:tr>
      <w:tr w:rsidR="00000000" w14:paraId="66FFB0C3" w14:textId="77777777">
        <w:tblPrEx>
          <w:tblCellMar>
            <w:top w:w="0" w:type="dxa"/>
            <w:bottom w:w="0" w:type="dxa"/>
          </w:tblCellMar>
        </w:tblPrEx>
        <w:tc>
          <w:tcPr>
            <w:tcW w:w="283" w:type="dxa"/>
            <w:tcBorders>
              <w:top w:val="nil"/>
              <w:left w:val="nil"/>
              <w:bottom w:val="nil"/>
              <w:right w:val="nil"/>
            </w:tcBorders>
          </w:tcPr>
          <w:p w14:paraId="00EE2D9A" w14:textId="77777777" w:rsidR="00000000" w:rsidRDefault="00000000">
            <w:pPr>
              <w:pStyle w:val="a2"/>
              <w:rPr>
                <w:rtl/>
              </w:rPr>
            </w:pPr>
            <w:r>
              <w:rPr>
                <w:rtl/>
              </w:rPr>
              <w:t>*</w:t>
            </w:r>
          </w:p>
        </w:tc>
        <w:tc>
          <w:tcPr>
            <w:tcW w:w="4111" w:type="dxa"/>
            <w:tcBorders>
              <w:top w:val="nil"/>
              <w:left w:val="nil"/>
              <w:bottom w:val="nil"/>
              <w:right w:val="nil"/>
            </w:tcBorders>
          </w:tcPr>
          <w:p w14:paraId="4C580C1D" w14:textId="77777777" w:rsidR="00000000" w:rsidRDefault="00000000">
            <w:pPr>
              <w:pStyle w:val="a2"/>
              <w:rPr>
                <w:rtl/>
              </w:rPr>
            </w:pPr>
            <w:r>
              <w:rPr>
                <w:rtl/>
              </w:rPr>
              <w:t>**********************************************************</w:t>
            </w:r>
          </w:p>
        </w:tc>
        <w:tc>
          <w:tcPr>
            <w:tcW w:w="284" w:type="dxa"/>
            <w:tcBorders>
              <w:top w:val="nil"/>
              <w:left w:val="nil"/>
              <w:bottom w:val="nil"/>
              <w:right w:val="nil"/>
            </w:tcBorders>
          </w:tcPr>
          <w:p w14:paraId="68D5A3F4" w14:textId="77777777" w:rsidR="00000000" w:rsidRDefault="00000000">
            <w:pPr>
              <w:pStyle w:val="a2"/>
              <w:rPr>
                <w:rtl/>
              </w:rPr>
            </w:pPr>
            <w:r>
              <w:rPr>
                <w:rtl/>
              </w:rPr>
              <w:t>*</w:t>
            </w:r>
          </w:p>
        </w:tc>
      </w:tr>
    </w:tbl>
    <w:p w14:paraId="7A2D22F8" w14:textId="77777777" w:rsidR="00EF43AC" w:rsidRDefault="00000000">
      <w:pPr>
        <w:jc w:val="center"/>
        <w:rPr>
          <w:b/>
          <w:bCs/>
          <w:rtl/>
        </w:rPr>
      </w:pPr>
      <w:r>
        <w:rPr>
          <w:b/>
          <w:bCs/>
          <w:rtl/>
        </w:rPr>
        <w:t xml:space="preserve">לתגובות - </w:t>
      </w:r>
      <w:hyperlink r:id="rId9" w:history="1">
        <w:r>
          <w:rPr>
            <w:rStyle w:val="Hyperlink"/>
            <w:b/>
            <w:bCs/>
          </w:rPr>
          <w:t>parasha@herzog.ac.il</w:t>
        </w:r>
      </w:hyperlink>
    </w:p>
    <w:sectPr w:rsidR="00EF43AC">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5312" w14:textId="77777777" w:rsidR="00EF43AC" w:rsidRDefault="00EF43AC">
      <w:pPr>
        <w:spacing w:after="0" w:line="240" w:lineRule="auto"/>
      </w:pPr>
      <w:r>
        <w:separator/>
      </w:r>
    </w:p>
  </w:endnote>
  <w:endnote w:type="continuationSeparator" w:id="0">
    <w:p w14:paraId="4D856B47" w14:textId="77777777" w:rsidR="00EF43AC" w:rsidRDefault="00EF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1962" w14:textId="77777777" w:rsidR="00EF43AC" w:rsidRDefault="00EF43AC">
      <w:pPr>
        <w:spacing w:after="0" w:line="240" w:lineRule="auto"/>
      </w:pPr>
      <w:r>
        <w:separator/>
      </w:r>
    </w:p>
  </w:footnote>
  <w:footnote w:type="continuationSeparator" w:id="0">
    <w:p w14:paraId="7C922F1C" w14:textId="77777777" w:rsidR="00EF43AC" w:rsidRDefault="00EF43AC">
      <w:pPr>
        <w:spacing w:after="0" w:line="240" w:lineRule="auto"/>
      </w:pPr>
      <w:r>
        <w:continuationSeparator/>
      </w:r>
    </w:p>
  </w:footnote>
  <w:footnote w:id="1">
    <w:p w14:paraId="2CADF4F5" w14:textId="77777777" w:rsidR="00000000" w:rsidRDefault="00000000">
      <w:pPr>
        <w:pStyle w:val="FootnoteText"/>
        <w:ind w:left="227" w:right="0"/>
      </w:pPr>
      <w:r>
        <w:rPr>
          <w:rStyle w:val="FootnoteReference"/>
          <w:rtl/>
        </w:rPr>
        <w:footnoteRef/>
      </w:r>
      <w:r>
        <w:rPr>
          <w:rtl/>
        </w:rPr>
        <w:t xml:space="preserve"> </w:t>
      </w:r>
      <w:r>
        <w:rPr>
          <w:rtl/>
        </w:rPr>
        <w:tab/>
        <w:t>הדיון המלא באיסורי העריות דורש השלמה בפרשת קדושים.</w:t>
      </w:r>
    </w:p>
  </w:footnote>
  <w:footnote w:id="2">
    <w:p w14:paraId="289B1A8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ניתן </w:t>
      </w:r>
      <w:r>
        <w:rPr>
          <w:rtl/>
        </w:rPr>
        <w:t>היה ללמוד את איסור הבת בקל-וחומר מאיסור הנכדה, אולם לימוד זה קשה, שהרי התורה אסרה במפורש לקחת אישה ובתה, למרות שהיא אסרה גם לקחת אישה ובת-בתה, וניתן היה ללמוד בקל-וחומר על איסור בת האישה. ניתן לטעון שאיסור הבת נלמד מהאיסור לקחת אישה ובתה, אך הדבר קשה, ואף הלכתית נראה ששני האיסורים הללו אינם זהים (שכן קיים הבדל ברמת האיסור בין אדם הבא על בתו כאשר אמה עדיין חיה לבין אדם הבא על בת אשתו לאחר שאמה נפטרה).</w:t>
      </w:r>
    </w:p>
  </w:footnote>
  <w:footnote w:id="3">
    <w:p w14:paraId="61562188"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אמנם, </w:t>
      </w:r>
      <w:r>
        <w:rPr>
          <w:rtl/>
        </w:rPr>
        <w:t>איסור החותנת מופיע במפורש בספר דברים (כ"ז, כג).</w:t>
      </w:r>
    </w:p>
  </w:footnote>
  <w:footnote w:id="4">
    <w:p w14:paraId="405152D8"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זאת </w:t>
      </w:r>
      <w:r>
        <w:rPr>
          <w:rtl/>
        </w:rPr>
        <w:t xml:space="preserve">בניגוד ליחס שבין האיש לאחיו. אין שתי מילים שונות המבטאות את היחס בין אדם לאחיו הגדול ואת היחס שבין אדם לאחיו הקטן, ולכן אם אדם הוא אחיו של אדם אחר - גם האדם האחר הוא אחיו שלו. </w:t>
      </w:r>
    </w:p>
  </w:footnote>
  <w:footnote w:id="5">
    <w:p w14:paraId="0AE40CA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אמנם </w:t>
      </w:r>
      <w:r>
        <w:rPr>
          <w:rtl/>
        </w:rPr>
        <w:t>כאשר אדם בא על אמו - שניהם נהרגים, אולם גם כאשר אדם בא על בהמה - שניהם נהרגים, ולכן אי אפשר להסיק מכך שהאיסור חל בצורה שווה על האיש ועל אמו. בדרך כלל אין לשאלה זו חשיבות הלכתית (פרט, אולי, לקטן שבא על אמו), ברם להלן נראה שיש לה משמעות.</w:t>
      </w:r>
    </w:p>
  </w:footnote>
  <w:footnote w:id="6">
    <w:p w14:paraId="69C6108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להלן </w:t>
      </w:r>
      <w:r>
        <w:rPr>
          <w:rtl/>
        </w:rPr>
        <w:t>נעמוד על הסיבה לחלק בין האיש לאישה באיסורי העריות. מסתבר, שחלק מהאיסורים נובעים מהגדרת המשפחה, הנקבעת לפי הגבר בלבד, ולא מהקרבה בין האדם לערוותו.</w:t>
      </w:r>
    </w:p>
  </w:footnote>
  <w:footnote w:id="7">
    <w:p w14:paraId="6E74C4CF" w14:textId="77777777" w:rsidR="00000000" w:rsidRDefault="00000000">
      <w:pPr>
        <w:pStyle w:val="FootnoteText"/>
        <w:ind w:left="227" w:right="0"/>
      </w:pPr>
      <w:r>
        <w:rPr>
          <w:rStyle w:val="FootnoteReference"/>
        </w:rPr>
        <w:footnoteRef/>
      </w:r>
      <w:r>
        <w:tab/>
      </w:r>
      <w:r>
        <w:rPr>
          <w:rtl/>
        </w:rPr>
        <w:t xml:space="preserve">ישנם </w:t>
      </w:r>
      <w:r>
        <w:rPr>
          <w:rtl/>
        </w:rPr>
        <w:t>מקומות שבהם קיים הבדל הלכתי בין האיש לאישה (לדוגמא - איסור הביאה על בהמה), ובהם ודאי שקיימת הפרדה בין שני המינים.</w:t>
      </w:r>
    </w:p>
  </w:footnote>
  <w:footnote w:id="8">
    <w:p w14:paraId="10AF3B21"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ש"שאר בשר" הוא ביטוי, שאין משמעות נפרדת לכל אחד מחלקיו (כשם ש"בית ספר" אינו בית של ספרים).</w:t>
      </w:r>
    </w:p>
  </w:footnote>
  <w:footnote w:id="9">
    <w:p w14:paraId="2D7C1344"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 xml:space="preserve">שניתן להביא סמך להנחות אלו מלשון הכתוב. בפרשת קדושים, התורה מנסחת את איסור האחות בצורה יוצאת דופן: "ואיש אשר יקח את אחֹתו, בת אביו או בת אמו, </w:t>
      </w:r>
      <w:r>
        <w:rPr>
          <w:rFonts w:cs="Arial"/>
          <w:b/>
          <w:bCs/>
          <w:rtl/>
        </w:rPr>
        <w:t>וראה את ערותה והיא תראה את ערותו</w:t>
      </w:r>
      <w:r>
        <w:rPr>
          <w:rtl/>
        </w:rPr>
        <w:t>...". כמו כן, בפרשתנו התורה מנסחת את איסור האם בצורה מוזרה: "</w:t>
      </w:r>
      <w:r>
        <w:rPr>
          <w:rFonts w:cs="Arial"/>
          <w:b/>
          <w:bCs/>
          <w:rtl/>
        </w:rPr>
        <w:t>ערות אביך וערות אמך לא תגלה</w:t>
      </w:r>
      <w:r>
        <w:rPr>
          <w:rtl/>
        </w:rPr>
        <w:t>, אמך הוא לא תגלה ערותה". ייתכן שהתורה באה לרמוז שהאח שווה לאחותו באיסור, וכן שכשם שהאם אסורה על הבן - כך הבאב אסור על הבת.</w:t>
      </w:r>
    </w:p>
  </w:footnote>
  <w:footnote w:id="10">
    <w:p w14:paraId="0BFBECFA" w14:textId="77777777" w:rsidR="00000000" w:rsidRDefault="00000000">
      <w:pPr>
        <w:pStyle w:val="FootnoteText"/>
        <w:ind w:left="227" w:right="0"/>
      </w:pPr>
      <w:r>
        <w:rPr>
          <w:rStyle w:val="FootnoteReference"/>
        </w:rPr>
        <w:footnoteRef/>
      </w:r>
      <w:r>
        <w:tab/>
      </w:r>
      <w:r>
        <w:rPr>
          <w:rtl/>
        </w:rPr>
        <w:t xml:space="preserve">או </w:t>
      </w:r>
      <w:r>
        <w:rPr>
          <w:rtl/>
        </w:rPr>
        <w:t>אולי בעל אחות האב.</w:t>
      </w:r>
    </w:p>
  </w:footnote>
  <w:footnote w:id="11">
    <w:p w14:paraId="5ABEDB0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גם </w:t>
      </w:r>
      <w:r>
        <w:rPr>
          <w:rtl/>
        </w:rPr>
        <w:t>איסור אשת האב מופיע במפורש (שורה 5), למרות שניתן ללמוד אותו מאיסור אשה ובתה (שורה 11). אולם כפי שציינו לעיל (הערה 2), קיים הבדל הלכתי בין איסור אשה ובתה לאיסורי העריות האחרים. כמו כן, ייתכן שאיסור אשה ובתה חל על קידושין בלבד, ולא על ביאה ללא קידושין.</w:t>
      </w:r>
    </w:p>
  </w:footnote>
  <w:footnote w:id="12">
    <w:p w14:paraId="66E696AE" w14:textId="77777777" w:rsidR="00000000" w:rsidRDefault="00000000">
      <w:pPr>
        <w:pStyle w:val="FootnoteText"/>
        <w:ind w:left="227" w:right="0"/>
        <w:rPr>
          <w:rtl/>
        </w:rPr>
      </w:pPr>
      <w:r>
        <w:rPr>
          <w:rStyle w:val="FootnoteReference"/>
        </w:rPr>
        <w:footnoteRef/>
      </w:r>
      <w:r>
        <w:tab/>
      </w:r>
      <w:r>
        <w:rPr>
          <w:rFonts w:cs="Arial"/>
          <w:b/>
          <w:bCs/>
          <w:rtl/>
        </w:rPr>
        <w:t>א.</w:t>
      </w:r>
      <w:r>
        <w:rPr>
          <w:rtl/>
        </w:rPr>
        <w:t xml:space="preserve"> </w:t>
      </w:r>
      <w:r>
        <w:rPr>
          <w:rtl/>
        </w:rPr>
        <w:t xml:space="preserve">להבחנה זו ניתן למצוא סמך בדיני הגאולה: "או דֹדו או בן דֹדו יגאלנו, או </w:t>
      </w:r>
      <w:r>
        <w:rPr>
          <w:rFonts w:cs="Arial"/>
          <w:b/>
          <w:bCs/>
          <w:rtl/>
        </w:rPr>
        <w:t>משאר בשרו ממשפחתו</w:t>
      </w:r>
      <w:r>
        <w:rPr>
          <w:rtl/>
        </w:rPr>
        <w:t xml:space="preserve"> יגאלנו". </w:t>
      </w:r>
    </w:p>
    <w:p w14:paraId="372F6EF2" w14:textId="77777777" w:rsidR="00000000" w:rsidRDefault="00000000">
      <w:pPr>
        <w:pStyle w:val="FootnoteText"/>
        <w:ind w:left="227" w:right="0"/>
      </w:pPr>
      <w:r>
        <w:rPr>
          <w:rtl/>
        </w:rPr>
        <w:t xml:space="preserve"> </w:t>
      </w:r>
      <w:r>
        <w:rPr>
          <w:rtl/>
        </w:rPr>
        <w:tab/>
      </w:r>
      <w:r>
        <w:rPr>
          <w:rFonts w:cs="Arial"/>
          <w:b/>
          <w:bCs/>
          <w:rtl/>
        </w:rPr>
        <w:t>ב.</w:t>
      </w:r>
      <w:r>
        <w:rPr>
          <w:rtl/>
        </w:rPr>
        <w:t xml:space="preserve"> ה"אבן עזרא" מביא את דעת הצדוקים, שיכול להיות איסור משפחתי ללא קרבה - איסור לבוא על בת מאם חורגת. פירוש זה קרוב לפשט הכתובים, אך הוא לא התקבל מסיבות שונות, שאין כאן המקום לפורטם.</w:t>
      </w:r>
    </w:p>
  </w:footnote>
  <w:footnote w:id="13">
    <w:p w14:paraId="31C01CA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עקרונות </w:t>
      </w:r>
      <w:r>
        <w:rPr>
          <w:rtl/>
        </w:rPr>
        <w:t>האיסור שונים בפרשת קדושים, ולכן שם איסור אחי האב מנומק בכך שהוא שאר (ויקרא כ', יט), ולא בכך שהוא שאר האב.</w:t>
      </w:r>
    </w:p>
  </w:footnote>
  <w:footnote w:id="14">
    <w:p w14:paraId="3218B566" w14:textId="77777777" w:rsidR="00000000" w:rsidRDefault="00000000">
      <w:pPr>
        <w:pStyle w:val="FootnoteText"/>
        <w:ind w:left="227" w:right="0"/>
      </w:pPr>
      <w:r>
        <w:rPr>
          <w:rStyle w:val="FootnoteReference"/>
        </w:rPr>
        <w:footnoteRef/>
      </w:r>
      <w:r>
        <w:tab/>
      </w:r>
      <w:r>
        <w:rPr>
          <w:rtl/>
        </w:rPr>
        <w:t xml:space="preserve">בפועל, </w:t>
      </w:r>
      <w:r>
        <w:rPr>
          <w:rtl/>
        </w:rPr>
        <w:t>ההלכה הוסיפה איסורים על כמה קרובים שלא פורשו בתורה, אך לא נוכל להיכנס כאן לפרטי ההסברים.</w:t>
      </w:r>
    </w:p>
  </w:footnote>
  <w:footnote w:id="15">
    <w:p w14:paraId="78F3C565"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ולכן </w:t>
      </w:r>
      <w:r>
        <w:rPr>
          <w:rtl/>
        </w:rPr>
        <w:t>גם אשת כהן אינה אוכלת בתרומה לאחר שבעלה נפטר, אלא אם כן יש לה בנים ממנו, המאכילים אותה.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10BB38B1" w14:textId="77777777">
      <w:tblPrEx>
        <w:tblCellMar>
          <w:top w:w="0" w:type="dxa"/>
          <w:bottom w:w="0" w:type="dxa"/>
        </w:tblCellMar>
      </w:tblPrEx>
      <w:tc>
        <w:tcPr>
          <w:tcW w:w="4927" w:type="dxa"/>
          <w:tcBorders>
            <w:top w:val="nil"/>
            <w:left w:val="nil"/>
            <w:bottom w:val="double" w:sz="4" w:space="0" w:color="auto"/>
            <w:right w:val="nil"/>
          </w:tcBorders>
        </w:tcPr>
        <w:p w14:paraId="355707BE"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66D0DC49"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759FDBAB" w14:textId="77777777"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www.vbm-torah.org/hebweb</w:t>
          </w:r>
        </w:p>
      </w:tc>
    </w:tr>
  </w:tbl>
  <w:p w14:paraId="797AA4A8"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29B7"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150058322">
    <w:abstractNumId w:val="15"/>
  </w:num>
  <w:num w:numId="2" w16cid:durableId="1067605890">
    <w:abstractNumId w:val="12"/>
  </w:num>
  <w:num w:numId="3" w16cid:durableId="1244534730">
    <w:abstractNumId w:val="18"/>
  </w:num>
  <w:num w:numId="4" w16cid:durableId="1525903126">
    <w:abstractNumId w:val="8"/>
  </w:num>
  <w:num w:numId="5" w16cid:durableId="1552307075">
    <w:abstractNumId w:val="1"/>
  </w:num>
  <w:num w:numId="6" w16cid:durableId="565143797">
    <w:abstractNumId w:val="13"/>
  </w:num>
  <w:num w:numId="7" w16cid:durableId="1212228539">
    <w:abstractNumId w:val="6"/>
  </w:num>
  <w:num w:numId="8" w16cid:durableId="13112416">
    <w:abstractNumId w:val="17"/>
  </w:num>
  <w:num w:numId="9" w16cid:durableId="1371609787">
    <w:abstractNumId w:val="0"/>
  </w:num>
  <w:num w:numId="10" w16cid:durableId="1003556671">
    <w:abstractNumId w:val="2"/>
  </w:num>
  <w:num w:numId="11" w16cid:durableId="369653632">
    <w:abstractNumId w:val="14"/>
  </w:num>
  <w:num w:numId="12" w16cid:durableId="1005867603">
    <w:abstractNumId w:val="4"/>
  </w:num>
  <w:num w:numId="13" w16cid:durableId="2036811461">
    <w:abstractNumId w:val="10"/>
  </w:num>
  <w:num w:numId="14" w16cid:durableId="715858907">
    <w:abstractNumId w:val="9"/>
  </w:num>
  <w:num w:numId="15" w16cid:durableId="1401830263">
    <w:abstractNumId w:val="11"/>
  </w:num>
  <w:num w:numId="16" w16cid:durableId="97525656">
    <w:abstractNumId w:val="3"/>
  </w:num>
  <w:num w:numId="17" w16cid:durableId="809323867">
    <w:abstractNumId w:val="5"/>
  </w:num>
  <w:num w:numId="18" w16cid:durableId="1350378356">
    <w:abstractNumId w:val="7"/>
  </w:num>
  <w:num w:numId="19" w16cid:durableId="1407916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1A1"/>
    <w:rsid w:val="00420FF9"/>
    <w:rsid w:val="005771A1"/>
    <w:rsid w:val="006B442F"/>
    <w:rsid w:val="00E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9F46C"/>
  <w14:defaultImageDpi w14:val="0"/>
  <w15:docId w15:val="{B582B67D-F752-48C7-8E05-E6F34C65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3</Pages>
  <Words>1064</Words>
  <Characters>6066</Characters>
  <Application>Microsoft Office Word</Application>
  <DocSecurity>0</DocSecurity>
  <Lines>50</Lines>
  <Paragraphs>14</Paragraphs>
  <ScaleCrop>false</ScaleCrop>
  <Company>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2003-04-25T05:47:00Z</cp:lastPrinted>
  <dcterms:created xsi:type="dcterms:W3CDTF">2025-06-09T08:37:00Z</dcterms:created>
  <dcterms:modified xsi:type="dcterms:W3CDTF">2025-06-09T08:37:00Z</dcterms:modified>
</cp:coreProperties>
</file>