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5B214A5C" w:rsidR="00FD080B" w:rsidRPr="00527D71" w:rsidRDefault="003825CD" w:rsidP="003C4037">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Pr>
          <w:rFonts w:ascii="Arial" w:hAnsi="Arial" w:hint="cs"/>
          <w:color w:val="000000"/>
          <w:sz w:val="34"/>
          <w:szCs w:val="34"/>
          <w:shd w:val="clear" w:color="auto" w:fill="FFFFFF"/>
          <w:rtl/>
        </w:rPr>
        <w:t xml:space="preserve">העולם הבא </w:t>
      </w:r>
      <w:r>
        <w:rPr>
          <w:rFonts w:ascii="Arial" w:hAnsi="Arial"/>
          <w:color w:val="000000"/>
          <w:sz w:val="34"/>
          <w:szCs w:val="34"/>
          <w:shd w:val="clear" w:color="auto" w:fill="FFFFFF"/>
          <w:rtl/>
        </w:rPr>
        <w:t>–</w:t>
      </w:r>
      <w:r>
        <w:rPr>
          <w:rFonts w:ascii="Arial" w:hAnsi="Arial" w:hint="cs"/>
          <w:color w:val="000000"/>
          <w:sz w:val="34"/>
          <w:szCs w:val="34"/>
          <w:shd w:val="clear" w:color="auto" w:fill="FFFFFF"/>
          <w:rtl/>
        </w:rPr>
        <w:t xml:space="preserve"> ראיות וראיות (כ)</w:t>
      </w:r>
    </w:p>
    <w:p w14:paraId="61C30B22" w14:textId="77777777" w:rsidR="00AB1A5A" w:rsidRDefault="00AB1A5A" w:rsidP="00AB1A5A">
      <w:pPr>
        <w:rPr>
          <w:rtl/>
        </w:rPr>
      </w:pPr>
    </w:p>
    <w:p w14:paraId="5D1F5ECC" w14:textId="32338DDD" w:rsidR="008B1B99" w:rsidRPr="008B1B99" w:rsidRDefault="003825CD" w:rsidP="008135E4">
      <w:pPr>
        <w:jc w:val="center"/>
        <w:rPr>
          <w:rFonts w:cs="Arial"/>
          <w:b/>
          <w:bCs/>
          <w:smallCaps/>
          <w:sz w:val="21"/>
        </w:rPr>
      </w:pPr>
      <w:r>
        <w:rPr>
          <w:rFonts w:cs="Arial" w:hint="cs"/>
          <w:b/>
          <w:bCs/>
          <w:smallCaps/>
          <w:sz w:val="21"/>
          <w:rtl/>
        </w:rPr>
        <w:t xml:space="preserve">עולם הבא </w:t>
      </w:r>
      <w:r>
        <w:rPr>
          <w:rFonts w:cs="Arial"/>
          <w:b/>
          <w:bCs/>
          <w:smallCaps/>
          <w:sz w:val="21"/>
          <w:rtl/>
        </w:rPr>
        <w:t>–</w:t>
      </w:r>
      <w:r>
        <w:rPr>
          <w:rFonts w:cs="Arial" w:hint="cs"/>
          <w:b/>
          <w:bCs/>
          <w:smallCaps/>
          <w:sz w:val="21"/>
          <w:rtl/>
        </w:rPr>
        <w:t xml:space="preserve"> למה כאן, למה עכשיו?</w:t>
      </w:r>
    </w:p>
    <w:p w14:paraId="1AC79DE1" w14:textId="77777777" w:rsidR="003825CD" w:rsidRDefault="003825CD" w:rsidP="003825CD">
      <w:pPr>
        <w:rPr>
          <w:rtl/>
        </w:rPr>
      </w:pPr>
      <w:r>
        <w:rPr>
          <w:rFonts w:hint="cs"/>
          <w:rtl/>
        </w:rPr>
        <w:t xml:space="preserve">לקראת סוף המאמר הראשון, לאחר שסיים החבר לתרץ את </w:t>
      </w:r>
      <w:proofErr w:type="spellStart"/>
      <w:r>
        <w:rPr>
          <w:rFonts w:hint="cs"/>
          <w:rtl/>
        </w:rPr>
        <w:t>כשלונם</w:t>
      </w:r>
      <w:proofErr w:type="spellEnd"/>
      <w:r>
        <w:rPr>
          <w:rFonts w:hint="cs"/>
          <w:rtl/>
        </w:rPr>
        <w:t xml:space="preserve"> של ישראל בחטא העגל ולשוב ולבסס את מעמדם כמין "מלאכי, </w:t>
      </w:r>
      <w:r w:rsidRPr="00AE1920">
        <w:rPr>
          <w:rFonts w:hint="cs"/>
          <w:rtl/>
        </w:rPr>
        <w:t>מבקשים</w:t>
      </w:r>
      <w:r w:rsidRPr="00AE1920">
        <w:rPr>
          <w:rtl/>
        </w:rPr>
        <w:t xml:space="preserve"> </w:t>
      </w:r>
      <w:r w:rsidRPr="00AE1920">
        <w:rPr>
          <w:rFonts w:hint="cs"/>
          <w:rtl/>
        </w:rPr>
        <w:t>כלם</w:t>
      </w:r>
      <w:r w:rsidRPr="00AE1920">
        <w:rPr>
          <w:rtl/>
        </w:rPr>
        <w:t xml:space="preserve"> </w:t>
      </w:r>
      <w:r w:rsidRPr="00AE1920">
        <w:rPr>
          <w:rFonts w:hint="cs"/>
          <w:rtl/>
        </w:rPr>
        <w:t>מעלת</w:t>
      </w:r>
      <w:r w:rsidRPr="00AE1920">
        <w:rPr>
          <w:rtl/>
        </w:rPr>
        <w:t xml:space="preserve"> </w:t>
      </w:r>
      <w:r w:rsidRPr="00AE1920">
        <w:rPr>
          <w:rFonts w:hint="cs"/>
          <w:rtl/>
        </w:rPr>
        <w:t>הנבואה</w:t>
      </w:r>
      <w:r w:rsidRPr="00AE1920">
        <w:rPr>
          <w:rtl/>
        </w:rPr>
        <w:t xml:space="preserve"> </w:t>
      </w:r>
      <w:r w:rsidRPr="00AE1920">
        <w:rPr>
          <w:rFonts w:hint="cs"/>
          <w:rtl/>
        </w:rPr>
        <w:t>ורובם</w:t>
      </w:r>
      <w:r w:rsidRPr="00AE1920">
        <w:rPr>
          <w:rtl/>
        </w:rPr>
        <w:t xml:space="preserve"> </w:t>
      </w:r>
      <w:r w:rsidRPr="00AE1920">
        <w:rPr>
          <w:rFonts w:hint="cs"/>
          <w:rtl/>
        </w:rPr>
        <w:t>מגיעים</w:t>
      </w:r>
      <w:r w:rsidRPr="00AE1920">
        <w:rPr>
          <w:rtl/>
        </w:rPr>
        <w:t xml:space="preserve"> </w:t>
      </w:r>
      <w:r w:rsidRPr="00AE1920">
        <w:rPr>
          <w:rFonts w:hint="cs"/>
          <w:rtl/>
        </w:rPr>
        <w:t>אליה</w:t>
      </w:r>
      <w:r w:rsidRPr="00AE1920">
        <w:rPr>
          <w:rtl/>
        </w:rPr>
        <w:t xml:space="preserve">, </w:t>
      </w:r>
      <w:r w:rsidRPr="00AE1920">
        <w:rPr>
          <w:rFonts w:hint="cs"/>
          <w:rtl/>
        </w:rPr>
        <w:t>ומי</w:t>
      </w:r>
      <w:r w:rsidRPr="00AE1920">
        <w:rPr>
          <w:rtl/>
        </w:rPr>
        <w:t xml:space="preserve"> </w:t>
      </w:r>
      <w:r w:rsidRPr="00AE1920">
        <w:rPr>
          <w:rFonts w:hint="cs"/>
          <w:rtl/>
        </w:rPr>
        <w:t>שלא</w:t>
      </w:r>
      <w:r w:rsidRPr="00AE1920">
        <w:rPr>
          <w:rtl/>
        </w:rPr>
        <w:t xml:space="preserve"> </w:t>
      </w:r>
      <w:r w:rsidRPr="00AE1920">
        <w:rPr>
          <w:rFonts w:hint="cs"/>
          <w:rtl/>
        </w:rPr>
        <w:t>יגיע</w:t>
      </w:r>
      <w:r w:rsidRPr="00AE1920">
        <w:rPr>
          <w:rtl/>
        </w:rPr>
        <w:t xml:space="preserve"> </w:t>
      </w:r>
      <w:r w:rsidRPr="00AE1920">
        <w:rPr>
          <w:rFonts w:hint="cs"/>
          <w:rtl/>
        </w:rPr>
        <w:t>אליה</w:t>
      </w:r>
      <w:r w:rsidRPr="00AE1920">
        <w:rPr>
          <w:rtl/>
        </w:rPr>
        <w:t xml:space="preserve">, </w:t>
      </w:r>
      <w:r w:rsidRPr="00AE1920">
        <w:rPr>
          <w:rFonts w:hint="cs"/>
          <w:rtl/>
        </w:rPr>
        <w:t>קרוב</w:t>
      </w:r>
      <w:r w:rsidRPr="00AE1920">
        <w:rPr>
          <w:rtl/>
        </w:rPr>
        <w:t xml:space="preserve"> </w:t>
      </w:r>
      <w:r w:rsidRPr="00AE1920">
        <w:rPr>
          <w:rFonts w:hint="cs"/>
          <w:rtl/>
        </w:rPr>
        <w:t>לה</w:t>
      </w:r>
      <w:r w:rsidRPr="00AE1920">
        <w:rPr>
          <w:rtl/>
        </w:rPr>
        <w:t xml:space="preserve"> </w:t>
      </w:r>
      <w:r w:rsidRPr="00AE1920">
        <w:rPr>
          <w:rFonts w:hint="cs"/>
          <w:rtl/>
        </w:rPr>
        <w:t>במעשים</w:t>
      </w:r>
      <w:r w:rsidRPr="00AE1920">
        <w:rPr>
          <w:rtl/>
        </w:rPr>
        <w:t xml:space="preserve"> </w:t>
      </w:r>
      <w:proofErr w:type="spellStart"/>
      <w:r w:rsidRPr="00AE1920">
        <w:rPr>
          <w:rFonts w:hint="cs"/>
          <w:rtl/>
        </w:rPr>
        <w:t>הנרצים</w:t>
      </w:r>
      <w:proofErr w:type="spellEnd"/>
      <w:r w:rsidRPr="00AE1920">
        <w:rPr>
          <w:rtl/>
        </w:rPr>
        <w:t xml:space="preserve"> </w:t>
      </w:r>
      <w:r w:rsidRPr="00AE1920">
        <w:rPr>
          <w:rFonts w:hint="cs"/>
          <w:rtl/>
        </w:rPr>
        <w:t>והקדושה</w:t>
      </w:r>
      <w:r w:rsidRPr="00AE1920">
        <w:rPr>
          <w:rtl/>
        </w:rPr>
        <w:t xml:space="preserve"> </w:t>
      </w:r>
      <w:r w:rsidRPr="00AE1920">
        <w:rPr>
          <w:rFonts w:hint="cs"/>
          <w:rtl/>
        </w:rPr>
        <w:t>והטהרה</w:t>
      </w:r>
      <w:r w:rsidRPr="00AE1920">
        <w:rPr>
          <w:rtl/>
        </w:rPr>
        <w:t xml:space="preserve"> </w:t>
      </w:r>
      <w:r w:rsidRPr="00AE1920">
        <w:rPr>
          <w:rFonts w:hint="cs"/>
          <w:rtl/>
        </w:rPr>
        <w:t>ופגישת</w:t>
      </w:r>
      <w:r w:rsidRPr="00AE1920">
        <w:rPr>
          <w:rtl/>
        </w:rPr>
        <w:t xml:space="preserve"> </w:t>
      </w:r>
      <w:r w:rsidRPr="00AE1920">
        <w:rPr>
          <w:rFonts w:hint="cs"/>
          <w:rtl/>
        </w:rPr>
        <w:t>הנביאים"</w:t>
      </w:r>
      <w:r>
        <w:rPr>
          <w:rFonts w:hint="cs"/>
          <w:rtl/>
        </w:rPr>
        <w:t>, מוצא הוא לנכון להזכיר את העולם הבא:</w:t>
      </w:r>
    </w:p>
    <w:p w14:paraId="77007110" w14:textId="1A285396" w:rsidR="003825CD" w:rsidRDefault="003825CD" w:rsidP="00023781">
      <w:pPr>
        <w:tabs>
          <w:tab w:val="right" w:pos="4620"/>
        </w:tabs>
        <w:ind w:left="720"/>
        <w:rPr>
          <w:rtl/>
        </w:rPr>
      </w:pPr>
      <w:r>
        <w:rPr>
          <w:rFonts w:hint="cs"/>
          <w:rtl/>
        </w:rPr>
        <w:t>"</w:t>
      </w:r>
      <w:r w:rsidRPr="007A69F4">
        <w:rPr>
          <w:rFonts w:hint="cs"/>
          <w:rtl/>
        </w:rPr>
        <w:t>ודע</w:t>
      </w:r>
      <w:r w:rsidRPr="007A69F4">
        <w:rPr>
          <w:rtl/>
        </w:rPr>
        <w:t xml:space="preserve">, </w:t>
      </w:r>
      <w:r w:rsidRPr="007A69F4">
        <w:rPr>
          <w:rFonts w:hint="cs"/>
          <w:rtl/>
        </w:rPr>
        <w:t>כי</w:t>
      </w:r>
      <w:r w:rsidRPr="007A69F4">
        <w:rPr>
          <w:rtl/>
        </w:rPr>
        <w:t xml:space="preserve"> </w:t>
      </w:r>
      <w:r w:rsidRPr="007A69F4">
        <w:rPr>
          <w:rFonts w:hint="cs"/>
          <w:rtl/>
        </w:rPr>
        <w:t>כל</w:t>
      </w:r>
      <w:r w:rsidRPr="007A69F4">
        <w:rPr>
          <w:rtl/>
        </w:rPr>
        <w:t xml:space="preserve"> </w:t>
      </w:r>
      <w:r w:rsidRPr="007A69F4">
        <w:rPr>
          <w:rFonts w:hint="cs"/>
          <w:rtl/>
        </w:rPr>
        <w:t>אשר</w:t>
      </w:r>
      <w:r w:rsidRPr="007A69F4">
        <w:rPr>
          <w:rtl/>
        </w:rPr>
        <w:t xml:space="preserve"> </w:t>
      </w:r>
      <w:proofErr w:type="spellStart"/>
      <w:r w:rsidRPr="007A69F4">
        <w:rPr>
          <w:rFonts w:hint="cs"/>
          <w:rtl/>
        </w:rPr>
        <w:t>יפג</w:t>
      </w:r>
      <w:r>
        <w:rPr>
          <w:rFonts w:hint="cs"/>
          <w:rtl/>
        </w:rPr>
        <w:t>ש</w:t>
      </w:r>
      <w:proofErr w:type="spellEnd"/>
      <w:r w:rsidRPr="007A69F4">
        <w:rPr>
          <w:rtl/>
        </w:rPr>
        <w:t xml:space="preserve"> </w:t>
      </w:r>
      <w:r w:rsidRPr="007A69F4">
        <w:rPr>
          <w:rFonts w:hint="cs"/>
          <w:rtl/>
        </w:rPr>
        <w:t>נביא</w:t>
      </w:r>
      <w:r w:rsidRPr="007A69F4">
        <w:rPr>
          <w:rtl/>
        </w:rPr>
        <w:t xml:space="preserve"> </w:t>
      </w:r>
      <w:r w:rsidRPr="007A69F4">
        <w:rPr>
          <w:rFonts w:hint="cs"/>
          <w:rtl/>
        </w:rPr>
        <w:t>בעת</w:t>
      </w:r>
      <w:r w:rsidRPr="007A69F4">
        <w:rPr>
          <w:rtl/>
        </w:rPr>
        <w:t xml:space="preserve"> </w:t>
      </w:r>
      <w:r>
        <w:rPr>
          <w:rFonts w:hint="cs"/>
          <w:rtl/>
        </w:rPr>
        <w:t>פגש</w:t>
      </w:r>
      <w:r w:rsidRPr="007A69F4">
        <w:rPr>
          <w:rFonts w:hint="cs"/>
          <w:rtl/>
        </w:rPr>
        <w:t>ו</w:t>
      </w:r>
      <w:r w:rsidRPr="007A69F4">
        <w:rPr>
          <w:rtl/>
        </w:rPr>
        <w:t xml:space="preserve"> </w:t>
      </w:r>
      <w:r w:rsidRPr="007A69F4">
        <w:rPr>
          <w:rFonts w:hint="cs"/>
          <w:rtl/>
        </w:rPr>
        <w:t>אותו</w:t>
      </w:r>
      <w:r w:rsidRPr="007A69F4">
        <w:rPr>
          <w:rtl/>
        </w:rPr>
        <w:t xml:space="preserve"> </w:t>
      </w:r>
      <w:r w:rsidRPr="007A69F4">
        <w:rPr>
          <w:rFonts w:hint="cs"/>
          <w:rtl/>
        </w:rPr>
        <w:t>ושמעו</w:t>
      </w:r>
      <w:r w:rsidRPr="007A69F4">
        <w:rPr>
          <w:rtl/>
        </w:rPr>
        <w:t xml:space="preserve"> </w:t>
      </w:r>
      <w:r w:rsidRPr="007A69F4">
        <w:rPr>
          <w:rFonts w:hint="cs"/>
          <w:rtl/>
        </w:rPr>
        <w:t>דבריו</w:t>
      </w:r>
      <w:r w:rsidRPr="007A69F4">
        <w:rPr>
          <w:rtl/>
        </w:rPr>
        <w:t xml:space="preserve"> </w:t>
      </w:r>
      <w:r w:rsidRPr="007A69F4">
        <w:rPr>
          <w:rFonts w:hint="cs"/>
          <w:rtl/>
        </w:rPr>
        <w:t>הא</w:t>
      </w:r>
      <w:r>
        <w:rPr>
          <w:rFonts w:hint="cs"/>
          <w:rtl/>
        </w:rPr>
        <w:t>-</w:t>
      </w:r>
      <w:proofErr w:type="spellStart"/>
      <w:r w:rsidRPr="007A69F4">
        <w:rPr>
          <w:rFonts w:hint="cs"/>
          <w:rtl/>
        </w:rPr>
        <w:t>להיים</w:t>
      </w:r>
      <w:proofErr w:type="spellEnd"/>
      <w:r w:rsidRPr="007A69F4">
        <w:rPr>
          <w:rtl/>
        </w:rPr>
        <w:t xml:space="preserve"> </w:t>
      </w:r>
      <w:r w:rsidRPr="007A69F4">
        <w:rPr>
          <w:rFonts w:hint="cs"/>
          <w:rtl/>
        </w:rPr>
        <w:t>מתחדשת</w:t>
      </w:r>
      <w:r w:rsidRPr="007A69F4">
        <w:rPr>
          <w:rtl/>
        </w:rPr>
        <w:t xml:space="preserve"> </w:t>
      </w:r>
      <w:r w:rsidRPr="007A69F4">
        <w:rPr>
          <w:rFonts w:hint="cs"/>
          <w:rtl/>
        </w:rPr>
        <w:t>לו</w:t>
      </w:r>
      <w:r w:rsidRPr="007A69F4">
        <w:rPr>
          <w:rtl/>
        </w:rPr>
        <w:t xml:space="preserve"> </w:t>
      </w:r>
      <w:r w:rsidRPr="007A69F4">
        <w:rPr>
          <w:rFonts w:hint="cs"/>
          <w:rtl/>
        </w:rPr>
        <w:t>רוחניות</w:t>
      </w:r>
      <w:r w:rsidRPr="007A69F4">
        <w:rPr>
          <w:rtl/>
        </w:rPr>
        <w:t xml:space="preserve"> </w:t>
      </w:r>
      <w:r w:rsidRPr="007A69F4">
        <w:rPr>
          <w:rFonts w:hint="cs"/>
          <w:rtl/>
        </w:rPr>
        <w:t>ונפרד</w:t>
      </w:r>
      <w:r w:rsidRPr="007A69F4">
        <w:rPr>
          <w:rtl/>
        </w:rPr>
        <w:t xml:space="preserve"> </w:t>
      </w:r>
      <w:r w:rsidRPr="007A69F4">
        <w:rPr>
          <w:rFonts w:hint="cs"/>
          <w:rtl/>
        </w:rPr>
        <w:t>מסוגו</w:t>
      </w:r>
      <w:r w:rsidRPr="007A69F4">
        <w:rPr>
          <w:rtl/>
        </w:rPr>
        <w:t xml:space="preserve"> </w:t>
      </w:r>
      <w:r w:rsidRPr="007A69F4">
        <w:rPr>
          <w:rFonts w:hint="cs"/>
          <w:rtl/>
        </w:rPr>
        <w:t>בז</w:t>
      </w:r>
      <w:r w:rsidR="00023781">
        <w:rPr>
          <w:rFonts w:hint="cs"/>
          <w:rtl/>
        </w:rPr>
        <w:t>ַ</w:t>
      </w:r>
      <w:r w:rsidRPr="007A69F4">
        <w:rPr>
          <w:rFonts w:hint="cs"/>
          <w:rtl/>
        </w:rPr>
        <w:t>כ</w:t>
      </w:r>
      <w:r w:rsidR="00023781">
        <w:rPr>
          <w:rFonts w:hint="cs"/>
          <w:rtl/>
        </w:rPr>
        <w:t>ּ</w:t>
      </w:r>
      <w:r w:rsidRPr="007A69F4">
        <w:rPr>
          <w:rFonts w:hint="cs"/>
          <w:rtl/>
        </w:rPr>
        <w:t>ו</w:t>
      </w:r>
      <w:r w:rsidR="00023781">
        <w:rPr>
          <w:rFonts w:hint="cs"/>
          <w:rtl/>
        </w:rPr>
        <w:t>ּ</w:t>
      </w:r>
      <w:r w:rsidRPr="007A69F4">
        <w:rPr>
          <w:rFonts w:hint="cs"/>
          <w:rtl/>
        </w:rPr>
        <w:t>ת</w:t>
      </w:r>
      <w:r w:rsidRPr="007A69F4">
        <w:rPr>
          <w:rtl/>
        </w:rPr>
        <w:t xml:space="preserve"> </w:t>
      </w:r>
      <w:r w:rsidRPr="007A69F4">
        <w:rPr>
          <w:rFonts w:hint="cs"/>
          <w:rtl/>
        </w:rPr>
        <w:t>הנפש</w:t>
      </w:r>
      <w:r w:rsidRPr="007A69F4">
        <w:rPr>
          <w:rtl/>
        </w:rPr>
        <w:t xml:space="preserve"> </w:t>
      </w:r>
      <w:r w:rsidRPr="007A69F4">
        <w:rPr>
          <w:rFonts w:hint="cs"/>
          <w:rtl/>
        </w:rPr>
        <w:t>והשתוקקה</w:t>
      </w:r>
      <w:r w:rsidRPr="007A69F4">
        <w:rPr>
          <w:rtl/>
        </w:rPr>
        <w:t xml:space="preserve"> </w:t>
      </w:r>
      <w:r w:rsidRPr="007A69F4">
        <w:rPr>
          <w:rFonts w:hint="cs"/>
          <w:rtl/>
        </w:rPr>
        <w:t>אל</w:t>
      </w:r>
      <w:r w:rsidRPr="007A69F4">
        <w:rPr>
          <w:rtl/>
        </w:rPr>
        <w:t xml:space="preserve"> </w:t>
      </w:r>
      <w:r w:rsidRPr="007A69F4">
        <w:rPr>
          <w:rFonts w:hint="cs"/>
          <w:rtl/>
        </w:rPr>
        <w:t>המדרגות</w:t>
      </w:r>
      <w:r w:rsidRPr="007A69F4">
        <w:rPr>
          <w:rtl/>
        </w:rPr>
        <w:t xml:space="preserve"> </w:t>
      </w:r>
      <w:r w:rsidRPr="007A69F4">
        <w:rPr>
          <w:rFonts w:hint="cs"/>
          <w:rtl/>
        </w:rPr>
        <w:t>ההם</w:t>
      </w:r>
      <w:r w:rsidRPr="007A69F4">
        <w:rPr>
          <w:rtl/>
        </w:rPr>
        <w:t xml:space="preserve"> </w:t>
      </w:r>
      <w:proofErr w:type="spellStart"/>
      <w:r w:rsidRPr="007A69F4">
        <w:rPr>
          <w:rFonts w:hint="cs"/>
          <w:rtl/>
        </w:rPr>
        <w:t>והדבקו</w:t>
      </w:r>
      <w:proofErr w:type="spellEnd"/>
      <w:r w:rsidRPr="007A69F4">
        <w:rPr>
          <w:rtl/>
        </w:rPr>
        <w:t xml:space="preserve"> </w:t>
      </w:r>
      <w:proofErr w:type="spellStart"/>
      <w:r w:rsidRPr="007A69F4">
        <w:rPr>
          <w:rFonts w:hint="cs"/>
          <w:rtl/>
        </w:rPr>
        <w:t>בענוה</w:t>
      </w:r>
      <w:proofErr w:type="spellEnd"/>
      <w:r w:rsidRPr="007A69F4">
        <w:rPr>
          <w:rtl/>
        </w:rPr>
        <w:t xml:space="preserve"> </w:t>
      </w:r>
      <w:r w:rsidRPr="007A69F4">
        <w:rPr>
          <w:rFonts w:hint="cs"/>
          <w:rtl/>
        </w:rPr>
        <w:t>ובטהרה</w:t>
      </w:r>
      <w:r w:rsidRPr="007A69F4">
        <w:rPr>
          <w:rtl/>
        </w:rPr>
        <w:t xml:space="preserve">. </w:t>
      </w:r>
      <w:r w:rsidRPr="007A69F4">
        <w:rPr>
          <w:rFonts w:hint="cs"/>
          <w:rtl/>
        </w:rPr>
        <w:t>זאת</w:t>
      </w:r>
      <w:r w:rsidRPr="007A69F4">
        <w:rPr>
          <w:rtl/>
        </w:rPr>
        <w:t xml:space="preserve"> </w:t>
      </w:r>
      <w:r w:rsidRPr="007A69F4">
        <w:rPr>
          <w:rFonts w:hint="cs"/>
          <w:rtl/>
        </w:rPr>
        <w:t>תהיה</w:t>
      </w:r>
      <w:r w:rsidRPr="007A69F4">
        <w:rPr>
          <w:rtl/>
        </w:rPr>
        <w:t xml:space="preserve"> </w:t>
      </w:r>
      <w:r w:rsidRPr="007A69F4">
        <w:rPr>
          <w:rFonts w:hint="cs"/>
          <w:rtl/>
        </w:rPr>
        <w:t>אצלם</w:t>
      </w:r>
      <w:r w:rsidRPr="007A69F4">
        <w:rPr>
          <w:rtl/>
        </w:rPr>
        <w:t xml:space="preserve"> </w:t>
      </w:r>
      <w:r w:rsidRPr="007A69F4">
        <w:rPr>
          <w:rFonts w:hint="cs"/>
          <w:rtl/>
        </w:rPr>
        <w:t>הראיה</w:t>
      </w:r>
      <w:r w:rsidRPr="007A69F4">
        <w:rPr>
          <w:rtl/>
        </w:rPr>
        <w:t xml:space="preserve"> </w:t>
      </w:r>
      <w:r w:rsidRPr="007A69F4">
        <w:rPr>
          <w:rFonts w:hint="cs"/>
          <w:rtl/>
        </w:rPr>
        <w:t>הנראית</w:t>
      </w:r>
      <w:r w:rsidRPr="007A69F4">
        <w:rPr>
          <w:rtl/>
        </w:rPr>
        <w:t xml:space="preserve"> </w:t>
      </w:r>
      <w:r w:rsidRPr="007A69F4">
        <w:rPr>
          <w:rFonts w:hint="cs"/>
          <w:rtl/>
        </w:rPr>
        <w:t>והאות</w:t>
      </w:r>
      <w:r w:rsidRPr="007A69F4">
        <w:rPr>
          <w:rtl/>
        </w:rPr>
        <w:t xml:space="preserve"> </w:t>
      </w:r>
      <w:r w:rsidRPr="007A69F4">
        <w:rPr>
          <w:rFonts w:hint="cs"/>
          <w:rtl/>
        </w:rPr>
        <w:t>הבהיר</w:t>
      </w:r>
      <w:r w:rsidRPr="007A69F4">
        <w:rPr>
          <w:rtl/>
        </w:rPr>
        <w:t xml:space="preserve"> </w:t>
      </w:r>
      <w:r w:rsidRPr="007A69F4">
        <w:rPr>
          <w:rFonts w:hint="cs"/>
          <w:rtl/>
        </w:rPr>
        <w:t>בגמול</w:t>
      </w:r>
      <w:r w:rsidRPr="007A69F4">
        <w:rPr>
          <w:rtl/>
        </w:rPr>
        <w:t xml:space="preserve"> </w:t>
      </w:r>
      <w:r w:rsidRPr="007A69F4">
        <w:rPr>
          <w:rFonts w:hint="cs"/>
          <w:rtl/>
        </w:rPr>
        <w:t>העולם</w:t>
      </w:r>
      <w:r w:rsidRPr="007A69F4">
        <w:rPr>
          <w:rtl/>
        </w:rPr>
        <w:t xml:space="preserve"> </w:t>
      </w:r>
      <w:r w:rsidRPr="007A69F4">
        <w:rPr>
          <w:rFonts w:hint="cs"/>
          <w:rtl/>
        </w:rPr>
        <w:t>הבא</w:t>
      </w:r>
      <w:r>
        <w:rPr>
          <w:rFonts w:hint="cs"/>
          <w:rtl/>
        </w:rPr>
        <w:t xml:space="preserve">... </w:t>
      </w:r>
      <w:r w:rsidRPr="007A69F4">
        <w:rPr>
          <w:rFonts w:hint="cs"/>
          <w:rtl/>
        </w:rPr>
        <w:t>שתשוב</w:t>
      </w:r>
      <w:r w:rsidRPr="007A69F4">
        <w:rPr>
          <w:rtl/>
        </w:rPr>
        <w:t xml:space="preserve"> </w:t>
      </w:r>
      <w:r w:rsidRPr="007A69F4">
        <w:rPr>
          <w:rFonts w:hint="cs"/>
          <w:rtl/>
        </w:rPr>
        <w:t>נפש</w:t>
      </w:r>
      <w:r w:rsidRPr="007A69F4">
        <w:rPr>
          <w:rtl/>
        </w:rPr>
        <w:t xml:space="preserve"> </w:t>
      </w:r>
      <w:r w:rsidRPr="007A69F4">
        <w:rPr>
          <w:rFonts w:hint="cs"/>
          <w:rtl/>
        </w:rPr>
        <w:t>האדם</w:t>
      </w:r>
      <w:r w:rsidRPr="007A69F4">
        <w:rPr>
          <w:rtl/>
        </w:rPr>
        <w:t xml:space="preserve"> </w:t>
      </w:r>
      <w:r w:rsidRPr="007A69F4">
        <w:rPr>
          <w:rFonts w:hint="cs"/>
          <w:rtl/>
        </w:rPr>
        <w:t>א</w:t>
      </w:r>
      <w:r>
        <w:rPr>
          <w:rFonts w:hint="cs"/>
          <w:rtl/>
        </w:rPr>
        <w:t>-</w:t>
      </w:r>
      <w:r w:rsidRPr="007A69F4">
        <w:rPr>
          <w:rFonts w:hint="cs"/>
          <w:rtl/>
        </w:rPr>
        <w:t>להית</w:t>
      </w:r>
      <w:r w:rsidRPr="007A69F4">
        <w:rPr>
          <w:rtl/>
        </w:rPr>
        <w:t xml:space="preserve">, </w:t>
      </w:r>
      <w:proofErr w:type="spellStart"/>
      <w:r w:rsidRPr="007A69F4">
        <w:rPr>
          <w:rFonts w:hint="cs"/>
          <w:rtl/>
        </w:rPr>
        <w:t>תפרד</w:t>
      </w:r>
      <w:proofErr w:type="spellEnd"/>
      <w:r w:rsidRPr="007A69F4">
        <w:rPr>
          <w:rtl/>
        </w:rPr>
        <w:t xml:space="preserve"> </w:t>
      </w:r>
      <w:r w:rsidRPr="007A69F4">
        <w:rPr>
          <w:rFonts w:hint="cs"/>
          <w:rtl/>
        </w:rPr>
        <w:t>מחושיו</w:t>
      </w:r>
      <w:r w:rsidRPr="007A69F4">
        <w:rPr>
          <w:rtl/>
        </w:rPr>
        <w:t xml:space="preserve"> </w:t>
      </w:r>
      <w:r w:rsidRPr="007A69F4">
        <w:rPr>
          <w:rFonts w:hint="cs"/>
          <w:rtl/>
        </w:rPr>
        <w:t>ותראה</w:t>
      </w:r>
      <w:r w:rsidRPr="007A69F4">
        <w:rPr>
          <w:rtl/>
        </w:rPr>
        <w:t xml:space="preserve"> </w:t>
      </w:r>
      <w:r w:rsidRPr="007A69F4">
        <w:rPr>
          <w:rFonts w:hint="cs"/>
          <w:rtl/>
        </w:rPr>
        <w:t>העולם</w:t>
      </w:r>
      <w:r w:rsidRPr="007A69F4">
        <w:rPr>
          <w:rtl/>
        </w:rPr>
        <w:t xml:space="preserve"> </w:t>
      </w:r>
      <w:r w:rsidRPr="007A69F4">
        <w:rPr>
          <w:rFonts w:hint="cs"/>
          <w:rtl/>
        </w:rPr>
        <w:t>ההוא</w:t>
      </w:r>
      <w:r w:rsidRPr="007A69F4">
        <w:rPr>
          <w:rtl/>
        </w:rPr>
        <w:t xml:space="preserve"> </w:t>
      </w:r>
      <w:r w:rsidRPr="007A69F4">
        <w:rPr>
          <w:rFonts w:hint="cs"/>
          <w:rtl/>
        </w:rPr>
        <w:t>העליון</w:t>
      </w:r>
      <w:r w:rsidRPr="007A69F4">
        <w:rPr>
          <w:rtl/>
        </w:rPr>
        <w:t xml:space="preserve"> </w:t>
      </w:r>
      <w:r w:rsidRPr="007A69F4">
        <w:rPr>
          <w:rFonts w:hint="cs"/>
          <w:rtl/>
        </w:rPr>
        <w:t>ותהנה</w:t>
      </w:r>
      <w:r w:rsidRPr="007A69F4">
        <w:rPr>
          <w:rtl/>
        </w:rPr>
        <w:t xml:space="preserve"> </w:t>
      </w:r>
      <w:r w:rsidRPr="007A69F4">
        <w:rPr>
          <w:rFonts w:hint="cs"/>
          <w:rtl/>
        </w:rPr>
        <w:t>בראיית</w:t>
      </w:r>
      <w:r w:rsidRPr="007A69F4">
        <w:rPr>
          <w:rtl/>
        </w:rPr>
        <w:t xml:space="preserve"> </w:t>
      </w:r>
      <w:r w:rsidRPr="007A69F4">
        <w:rPr>
          <w:rFonts w:hint="cs"/>
          <w:rtl/>
        </w:rPr>
        <w:t>האור</w:t>
      </w:r>
      <w:r w:rsidRPr="007A69F4">
        <w:rPr>
          <w:rtl/>
        </w:rPr>
        <w:t xml:space="preserve"> </w:t>
      </w:r>
      <w:r>
        <w:rPr>
          <w:rFonts w:hint="cs"/>
          <w:rtl/>
        </w:rPr>
        <w:t>המלאכ</w:t>
      </w:r>
      <w:r w:rsidRPr="007A69F4">
        <w:rPr>
          <w:rFonts w:hint="cs"/>
          <w:rtl/>
        </w:rPr>
        <w:t>י</w:t>
      </w:r>
      <w:r w:rsidRPr="007A69F4">
        <w:rPr>
          <w:rtl/>
        </w:rPr>
        <w:t xml:space="preserve"> </w:t>
      </w:r>
      <w:r w:rsidRPr="007A69F4">
        <w:rPr>
          <w:rFonts w:hint="cs"/>
          <w:rtl/>
        </w:rPr>
        <w:t>ושמיעת</w:t>
      </w:r>
      <w:r w:rsidRPr="007A69F4">
        <w:rPr>
          <w:rtl/>
        </w:rPr>
        <w:t xml:space="preserve"> </w:t>
      </w:r>
      <w:r w:rsidRPr="007A69F4">
        <w:rPr>
          <w:rFonts w:hint="cs"/>
          <w:rtl/>
        </w:rPr>
        <w:t>הדבור</w:t>
      </w:r>
      <w:r w:rsidRPr="007A69F4">
        <w:rPr>
          <w:rtl/>
        </w:rPr>
        <w:t xml:space="preserve"> </w:t>
      </w:r>
      <w:r w:rsidRPr="007A69F4">
        <w:rPr>
          <w:rFonts w:hint="cs"/>
          <w:rtl/>
        </w:rPr>
        <w:t>הא</w:t>
      </w:r>
      <w:r>
        <w:rPr>
          <w:rFonts w:hint="cs"/>
          <w:rtl/>
        </w:rPr>
        <w:t>-</w:t>
      </w:r>
      <w:r w:rsidRPr="007A69F4">
        <w:rPr>
          <w:rFonts w:hint="cs"/>
          <w:rtl/>
        </w:rPr>
        <w:t>להי</w:t>
      </w:r>
      <w:r w:rsidRPr="007A69F4">
        <w:rPr>
          <w:rtl/>
        </w:rPr>
        <w:t xml:space="preserve">, </w:t>
      </w:r>
      <w:r w:rsidRPr="007A69F4">
        <w:rPr>
          <w:rFonts w:hint="cs"/>
          <w:rtl/>
        </w:rPr>
        <w:t>כי</w:t>
      </w:r>
      <w:r w:rsidRPr="007A69F4">
        <w:rPr>
          <w:rtl/>
        </w:rPr>
        <w:t xml:space="preserve"> </w:t>
      </w:r>
      <w:r w:rsidRPr="007A69F4">
        <w:rPr>
          <w:rFonts w:hint="cs"/>
          <w:rtl/>
        </w:rPr>
        <w:t>הנפש</w:t>
      </w:r>
      <w:r w:rsidRPr="007A69F4">
        <w:rPr>
          <w:rtl/>
        </w:rPr>
        <w:t xml:space="preserve"> </w:t>
      </w:r>
      <w:r w:rsidRPr="007A69F4">
        <w:rPr>
          <w:rFonts w:hint="cs"/>
          <w:rtl/>
        </w:rPr>
        <w:t>ההיא</w:t>
      </w:r>
      <w:r w:rsidRPr="007A69F4">
        <w:rPr>
          <w:rtl/>
        </w:rPr>
        <w:t xml:space="preserve"> </w:t>
      </w:r>
      <w:r w:rsidRPr="007A69F4">
        <w:rPr>
          <w:rFonts w:hint="cs"/>
          <w:rtl/>
        </w:rPr>
        <w:t>תהיה</w:t>
      </w:r>
      <w:r w:rsidRPr="007A69F4">
        <w:rPr>
          <w:rtl/>
        </w:rPr>
        <w:t xml:space="preserve"> </w:t>
      </w:r>
      <w:r w:rsidRPr="007A69F4">
        <w:rPr>
          <w:rFonts w:hint="cs"/>
          <w:rtl/>
        </w:rPr>
        <w:t>בטוחה</w:t>
      </w:r>
      <w:r w:rsidRPr="007A69F4">
        <w:rPr>
          <w:rtl/>
        </w:rPr>
        <w:t xml:space="preserve"> </w:t>
      </w:r>
      <w:r w:rsidRPr="007A69F4">
        <w:rPr>
          <w:rFonts w:hint="cs"/>
          <w:rtl/>
        </w:rPr>
        <w:t>מן</w:t>
      </w:r>
      <w:r w:rsidRPr="007A69F4">
        <w:rPr>
          <w:rtl/>
        </w:rPr>
        <w:t xml:space="preserve"> </w:t>
      </w:r>
      <w:proofErr w:type="spellStart"/>
      <w:r w:rsidRPr="007A69F4">
        <w:rPr>
          <w:rFonts w:hint="cs"/>
          <w:rtl/>
        </w:rPr>
        <w:t>המות</w:t>
      </w:r>
      <w:proofErr w:type="spellEnd"/>
      <w:r w:rsidRPr="007A69F4">
        <w:rPr>
          <w:rtl/>
        </w:rPr>
        <w:t xml:space="preserve"> </w:t>
      </w:r>
      <w:r w:rsidRPr="007A69F4">
        <w:rPr>
          <w:rFonts w:hint="cs"/>
          <w:rtl/>
        </w:rPr>
        <w:t>כשיכלו</w:t>
      </w:r>
      <w:r w:rsidRPr="007A69F4">
        <w:rPr>
          <w:rtl/>
        </w:rPr>
        <w:t xml:space="preserve"> </w:t>
      </w:r>
      <w:r w:rsidRPr="007A69F4">
        <w:rPr>
          <w:rFonts w:hint="cs"/>
          <w:rtl/>
        </w:rPr>
        <w:t>כליה</w:t>
      </w:r>
      <w:r w:rsidRPr="007A69F4">
        <w:rPr>
          <w:rtl/>
        </w:rPr>
        <w:t xml:space="preserve"> </w:t>
      </w:r>
      <w:r w:rsidRPr="007A69F4">
        <w:rPr>
          <w:rFonts w:hint="cs"/>
          <w:rtl/>
        </w:rPr>
        <w:t>הגופ</w:t>
      </w:r>
      <w:r>
        <w:rPr>
          <w:rFonts w:hint="cs"/>
          <w:rtl/>
        </w:rPr>
        <w:t>נ</w:t>
      </w:r>
      <w:r w:rsidRPr="007A69F4">
        <w:rPr>
          <w:rFonts w:hint="cs"/>
          <w:rtl/>
        </w:rPr>
        <w:t>יים</w:t>
      </w:r>
      <w:r w:rsidR="00023781">
        <w:rPr>
          <w:rFonts w:hint="cs"/>
          <w:rtl/>
        </w:rPr>
        <w:t>"</w:t>
      </w:r>
      <w:r w:rsidR="00AA22C4">
        <w:rPr>
          <w:rFonts w:hint="cs"/>
        </w:rPr>
        <w:tab/>
      </w:r>
      <w:r w:rsidRPr="00AA22C4">
        <w:rPr>
          <w:rFonts w:hint="cs"/>
          <w:sz w:val="16"/>
          <w:szCs w:val="17"/>
          <w:rtl/>
        </w:rPr>
        <w:t xml:space="preserve">(מאמר א, אות </w:t>
      </w:r>
      <w:proofErr w:type="spellStart"/>
      <w:r w:rsidRPr="00AA22C4">
        <w:rPr>
          <w:rFonts w:hint="cs"/>
          <w:sz w:val="16"/>
          <w:szCs w:val="17"/>
          <w:rtl/>
        </w:rPr>
        <w:t>קג</w:t>
      </w:r>
      <w:proofErr w:type="spellEnd"/>
      <w:r w:rsidRPr="00AA22C4">
        <w:rPr>
          <w:rFonts w:hint="cs"/>
          <w:sz w:val="16"/>
          <w:szCs w:val="17"/>
          <w:rtl/>
        </w:rPr>
        <w:t>)</w:t>
      </w:r>
      <w:r w:rsidR="00AA22C4">
        <w:rPr>
          <w:rFonts w:hint="cs"/>
          <w:rtl/>
        </w:rPr>
        <w:t>.</w:t>
      </w:r>
    </w:p>
    <w:p w14:paraId="66FE7915" w14:textId="251F0371" w:rsidR="003825CD" w:rsidRDefault="003825CD" w:rsidP="003825CD">
      <w:pPr>
        <w:rPr>
          <w:rtl/>
        </w:rPr>
      </w:pPr>
      <w:r>
        <w:rPr>
          <w:rFonts w:hint="cs"/>
          <w:rtl/>
        </w:rPr>
        <w:t>כלומר, הנבואה בעולם הזה משמשת כראיה על קיומו של העולם שלאחר המוות</w:t>
      </w:r>
      <w:r>
        <w:rPr>
          <w:rStyle w:val="a6"/>
          <w:rtl/>
        </w:rPr>
        <w:footnoteReference w:id="1"/>
      </w:r>
      <w:r>
        <w:rPr>
          <w:rFonts w:hint="cs"/>
          <w:rtl/>
        </w:rPr>
        <w:t xml:space="preserve">, בהיותה דומה לו במאפייניה </w:t>
      </w:r>
      <w:r>
        <w:rPr>
          <w:rtl/>
        </w:rPr>
        <w:t>–</w:t>
      </w:r>
      <w:r>
        <w:rPr>
          <w:rFonts w:hint="cs"/>
          <w:rtl/>
        </w:rPr>
        <w:t xml:space="preserve"> התגברות הרוח על החומר. אלא שעוד קודם שנדון בתגובתו של מלך </w:t>
      </w:r>
      <w:proofErr w:type="spellStart"/>
      <w:r>
        <w:rPr>
          <w:rFonts w:hint="cs"/>
          <w:rtl/>
        </w:rPr>
        <w:t>כוזר</w:t>
      </w:r>
      <w:proofErr w:type="spellEnd"/>
      <w:r>
        <w:rPr>
          <w:rFonts w:hint="cs"/>
          <w:rtl/>
        </w:rPr>
        <w:t xml:space="preserve"> להערה זו של החבר ובמשא ומתן שנתפתח ביניהם, ראוי שניתן דעתנו על הכנסתו הכמעט מלאכותית לסוף המאמר הראשון </w:t>
      </w:r>
      <w:r>
        <w:rPr>
          <w:rtl/>
        </w:rPr>
        <w:t>–</w:t>
      </w:r>
      <w:r>
        <w:rPr>
          <w:rFonts w:hint="cs"/>
          <w:rtl/>
        </w:rPr>
        <w:t xml:space="preserve"> ללא שאלה מקדימה מצד המלך וללא צורך נראה לעין מצד החבר. </w:t>
      </w:r>
    </w:p>
    <w:p w14:paraId="4B7807A6" w14:textId="77777777" w:rsidR="003825CD" w:rsidRDefault="003825CD" w:rsidP="003825CD">
      <w:pPr>
        <w:rPr>
          <w:rtl/>
        </w:rPr>
      </w:pPr>
      <w:r>
        <w:rPr>
          <w:rFonts w:hint="cs"/>
          <w:rtl/>
        </w:rPr>
        <w:t>הרב הנזיר, בביאורו לספר הכוזרי, מציע את ההסבר הבא:</w:t>
      </w:r>
    </w:p>
    <w:p w14:paraId="56CA5028" w14:textId="688FC6B8" w:rsidR="003825CD" w:rsidRDefault="003825CD" w:rsidP="00AA22C4">
      <w:pPr>
        <w:ind w:left="720"/>
        <w:rPr>
          <w:rtl/>
        </w:rPr>
      </w:pPr>
      <w:r>
        <w:rPr>
          <w:rFonts w:hint="cs"/>
          <w:rtl/>
        </w:rPr>
        <w:t xml:space="preserve">"בסוף המאמר, אחרי שבירר יסוד שיטתו ושורשה </w:t>
      </w:r>
      <w:r>
        <w:rPr>
          <w:rtl/>
        </w:rPr>
        <w:t>–</w:t>
      </w:r>
      <w:r>
        <w:rPr>
          <w:rFonts w:hint="cs"/>
          <w:rtl/>
        </w:rPr>
        <w:t xml:space="preserve"> העניין הא-להי, והחיות הא-להית בעולם, בתורה ובישראל </w:t>
      </w:r>
      <w:r>
        <w:rPr>
          <w:rtl/>
        </w:rPr>
        <w:t>–</w:t>
      </w:r>
      <w:r>
        <w:rPr>
          <w:rFonts w:hint="cs"/>
          <w:rtl/>
        </w:rPr>
        <w:t xml:space="preserve"> הוא מג</w:t>
      </w:r>
      <w:r w:rsidR="00AA22C4">
        <w:rPr>
          <w:rFonts w:hint="cs"/>
          <w:rtl/>
        </w:rPr>
        <w:t>יע לסוף כל האדם, לשאלת הייעודים</w:t>
      </w:r>
      <w:r>
        <w:rPr>
          <w:rFonts w:hint="cs"/>
          <w:rtl/>
        </w:rPr>
        <w:t>"</w:t>
      </w:r>
      <w:r w:rsidR="00AA22C4">
        <w:rPr>
          <w:rFonts w:hint="cs"/>
          <w:rtl/>
        </w:rPr>
        <w:t>.</w:t>
      </w:r>
    </w:p>
    <w:p w14:paraId="39B68D05" w14:textId="2F2A12A2" w:rsidR="00B85653" w:rsidRDefault="003825CD" w:rsidP="00546906">
      <w:pPr>
        <w:tabs>
          <w:tab w:val="right" w:pos="546"/>
        </w:tabs>
        <w:rPr>
          <w:rtl/>
        </w:rPr>
      </w:pPr>
      <w:r>
        <w:rPr>
          <w:rFonts w:hint="cs"/>
          <w:rtl/>
        </w:rPr>
        <w:t xml:space="preserve">כלומר, </w:t>
      </w:r>
      <w:r w:rsidR="00546906">
        <w:rPr>
          <w:rFonts w:hint="cs"/>
          <w:rtl/>
        </w:rPr>
        <w:t xml:space="preserve">אחרית </w:t>
      </w:r>
      <w:r>
        <w:rPr>
          <w:rFonts w:hint="cs"/>
          <w:rtl/>
        </w:rPr>
        <w:t>האדם</w:t>
      </w:r>
      <w:r w:rsidR="00546906">
        <w:rPr>
          <w:rFonts w:hint="cs"/>
          <w:rtl/>
        </w:rPr>
        <w:t xml:space="preserve"> נידונה</w:t>
      </w:r>
      <w:r>
        <w:rPr>
          <w:rFonts w:hint="cs"/>
          <w:rtl/>
        </w:rPr>
        <w:t xml:space="preserve"> בסופו של המאמר, וזהו ביאור הבחירה של רבי יהודה הלוי למקם דווקא כאן את הדיון בסוגית העולם הבא. אמנם, אף אם ה</w:t>
      </w:r>
      <w:r w:rsidR="00B85653">
        <w:rPr>
          <w:rFonts w:hint="cs"/>
          <w:rtl/>
        </w:rPr>
        <w:t>י</w:t>
      </w:r>
      <w:r>
        <w:rPr>
          <w:rFonts w:hint="cs"/>
          <w:rtl/>
        </w:rPr>
        <w:t>גיון סידורי יש כאן מצד</w:t>
      </w:r>
      <w:r w:rsidR="00B85653">
        <w:rPr>
          <w:rFonts w:hint="cs"/>
          <w:rtl/>
        </w:rPr>
        <w:t xml:space="preserve"> המחבר, קשה לראות בכך הסבר שלם.</w:t>
      </w:r>
    </w:p>
    <w:p w14:paraId="2A71FB1B" w14:textId="58D93701" w:rsidR="003825CD" w:rsidRDefault="003825CD" w:rsidP="00257E90">
      <w:pPr>
        <w:tabs>
          <w:tab w:val="right" w:pos="546"/>
        </w:tabs>
        <w:rPr>
          <w:rtl/>
        </w:rPr>
      </w:pPr>
      <w:r>
        <w:rPr>
          <w:rFonts w:hint="cs"/>
          <w:rtl/>
        </w:rPr>
        <w:t>הרי, כפי שכבר הראינו בשיעור הראשון, רבי יהודה הלוי בחר להרצות את דבריו לא כמסכת פילוסופית כי אם כמשא ומתן חי בין המלך לבין החבר; ומתוכו של משא ומתן זה, קשה למצוא ה</w:t>
      </w:r>
      <w:r w:rsidR="007D4C86">
        <w:rPr>
          <w:rFonts w:hint="cs"/>
          <w:rtl/>
        </w:rPr>
        <w:t>י</w:t>
      </w:r>
      <w:r>
        <w:rPr>
          <w:rFonts w:hint="cs"/>
          <w:rtl/>
        </w:rPr>
        <w:t xml:space="preserve">גיון פנימי במיקום שבחר לסוגיית העולם הבא. המלך מעולם לא שאל לחבר לגבי דעתו על העולם הבא; </w:t>
      </w:r>
      <w:r>
        <w:rPr>
          <w:rFonts w:hint="cs"/>
          <w:rtl/>
        </w:rPr>
        <w:lastRenderedPageBreak/>
        <w:t xml:space="preserve">כזכור, מגמתו </w:t>
      </w:r>
      <w:r w:rsidR="00023781">
        <w:rPr>
          <w:rFonts w:hint="cs"/>
          <w:rtl/>
        </w:rPr>
        <w:t>הייתה</w:t>
      </w:r>
      <w:r>
        <w:rPr>
          <w:rFonts w:hint="cs"/>
          <w:rtl/>
        </w:rPr>
        <w:t xml:space="preserve"> </w:t>
      </w:r>
      <w:r>
        <w:rPr>
          <w:rtl/>
        </w:rPr>
        <w:t>–</w:t>
      </w:r>
      <w:r>
        <w:rPr>
          <w:rFonts w:hint="cs"/>
          <w:rtl/>
        </w:rPr>
        <w:t xml:space="preserve"> בעקבות החלום שחלם </w:t>
      </w:r>
      <w:r>
        <w:rPr>
          <w:rtl/>
        </w:rPr>
        <w:t>–</w:t>
      </w:r>
      <w:r>
        <w:rPr>
          <w:rFonts w:hint="cs"/>
          <w:rtl/>
        </w:rPr>
        <w:t xml:space="preserve"> להבין מהם המעשים </w:t>
      </w:r>
      <w:proofErr w:type="spellStart"/>
      <w:r>
        <w:rPr>
          <w:rFonts w:hint="cs"/>
          <w:rtl/>
        </w:rPr>
        <w:t>הנרצים</w:t>
      </w:r>
      <w:proofErr w:type="spellEnd"/>
      <w:r>
        <w:rPr>
          <w:rFonts w:hint="cs"/>
          <w:rtl/>
        </w:rPr>
        <w:t xml:space="preserve"> בעולם הזה. </w:t>
      </w:r>
    </w:p>
    <w:p w14:paraId="71BAF5D9" w14:textId="314A79F6" w:rsidR="003825CD" w:rsidRDefault="003825CD" w:rsidP="0024225E">
      <w:pPr>
        <w:rPr>
          <w:rtl/>
        </w:rPr>
      </w:pPr>
      <w:r w:rsidRPr="00AE1920">
        <w:rPr>
          <w:rFonts w:hint="cs"/>
          <w:rtl/>
        </w:rPr>
        <w:t xml:space="preserve">מסתבר כי החבר הוא שבחר להעלות כאן את נושא העולם הבא. </w:t>
      </w:r>
      <w:r>
        <w:rPr>
          <w:rFonts w:hint="cs"/>
          <w:rtl/>
        </w:rPr>
        <w:t>מגמת החבר במאמר הראשון, כפי שהראינו לא</w:t>
      </w:r>
      <w:r w:rsidR="007D4C86">
        <w:rPr>
          <w:rFonts w:hint="cs"/>
          <w:rtl/>
        </w:rPr>
        <w:t>ורך השיעורים עד כה, היא לבסס בל</w:t>
      </w:r>
      <w:r>
        <w:rPr>
          <w:rFonts w:hint="cs"/>
          <w:rtl/>
        </w:rPr>
        <w:t xml:space="preserve">בו של הכוזרי (ושל הקורא) את ההבנה שהתורה והמצוות תלויים בהתגלות ולא בהבנה פילוסופית; וממילא הם שייכים דווקא לעם </w:t>
      </w:r>
      <w:r w:rsidR="0024225E">
        <w:rPr>
          <w:rFonts w:hint="cs"/>
          <w:rtl/>
        </w:rPr>
        <w:t>שחווה</w:t>
      </w:r>
      <w:r>
        <w:rPr>
          <w:rFonts w:hint="cs"/>
          <w:rtl/>
        </w:rPr>
        <w:t xml:space="preserve"> התגלות</w:t>
      </w:r>
      <w:r w:rsidR="0024225E">
        <w:rPr>
          <w:rFonts w:hint="cs"/>
          <w:rtl/>
        </w:rPr>
        <w:t>,</w:t>
      </w:r>
      <w:r>
        <w:rPr>
          <w:rFonts w:hint="cs"/>
          <w:rtl/>
        </w:rPr>
        <w:t xml:space="preserve"> ואינם אוניברסליים. הוא שב ומדגיש פעם אחר פעם כי עם ישראל שונה משאר האומות. דומה, כי העלאת עניין העולם הבא נועדה להיות השלב האחרו</w:t>
      </w:r>
      <w:r w:rsidR="0024225E">
        <w:rPr>
          <w:rFonts w:hint="cs"/>
          <w:rtl/>
        </w:rPr>
        <w:t>ן בהפרדה שבין ישראל לאומות. לאמו</w:t>
      </w:r>
      <w:r>
        <w:rPr>
          <w:rFonts w:hint="cs"/>
          <w:rtl/>
        </w:rPr>
        <w:t>ר: לא רק בעולם הזה התגלות הקב"ה לעם ישרא</w:t>
      </w:r>
      <w:r w:rsidR="0024225E">
        <w:rPr>
          <w:rFonts w:hint="cs"/>
          <w:rtl/>
        </w:rPr>
        <w:t xml:space="preserve">ל מבדילה אותם משאר האומות, אלא </w:t>
      </w:r>
      <w:r>
        <w:rPr>
          <w:rFonts w:hint="cs"/>
          <w:rtl/>
        </w:rPr>
        <w:t>אף בעולם הבא מדרגתם מובחנת ומובדלת לעצמה. וכפי שיאמר החבר באופן מפורש בהמשך הדיון:</w:t>
      </w:r>
    </w:p>
    <w:p w14:paraId="2C768B22" w14:textId="6EC75F7A" w:rsidR="003825CD" w:rsidRDefault="003825CD" w:rsidP="00AA22C4">
      <w:pPr>
        <w:ind w:left="720"/>
        <w:rPr>
          <w:rtl/>
        </w:rPr>
      </w:pPr>
      <w:r>
        <w:rPr>
          <w:rFonts w:hint="cs"/>
          <w:rtl/>
        </w:rPr>
        <w:t>"</w:t>
      </w:r>
      <w:r w:rsidRPr="00DB0DEC">
        <w:rPr>
          <w:rFonts w:hint="cs"/>
          <w:rtl/>
        </w:rPr>
        <w:t>אין</w:t>
      </w:r>
      <w:r w:rsidRPr="00DB0DEC">
        <w:rPr>
          <w:rtl/>
        </w:rPr>
        <w:t xml:space="preserve"> </w:t>
      </w:r>
      <w:r w:rsidRPr="00DB0DEC">
        <w:rPr>
          <w:rFonts w:hint="cs"/>
          <w:rtl/>
        </w:rPr>
        <w:t>אנחנו</w:t>
      </w:r>
      <w:r w:rsidRPr="00DB0DEC">
        <w:rPr>
          <w:rtl/>
        </w:rPr>
        <w:t xml:space="preserve"> </w:t>
      </w:r>
      <w:r w:rsidRPr="00DB0DEC">
        <w:rPr>
          <w:rFonts w:hint="cs"/>
          <w:rtl/>
        </w:rPr>
        <w:t>שוללים</w:t>
      </w:r>
      <w:r w:rsidRPr="00DB0DEC">
        <w:rPr>
          <w:rtl/>
        </w:rPr>
        <w:t xml:space="preserve"> </w:t>
      </w:r>
      <w:r w:rsidRPr="00DB0DEC">
        <w:rPr>
          <w:rFonts w:hint="cs"/>
          <w:rtl/>
        </w:rPr>
        <w:t>משום</w:t>
      </w:r>
      <w:r w:rsidRPr="00DB0DEC">
        <w:rPr>
          <w:rtl/>
        </w:rPr>
        <w:t xml:space="preserve"> </w:t>
      </w:r>
      <w:r w:rsidRPr="00DB0DEC">
        <w:rPr>
          <w:rFonts w:hint="cs"/>
          <w:rtl/>
        </w:rPr>
        <w:t>אדם</w:t>
      </w:r>
      <w:r w:rsidRPr="00DB0DEC">
        <w:rPr>
          <w:rtl/>
        </w:rPr>
        <w:t xml:space="preserve"> </w:t>
      </w:r>
      <w:r w:rsidRPr="00DB0DEC">
        <w:rPr>
          <w:rFonts w:hint="cs"/>
          <w:rtl/>
        </w:rPr>
        <w:t>גמול</w:t>
      </w:r>
      <w:r w:rsidRPr="00DB0DEC">
        <w:rPr>
          <w:rtl/>
        </w:rPr>
        <w:t xml:space="preserve"> </w:t>
      </w:r>
      <w:r w:rsidRPr="00DB0DEC">
        <w:rPr>
          <w:rFonts w:hint="cs"/>
          <w:rtl/>
        </w:rPr>
        <w:t>מעשיו</w:t>
      </w:r>
      <w:r w:rsidRPr="00DB0DEC">
        <w:rPr>
          <w:rtl/>
        </w:rPr>
        <w:t xml:space="preserve"> </w:t>
      </w:r>
      <w:r w:rsidRPr="00DB0DEC">
        <w:rPr>
          <w:rFonts w:hint="cs"/>
          <w:rtl/>
        </w:rPr>
        <w:t>הטובים</w:t>
      </w:r>
      <w:r w:rsidRPr="00DB0DEC">
        <w:rPr>
          <w:rtl/>
        </w:rPr>
        <w:t xml:space="preserve"> </w:t>
      </w:r>
      <w:r w:rsidRPr="00DB0DEC">
        <w:rPr>
          <w:rFonts w:hint="cs"/>
          <w:rtl/>
        </w:rPr>
        <w:t>מאיזו</w:t>
      </w:r>
      <w:r w:rsidRPr="00DB0DEC">
        <w:rPr>
          <w:rtl/>
        </w:rPr>
        <w:t xml:space="preserve"> </w:t>
      </w:r>
      <w:r w:rsidRPr="00DB0DEC">
        <w:rPr>
          <w:rFonts w:hint="cs"/>
          <w:rtl/>
        </w:rPr>
        <w:t>אומה</w:t>
      </w:r>
      <w:r w:rsidRPr="00DB0DEC">
        <w:rPr>
          <w:rtl/>
        </w:rPr>
        <w:t xml:space="preserve"> </w:t>
      </w:r>
      <w:r w:rsidRPr="00DB0DEC">
        <w:rPr>
          <w:rFonts w:hint="cs"/>
          <w:rtl/>
        </w:rPr>
        <w:t>שיהיה</w:t>
      </w:r>
      <w:r w:rsidRPr="00DB0DEC">
        <w:rPr>
          <w:rtl/>
        </w:rPr>
        <w:t xml:space="preserve">, </w:t>
      </w:r>
      <w:r w:rsidRPr="00DB0DEC">
        <w:rPr>
          <w:rFonts w:hint="cs"/>
          <w:rtl/>
        </w:rPr>
        <w:t>אבל</w:t>
      </w:r>
      <w:r w:rsidRPr="00DB0DEC">
        <w:rPr>
          <w:rtl/>
        </w:rPr>
        <w:t xml:space="preserve"> </w:t>
      </w:r>
      <w:r w:rsidRPr="00DB0DEC">
        <w:rPr>
          <w:rFonts w:hint="cs"/>
          <w:rtl/>
        </w:rPr>
        <w:t>אנחנו</w:t>
      </w:r>
      <w:r w:rsidRPr="00DB0DEC">
        <w:rPr>
          <w:rtl/>
        </w:rPr>
        <w:t xml:space="preserve"> </w:t>
      </w:r>
      <w:r w:rsidRPr="00DB0DEC">
        <w:rPr>
          <w:rFonts w:hint="cs"/>
          <w:rtl/>
        </w:rPr>
        <w:t>רואים</w:t>
      </w:r>
      <w:r w:rsidRPr="00DB0DEC">
        <w:rPr>
          <w:rtl/>
        </w:rPr>
        <w:t xml:space="preserve"> </w:t>
      </w:r>
      <w:r w:rsidRPr="00DB0DEC">
        <w:rPr>
          <w:rFonts w:hint="cs"/>
          <w:rtl/>
        </w:rPr>
        <w:t>הטובה</w:t>
      </w:r>
      <w:r w:rsidRPr="00DB0DEC">
        <w:rPr>
          <w:rtl/>
        </w:rPr>
        <w:t xml:space="preserve"> </w:t>
      </w:r>
      <w:r w:rsidRPr="00DB0DEC">
        <w:rPr>
          <w:rFonts w:hint="cs"/>
          <w:rtl/>
        </w:rPr>
        <w:t>הגמורה</w:t>
      </w:r>
      <w:r w:rsidRPr="00DB0DEC">
        <w:rPr>
          <w:rtl/>
        </w:rPr>
        <w:t xml:space="preserve"> </w:t>
      </w:r>
      <w:r w:rsidRPr="00DB0DEC">
        <w:rPr>
          <w:rFonts w:hint="cs"/>
          <w:rtl/>
        </w:rPr>
        <w:t>לעם</w:t>
      </w:r>
      <w:r w:rsidRPr="00DB0DEC">
        <w:rPr>
          <w:rtl/>
        </w:rPr>
        <w:t xml:space="preserve"> </w:t>
      </w:r>
      <w:r w:rsidRPr="00DB0DEC">
        <w:rPr>
          <w:rFonts w:hint="cs"/>
          <w:rtl/>
        </w:rPr>
        <w:t>הקרובים</w:t>
      </w:r>
      <w:r w:rsidRPr="00DB0DEC">
        <w:rPr>
          <w:rtl/>
        </w:rPr>
        <w:t xml:space="preserve"> </w:t>
      </w:r>
      <w:r w:rsidRPr="00DB0DEC">
        <w:rPr>
          <w:rFonts w:hint="cs"/>
          <w:rtl/>
        </w:rPr>
        <w:t>בחייהם</w:t>
      </w:r>
      <w:r w:rsidRPr="00DB0DEC">
        <w:rPr>
          <w:rtl/>
        </w:rPr>
        <w:t xml:space="preserve">, </w:t>
      </w:r>
      <w:r w:rsidRPr="00DB0DEC">
        <w:rPr>
          <w:rFonts w:hint="cs"/>
          <w:rtl/>
        </w:rPr>
        <w:t>ואנו</w:t>
      </w:r>
      <w:r w:rsidRPr="00DB0DEC">
        <w:rPr>
          <w:rtl/>
        </w:rPr>
        <w:t xml:space="preserve"> </w:t>
      </w:r>
      <w:r w:rsidRPr="00DB0DEC">
        <w:rPr>
          <w:rFonts w:hint="cs"/>
          <w:rtl/>
        </w:rPr>
        <w:t>עורכים</w:t>
      </w:r>
      <w:r w:rsidRPr="00DB0DEC">
        <w:rPr>
          <w:rtl/>
        </w:rPr>
        <w:t xml:space="preserve"> </w:t>
      </w:r>
      <w:r w:rsidRPr="00DB0DEC">
        <w:rPr>
          <w:rFonts w:hint="cs"/>
          <w:rtl/>
        </w:rPr>
        <w:t>מעלותם</w:t>
      </w:r>
      <w:r w:rsidRPr="00DB0DEC">
        <w:rPr>
          <w:rtl/>
        </w:rPr>
        <w:t xml:space="preserve"> </w:t>
      </w:r>
      <w:r w:rsidRPr="00DB0DEC">
        <w:rPr>
          <w:rFonts w:hint="cs"/>
          <w:rtl/>
        </w:rPr>
        <w:t>אצל</w:t>
      </w:r>
      <w:r w:rsidRPr="00DB0DEC">
        <w:rPr>
          <w:rtl/>
        </w:rPr>
        <w:t xml:space="preserve"> </w:t>
      </w:r>
      <w:r w:rsidRPr="00DB0DEC">
        <w:rPr>
          <w:rFonts w:hint="cs"/>
          <w:rtl/>
        </w:rPr>
        <w:t>הא</w:t>
      </w:r>
      <w:r>
        <w:rPr>
          <w:rFonts w:hint="cs"/>
          <w:rtl/>
        </w:rPr>
        <w:t>-</w:t>
      </w:r>
      <w:r w:rsidRPr="00DB0DEC">
        <w:rPr>
          <w:rFonts w:hint="cs"/>
          <w:rtl/>
        </w:rPr>
        <w:t>להים</w:t>
      </w:r>
      <w:r w:rsidRPr="00DB0DEC">
        <w:rPr>
          <w:rtl/>
        </w:rPr>
        <w:t xml:space="preserve"> </w:t>
      </w:r>
      <w:r w:rsidRPr="00DB0DEC">
        <w:rPr>
          <w:rFonts w:hint="cs"/>
          <w:rtl/>
        </w:rPr>
        <w:t>אחרי</w:t>
      </w:r>
      <w:r w:rsidRPr="00DB0DEC">
        <w:rPr>
          <w:rtl/>
        </w:rPr>
        <w:t xml:space="preserve"> </w:t>
      </w:r>
      <w:r w:rsidRPr="00DB0DEC">
        <w:rPr>
          <w:rFonts w:hint="cs"/>
          <w:rtl/>
        </w:rPr>
        <w:t>מותם</w:t>
      </w:r>
      <w:r w:rsidRPr="00DB0DEC">
        <w:rPr>
          <w:rtl/>
        </w:rPr>
        <w:t xml:space="preserve"> </w:t>
      </w:r>
      <w:r w:rsidRPr="00DB0DEC">
        <w:rPr>
          <w:rFonts w:hint="cs"/>
          <w:rtl/>
        </w:rPr>
        <w:t>בערך</w:t>
      </w:r>
      <w:r w:rsidRPr="00DB0DEC">
        <w:rPr>
          <w:rtl/>
        </w:rPr>
        <w:t xml:space="preserve"> </w:t>
      </w:r>
      <w:r w:rsidRPr="00DB0DEC">
        <w:rPr>
          <w:rFonts w:hint="cs"/>
          <w:rtl/>
        </w:rPr>
        <w:t>ההוא</w:t>
      </w:r>
      <w:r>
        <w:rPr>
          <w:rFonts w:hint="cs"/>
          <w:rtl/>
        </w:rPr>
        <w:t>"</w:t>
      </w:r>
      <w:r w:rsidR="00AA22C4">
        <w:rPr>
          <w:rFonts w:hint="cs"/>
          <w:rtl/>
        </w:rPr>
        <w:t>.</w:t>
      </w:r>
    </w:p>
    <w:p w14:paraId="5AC45039" w14:textId="1135A6BD" w:rsidR="003825CD" w:rsidRDefault="003825CD" w:rsidP="00AE1920">
      <w:pPr>
        <w:rPr>
          <w:rtl/>
        </w:rPr>
      </w:pPr>
      <w:r>
        <w:rPr>
          <w:rFonts w:hint="cs"/>
          <w:rtl/>
        </w:rPr>
        <w:t xml:space="preserve">לסיכום: הקישור </w:t>
      </w:r>
      <w:r w:rsidR="0024225E">
        <w:rPr>
          <w:rFonts w:hint="cs"/>
          <w:rtl/>
        </w:rPr>
        <w:t>ש</w:t>
      </w:r>
      <w:r>
        <w:rPr>
          <w:rFonts w:hint="cs"/>
          <w:rtl/>
        </w:rPr>
        <w:t xml:space="preserve">אותו יוצר החבר בין הנבואה לבין העולם הבא, קישור הנראה בתחילתו כבא למטרות ראיה והוכחה בלבד </w:t>
      </w:r>
      <w:r w:rsidRPr="00AE1920">
        <w:rPr>
          <w:rFonts w:hint="cs"/>
          <w:rtl/>
        </w:rPr>
        <w:t>("זאת</w:t>
      </w:r>
      <w:r w:rsidRPr="00AE1920">
        <w:rPr>
          <w:rtl/>
        </w:rPr>
        <w:t xml:space="preserve"> </w:t>
      </w:r>
      <w:r w:rsidRPr="00AE1920">
        <w:rPr>
          <w:rFonts w:hint="cs"/>
          <w:rtl/>
        </w:rPr>
        <w:t>תהיה</w:t>
      </w:r>
      <w:r w:rsidRPr="00AE1920">
        <w:rPr>
          <w:rtl/>
        </w:rPr>
        <w:t xml:space="preserve"> </w:t>
      </w:r>
      <w:r w:rsidRPr="00AE1920">
        <w:rPr>
          <w:rFonts w:hint="cs"/>
          <w:rtl/>
        </w:rPr>
        <w:t>אצלם</w:t>
      </w:r>
      <w:r w:rsidRPr="00AE1920">
        <w:rPr>
          <w:rtl/>
        </w:rPr>
        <w:t xml:space="preserve"> </w:t>
      </w:r>
      <w:r w:rsidRPr="00AE1920">
        <w:rPr>
          <w:rFonts w:hint="cs"/>
          <w:rtl/>
        </w:rPr>
        <w:t>הראיה</w:t>
      </w:r>
      <w:r w:rsidRPr="00AE1920">
        <w:rPr>
          <w:rtl/>
        </w:rPr>
        <w:t xml:space="preserve"> </w:t>
      </w:r>
      <w:r w:rsidRPr="00AE1920">
        <w:rPr>
          <w:rFonts w:hint="cs"/>
          <w:rtl/>
        </w:rPr>
        <w:t>הנראית</w:t>
      </w:r>
      <w:r w:rsidRPr="00AE1920">
        <w:rPr>
          <w:rtl/>
        </w:rPr>
        <w:t xml:space="preserve"> </w:t>
      </w:r>
      <w:r w:rsidRPr="00AE1920">
        <w:rPr>
          <w:rFonts w:hint="cs"/>
          <w:rtl/>
        </w:rPr>
        <w:t>והאות</w:t>
      </w:r>
      <w:r w:rsidRPr="00AE1920">
        <w:rPr>
          <w:rtl/>
        </w:rPr>
        <w:t xml:space="preserve"> </w:t>
      </w:r>
      <w:r w:rsidRPr="00AE1920">
        <w:rPr>
          <w:rFonts w:hint="cs"/>
          <w:rtl/>
        </w:rPr>
        <w:t>הבהיר</w:t>
      </w:r>
      <w:r w:rsidRPr="00AE1920">
        <w:rPr>
          <w:rtl/>
        </w:rPr>
        <w:t xml:space="preserve"> </w:t>
      </w:r>
      <w:r w:rsidRPr="00AE1920">
        <w:rPr>
          <w:rFonts w:hint="cs"/>
          <w:rtl/>
        </w:rPr>
        <w:t>בגמול</w:t>
      </w:r>
      <w:r w:rsidRPr="00AE1920">
        <w:rPr>
          <w:rtl/>
        </w:rPr>
        <w:t xml:space="preserve"> </w:t>
      </w:r>
      <w:r w:rsidRPr="00AE1920">
        <w:rPr>
          <w:rFonts w:hint="cs"/>
          <w:rtl/>
        </w:rPr>
        <w:t>העולם</w:t>
      </w:r>
      <w:r w:rsidRPr="00AE1920">
        <w:rPr>
          <w:rtl/>
        </w:rPr>
        <w:t xml:space="preserve"> </w:t>
      </w:r>
      <w:r w:rsidRPr="00AE1920">
        <w:rPr>
          <w:rFonts w:hint="cs"/>
          <w:rtl/>
        </w:rPr>
        <w:t>הבא")</w:t>
      </w:r>
      <w:r>
        <w:rPr>
          <w:rFonts w:hint="cs"/>
          <w:rtl/>
        </w:rPr>
        <w:t xml:space="preserve"> מתגלה כקישור סיבתי </w:t>
      </w:r>
      <w:r>
        <w:rPr>
          <w:rtl/>
        </w:rPr>
        <w:t>–</w:t>
      </w:r>
      <w:r>
        <w:rPr>
          <w:rFonts w:hint="cs"/>
          <w:rtl/>
        </w:rPr>
        <w:t xml:space="preserve"> ככל שמדרגת האדם בנבואה גדולה יותר בעולם הזה, כך גבוהה מדרגתו לעולם הבא.</w:t>
      </w:r>
    </w:p>
    <w:p w14:paraId="38466F60" w14:textId="77777777" w:rsidR="003825CD" w:rsidRDefault="003825CD" w:rsidP="003825CD">
      <w:pPr>
        <w:rPr>
          <w:rtl/>
        </w:rPr>
      </w:pPr>
    </w:p>
    <w:p w14:paraId="012B9975" w14:textId="77777777" w:rsidR="003825CD" w:rsidRPr="001B699E" w:rsidRDefault="003825CD" w:rsidP="001B699E">
      <w:pPr>
        <w:jc w:val="center"/>
        <w:rPr>
          <w:rFonts w:cs="Arial"/>
          <w:b/>
          <w:bCs/>
          <w:smallCaps/>
          <w:sz w:val="21"/>
        </w:rPr>
      </w:pPr>
      <w:r w:rsidRPr="001B699E">
        <w:rPr>
          <w:rFonts w:cs="Arial" w:hint="cs"/>
          <w:b/>
          <w:bCs/>
          <w:smallCaps/>
          <w:sz w:val="21"/>
          <w:rtl/>
        </w:rPr>
        <w:t>היחס בין הטענה לראיותיה</w:t>
      </w:r>
    </w:p>
    <w:p w14:paraId="00AAE058" w14:textId="090975E1" w:rsidR="003825CD" w:rsidRDefault="003825CD" w:rsidP="0024225E">
      <w:pPr>
        <w:rPr>
          <w:rtl/>
        </w:rPr>
      </w:pPr>
      <w:r>
        <w:rPr>
          <w:rFonts w:hint="cs"/>
          <w:rtl/>
        </w:rPr>
        <w:t xml:space="preserve">אלא </w:t>
      </w:r>
      <w:r w:rsidR="0024225E">
        <w:rPr>
          <w:rFonts w:hint="cs"/>
          <w:rtl/>
        </w:rPr>
        <w:t xml:space="preserve">שהטענה </w:t>
      </w:r>
      <w:r>
        <w:rPr>
          <w:rFonts w:hint="cs"/>
          <w:rtl/>
        </w:rPr>
        <w:t xml:space="preserve">כי החבר מעלה את עניין עולם הבא בעיקר על מנת להרחיב את דבריו במעלת ישראל ולטעון ליתרונה </w:t>
      </w:r>
      <w:r w:rsidR="0024225E">
        <w:rPr>
          <w:rFonts w:hint="cs"/>
          <w:rtl/>
        </w:rPr>
        <w:t>אף לאחר המיתה, מביא למבוכה מסוי</w:t>
      </w:r>
      <w:r>
        <w:rPr>
          <w:rFonts w:hint="cs"/>
          <w:rtl/>
        </w:rPr>
        <w:t>מת. מבוכה זו נגרמת בשל העובדה שהחבר אינו טוען טענה זו מיד במלוא כ</w:t>
      </w:r>
      <w:r w:rsidR="0024225E">
        <w:rPr>
          <w:rFonts w:hint="cs"/>
          <w:rtl/>
        </w:rPr>
        <w:t>ו</w:t>
      </w:r>
      <w:r>
        <w:rPr>
          <w:rFonts w:hint="cs"/>
          <w:rtl/>
        </w:rPr>
        <w:t xml:space="preserve">חה, אלא בוחר </w:t>
      </w:r>
      <w:r>
        <w:rPr>
          <w:rtl/>
        </w:rPr>
        <w:t>–</w:t>
      </w:r>
      <w:r>
        <w:rPr>
          <w:rFonts w:hint="cs"/>
          <w:rtl/>
        </w:rPr>
        <w:t xml:space="preserve"> כפי שראינו לעיל </w:t>
      </w:r>
      <w:r>
        <w:rPr>
          <w:rtl/>
        </w:rPr>
        <w:t>–</w:t>
      </w:r>
      <w:r>
        <w:rPr>
          <w:rFonts w:hint="cs"/>
          <w:rtl/>
        </w:rPr>
        <w:t xml:space="preserve"> להתחיל בהצגת גרסה מרוככת בהרבה; במקום להכריז על 'טובתם הגמורה' של ישראל לאחר המיתה, הוא מציין רק שהראיות האחוזות בידינו לגבי העולם הבא חזקות בהרבה מאלו </w:t>
      </w:r>
      <w:proofErr w:type="spellStart"/>
      <w:r>
        <w:rPr>
          <w:rFonts w:hint="cs"/>
          <w:rtl/>
        </w:rPr>
        <w:t>הנקוטות</w:t>
      </w:r>
      <w:proofErr w:type="spellEnd"/>
      <w:r>
        <w:rPr>
          <w:rFonts w:hint="cs"/>
          <w:rtl/>
        </w:rPr>
        <w:t xml:space="preserve"> בידי אלו שלא </w:t>
      </w:r>
      <w:r w:rsidR="0024225E">
        <w:rPr>
          <w:rFonts w:hint="cs"/>
          <w:rtl/>
        </w:rPr>
        <w:t>זכו לנבואה. מדוע לא טען החבר מי</w:t>
      </w:r>
      <w:r>
        <w:rPr>
          <w:rFonts w:hint="cs"/>
          <w:rtl/>
        </w:rPr>
        <w:t>ד לעליונות ישראל בעולם הבא, ובחר במקום זאת להתמקד בעליונות הידיעה שלנו לגבי העולם הבא</w:t>
      </w:r>
      <w:r>
        <w:rPr>
          <w:rStyle w:val="a6"/>
          <w:rtl/>
        </w:rPr>
        <w:footnoteReference w:id="2"/>
      </w:r>
      <w:r>
        <w:rPr>
          <w:rFonts w:hint="cs"/>
          <w:rtl/>
        </w:rPr>
        <w:t>?</w:t>
      </w:r>
    </w:p>
    <w:p w14:paraId="366D4459" w14:textId="58663FBC" w:rsidR="003825CD" w:rsidRDefault="003825CD" w:rsidP="003825CD">
      <w:pPr>
        <w:rPr>
          <w:rtl/>
        </w:rPr>
      </w:pPr>
      <w:r>
        <w:rPr>
          <w:rFonts w:hint="cs"/>
          <w:rtl/>
        </w:rPr>
        <w:lastRenderedPageBreak/>
        <w:t xml:space="preserve">התשובה לשאלה זו קשורה לנקודת יסוד בספר הכוזרי ולאופן </w:t>
      </w:r>
      <w:r w:rsidR="008C7CBF">
        <w:rPr>
          <w:rFonts w:hint="cs"/>
          <w:rtl/>
        </w:rPr>
        <w:t>ש</w:t>
      </w:r>
      <w:r>
        <w:rPr>
          <w:rFonts w:hint="cs"/>
          <w:rtl/>
        </w:rPr>
        <w:t xml:space="preserve">בו מבסס רבי יהודה הלוי את האמונה; על אף שהוא כופר במובהק באפשרותה של התבונה ה'טהורה' </w:t>
      </w:r>
      <w:r>
        <w:rPr>
          <w:rtl/>
        </w:rPr>
        <w:t>–</w:t>
      </w:r>
      <w:r>
        <w:rPr>
          <w:rFonts w:hint="cs"/>
          <w:rtl/>
        </w:rPr>
        <w:t xml:space="preserve"> הוי אומר הפילוסופיה </w:t>
      </w:r>
      <w:r>
        <w:rPr>
          <w:rtl/>
        </w:rPr>
        <w:t>–</w:t>
      </w:r>
      <w:r>
        <w:rPr>
          <w:rFonts w:hint="cs"/>
          <w:rtl/>
        </w:rPr>
        <w:t xml:space="preserve"> לקרב את האדם אל הא-להים, הרי שהוא מאמין גדול בכ</w:t>
      </w:r>
      <w:r w:rsidR="008C7CBF">
        <w:rPr>
          <w:rFonts w:hint="cs"/>
          <w:rtl/>
        </w:rPr>
        <w:t>ו</w:t>
      </w:r>
      <w:r>
        <w:rPr>
          <w:rFonts w:hint="cs"/>
          <w:rtl/>
        </w:rPr>
        <w:t xml:space="preserve">חה של התבונה ה'מעשית' </w:t>
      </w:r>
      <w:r>
        <w:rPr>
          <w:rtl/>
        </w:rPr>
        <w:t>–</w:t>
      </w:r>
      <w:r>
        <w:rPr>
          <w:rFonts w:hint="cs"/>
          <w:rtl/>
        </w:rPr>
        <w:t xml:space="preserve"> הוי אומר התבונה הבאה מן הניסיון. הניסיון</w:t>
      </w:r>
      <w:r w:rsidR="008C7CBF">
        <w:rPr>
          <w:rFonts w:hint="cs"/>
          <w:rtl/>
        </w:rPr>
        <w:t xml:space="preserve"> האנושי, הכולל אף את הנצרות והא</w:t>
      </w:r>
      <w:r>
        <w:rPr>
          <w:rFonts w:hint="cs"/>
          <w:rtl/>
        </w:rPr>
        <w:t>סלאם, הוא שמורה לנו כי ההתגלות לעם היהודי היא התגלות אמת וממילא על ייחודו של עם זה; הנ</w:t>
      </w:r>
      <w:r w:rsidR="008C7CBF">
        <w:rPr>
          <w:rFonts w:hint="cs"/>
          <w:rtl/>
        </w:rPr>
        <w:t>י</w:t>
      </w:r>
      <w:r>
        <w:rPr>
          <w:rFonts w:hint="cs"/>
          <w:rtl/>
        </w:rPr>
        <w:t>סיון הישראלי הוא שמוכיח כי קי</w:t>
      </w:r>
      <w:r w:rsidR="008C7CBF">
        <w:rPr>
          <w:rFonts w:hint="cs"/>
          <w:rtl/>
        </w:rPr>
        <w:t>ום התורה והמצוות מביא לקרבה האמתית לה'</w:t>
      </w:r>
      <w:r>
        <w:rPr>
          <w:rFonts w:hint="cs"/>
          <w:rtl/>
        </w:rPr>
        <w:t xml:space="preserve"> בדמות הנבואה; ואף על העולם הבא עלינו ללמוד מן הנ</w:t>
      </w:r>
      <w:r w:rsidR="008C7CBF">
        <w:rPr>
          <w:rFonts w:hint="cs"/>
          <w:rtl/>
        </w:rPr>
        <w:t>י</w:t>
      </w:r>
      <w:r>
        <w:rPr>
          <w:rFonts w:hint="cs"/>
          <w:rtl/>
        </w:rPr>
        <w:t xml:space="preserve">סיון האנושי </w:t>
      </w:r>
      <w:r>
        <w:rPr>
          <w:rtl/>
        </w:rPr>
        <w:t>–</w:t>
      </w:r>
      <w:r>
        <w:rPr>
          <w:rFonts w:hint="cs"/>
          <w:rtl/>
        </w:rPr>
        <w:t xml:space="preserve"> כלומר מן המפגש עם הנביאים, החיים בעולם הזה מעין חיי העולם הבא.</w:t>
      </w:r>
    </w:p>
    <w:p w14:paraId="18E3C809" w14:textId="78AFD277" w:rsidR="003825CD" w:rsidRDefault="003825CD" w:rsidP="003825CD">
      <w:pPr>
        <w:rPr>
          <w:rtl/>
        </w:rPr>
      </w:pPr>
      <w:r>
        <w:rPr>
          <w:rFonts w:hint="cs"/>
          <w:rtl/>
        </w:rPr>
        <w:t xml:space="preserve">לעניות דעתי, נקודת יסוד זו היא שמחייבת את רבי יהודה הלוי לצניעות ומתינות בבואו להרצות את דעתו לגבי העולם הבא </w:t>
      </w:r>
      <w:r>
        <w:rPr>
          <w:rtl/>
        </w:rPr>
        <w:t>–</w:t>
      </w:r>
      <w:r>
        <w:rPr>
          <w:rFonts w:hint="cs"/>
          <w:rtl/>
        </w:rPr>
        <w:t xml:space="preserve"> הוא מודע היטב לכך שיכולתנו להשתמש בנ</w:t>
      </w:r>
      <w:r w:rsidR="008C7CBF">
        <w:rPr>
          <w:rFonts w:hint="cs"/>
          <w:rtl/>
        </w:rPr>
        <w:t>י</w:t>
      </w:r>
      <w:r>
        <w:rPr>
          <w:rFonts w:hint="cs"/>
          <w:rtl/>
        </w:rPr>
        <w:t xml:space="preserve">סיון האנושי על מנת 'לחזות' את העולם הבא מוגבלת למדי. הנבואה הישראלית מוכיחה לנו כי הנפש הישראלית יש לה השארות לאחר המוות ודבקות בא-להים, ו'הנה הנפש ההיא תהיה בטוחה מן </w:t>
      </w:r>
      <w:proofErr w:type="spellStart"/>
      <w:r>
        <w:rPr>
          <w:rFonts w:hint="cs"/>
          <w:rtl/>
        </w:rPr>
        <w:t>המות</w:t>
      </w:r>
      <w:proofErr w:type="spellEnd"/>
      <w:r>
        <w:rPr>
          <w:rFonts w:hint="cs"/>
          <w:rtl/>
        </w:rPr>
        <w:t xml:space="preserve"> כאשר יכלו כליה הגופניים' </w:t>
      </w:r>
      <w:r w:rsidRPr="008C7CBF">
        <w:rPr>
          <w:rFonts w:hint="cs"/>
          <w:sz w:val="16"/>
          <w:szCs w:val="17"/>
          <w:rtl/>
        </w:rPr>
        <w:t>(</w:t>
      </w:r>
      <w:proofErr w:type="spellStart"/>
      <w:r w:rsidRPr="008C7CBF">
        <w:rPr>
          <w:rFonts w:hint="cs"/>
          <w:sz w:val="16"/>
          <w:szCs w:val="17"/>
          <w:rtl/>
        </w:rPr>
        <w:t>קג</w:t>
      </w:r>
      <w:proofErr w:type="spellEnd"/>
      <w:r w:rsidRPr="008C7CBF">
        <w:rPr>
          <w:rFonts w:hint="cs"/>
          <w:sz w:val="16"/>
          <w:szCs w:val="17"/>
          <w:rtl/>
        </w:rPr>
        <w:t>)</w:t>
      </w:r>
      <w:r>
        <w:rPr>
          <w:rFonts w:hint="cs"/>
          <w:rtl/>
        </w:rPr>
        <w:t>. אבל הטענות לגבי מעמדם של שאר האומות בעולם הבא אינן עומדות על קרקע הנ</w:t>
      </w:r>
      <w:r w:rsidR="008C7CBF">
        <w:rPr>
          <w:rFonts w:hint="cs"/>
          <w:rtl/>
        </w:rPr>
        <w:t>י</w:t>
      </w:r>
      <w:r>
        <w:rPr>
          <w:rFonts w:hint="cs"/>
          <w:rtl/>
        </w:rPr>
        <w:t>סיון כי אם על ההשערה, ועל כן רבי יהודה הלוי מנסחן בזהירות רבה.</w:t>
      </w:r>
    </w:p>
    <w:p w14:paraId="757DC740" w14:textId="6BEF7909" w:rsidR="003825CD" w:rsidRDefault="003825CD" w:rsidP="003825CD">
      <w:pPr>
        <w:rPr>
          <w:rtl/>
        </w:rPr>
      </w:pPr>
      <w:r>
        <w:rPr>
          <w:rFonts w:hint="cs"/>
          <w:rtl/>
        </w:rPr>
        <w:t xml:space="preserve">מבנה זה של הדיון מחייב את רבי יהודה הלוי לדון ראשית בראיות לגבי העולם הבא ורק לאחר מכן בטיבו של עולם זה; ואף אנו נבנה כך, </w:t>
      </w:r>
      <w:proofErr w:type="spellStart"/>
      <w:r>
        <w:rPr>
          <w:rFonts w:hint="cs"/>
          <w:rtl/>
        </w:rPr>
        <w:t>בעז"ה</w:t>
      </w:r>
      <w:proofErr w:type="spellEnd"/>
      <w:r>
        <w:rPr>
          <w:rFonts w:hint="cs"/>
          <w:rtl/>
        </w:rPr>
        <w:t>, את השיעורים הבאים</w:t>
      </w:r>
      <w:r w:rsidR="008C7CBF">
        <w:rPr>
          <w:rFonts w:hint="cs"/>
          <w:rtl/>
        </w:rPr>
        <w:t>,</w:t>
      </w:r>
      <w:r>
        <w:rPr>
          <w:rFonts w:hint="cs"/>
          <w:rtl/>
        </w:rPr>
        <w:t xml:space="preserve"> </w:t>
      </w:r>
      <w:r w:rsidR="008C7CBF">
        <w:rPr>
          <w:rFonts w:hint="cs"/>
          <w:rtl/>
        </w:rPr>
        <w:t>ש</w:t>
      </w:r>
      <w:r>
        <w:rPr>
          <w:rFonts w:hint="cs"/>
          <w:rtl/>
        </w:rPr>
        <w:t xml:space="preserve">בהם נעסוק בסוגיית העולם הבא. בשיעור זה נעיין באופן </w:t>
      </w:r>
      <w:r w:rsidR="008C7CBF">
        <w:rPr>
          <w:rFonts w:hint="cs"/>
          <w:rtl/>
        </w:rPr>
        <w:t>ש</w:t>
      </w:r>
      <w:r>
        <w:rPr>
          <w:rFonts w:hint="cs"/>
          <w:rtl/>
        </w:rPr>
        <w:t>בו מסביר רבי יהודה הלוי את ה</w:t>
      </w:r>
      <w:r w:rsidR="008C7CBF">
        <w:rPr>
          <w:rFonts w:hint="cs"/>
          <w:rtl/>
        </w:rPr>
        <w:t>י</w:t>
      </w:r>
      <w:r>
        <w:rPr>
          <w:rFonts w:hint="cs"/>
          <w:rtl/>
        </w:rPr>
        <w:t>עדרו של העולם הבא מן התורה, ורק בשיעור שלאחריו נעסוק בטיבו של העולם הבא לדעתו של מחבר הכוזרי. לבסוף, בשיעור שיסיים ויסכם את דיוננו בנושא זה, נבחן את שאלת הכוזרי האם ניתן להשליך מגלות ישראל בעולם הזה על מעמדם בעולם הבא, שאלה שבה נחתום גם את לימודנו של המאמר הראשון בספר.</w:t>
      </w:r>
    </w:p>
    <w:p w14:paraId="7551D51D" w14:textId="77777777" w:rsidR="003825CD" w:rsidRDefault="003825CD" w:rsidP="003825CD">
      <w:pPr>
        <w:rPr>
          <w:rtl/>
        </w:rPr>
      </w:pPr>
    </w:p>
    <w:p w14:paraId="5F69A4E8" w14:textId="17927B81" w:rsidR="003825CD" w:rsidRPr="001B699E" w:rsidRDefault="00023781" w:rsidP="001B699E">
      <w:pPr>
        <w:jc w:val="center"/>
        <w:rPr>
          <w:rFonts w:cs="Arial"/>
          <w:b/>
          <w:bCs/>
          <w:smallCaps/>
          <w:sz w:val="21"/>
        </w:rPr>
      </w:pPr>
      <w:r>
        <w:rPr>
          <w:rFonts w:cs="Arial" w:hint="cs"/>
          <w:b/>
          <w:bCs/>
          <w:smallCaps/>
          <w:sz w:val="21"/>
          <w:rtl/>
        </w:rPr>
        <w:t>י</w:t>
      </w:r>
      <w:r w:rsidR="003825CD" w:rsidRPr="001B699E">
        <w:rPr>
          <w:rFonts w:cs="Arial" w:hint="cs"/>
          <w:b/>
          <w:bCs/>
          <w:smallCaps/>
          <w:sz w:val="21"/>
          <w:rtl/>
        </w:rPr>
        <w:t>יעודינו וי</w:t>
      </w:r>
      <w:r>
        <w:rPr>
          <w:rFonts w:cs="Arial" w:hint="cs"/>
          <w:b/>
          <w:bCs/>
          <w:smallCaps/>
          <w:sz w:val="21"/>
          <w:rtl/>
        </w:rPr>
        <w:t>י</w:t>
      </w:r>
      <w:r w:rsidR="003825CD" w:rsidRPr="001B699E">
        <w:rPr>
          <w:rFonts w:cs="Arial" w:hint="cs"/>
          <w:b/>
          <w:bCs/>
          <w:smallCaps/>
          <w:sz w:val="21"/>
          <w:rtl/>
        </w:rPr>
        <w:t>עודי זולתנו</w:t>
      </w:r>
    </w:p>
    <w:p w14:paraId="72E83D5B" w14:textId="4DE58BC1" w:rsidR="003825CD" w:rsidRDefault="003825CD" w:rsidP="003825CD">
      <w:pPr>
        <w:rPr>
          <w:rtl/>
        </w:rPr>
      </w:pPr>
      <w:r>
        <w:rPr>
          <w:rFonts w:hint="cs"/>
          <w:rtl/>
        </w:rPr>
        <w:t>דומה, כי הדברים שנכתבו</w:t>
      </w:r>
      <w:r w:rsidR="008C7CBF">
        <w:rPr>
          <w:rFonts w:hint="cs"/>
          <w:rtl/>
        </w:rPr>
        <w:t xml:space="preserve"> לעיל עומדים ברקע תגובתו העמומה-</w:t>
      </w:r>
      <w:r>
        <w:rPr>
          <w:rFonts w:hint="cs"/>
          <w:rtl/>
        </w:rPr>
        <w:t>משהו של המלך לדברי החבר. לאחר שהחבר מסיים להסביר כיצד אפילו פגישה בנביא משמשת הבטחה לחיי העולם הבא, מציין המלך:</w:t>
      </w:r>
    </w:p>
    <w:p w14:paraId="5286CD89" w14:textId="2F1F3706" w:rsidR="003825CD" w:rsidRDefault="003825CD" w:rsidP="00AA22C4">
      <w:pPr>
        <w:tabs>
          <w:tab w:val="right" w:pos="4620"/>
        </w:tabs>
        <w:ind w:left="720"/>
        <w:rPr>
          <w:rtl/>
        </w:rPr>
      </w:pPr>
      <w:r>
        <w:rPr>
          <w:rFonts w:hint="cs"/>
          <w:rtl/>
        </w:rPr>
        <w:t>"</w:t>
      </w:r>
      <w:r w:rsidRPr="0014516F">
        <w:rPr>
          <w:rFonts w:hint="cs"/>
          <w:rtl/>
        </w:rPr>
        <w:t>אני</w:t>
      </w:r>
      <w:r w:rsidRPr="0014516F">
        <w:rPr>
          <w:rtl/>
        </w:rPr>
        <w:t xml:space="preserve"> </w:t>
      </w:r>
      <w:r w:rsidRPr="0014516F">
        <w:rPr>
          <w:rFonts w:hint="cs"/>
          <w:rtl/>
        </w:rPr>
        <w:t>רואה</w:t>
      </w:r>
      <w:r w:rsidRPr="0014516F">
        <w:rPr>
          <w:rtl/>
        </w:rPr>
        <w:t xml:space="preserve"> </w:t>
      </w:r>
      <w:proofErr w:type="spellStart"/>
      <w:r w:rsidRPr="0014516F">
        <w:rPr>
          <w:rFonts w:hint="cs"/>
          <w:rtl/>
        </w:rPr>
        <w:t>שיעודי</w:t>
      </w:r>
      <w:proofErr w:type="spellEnd"/>
      <w:r w:rsidRPr="0014516F">
        <w:rPr>
          <w:rtl/>
        </w:rPr>
        <w:t xml:space="preserve"> </w:t>
      </w:r>
      <w:r w:rsidRPr="0014516F">
        <w:rPr>
          <w:rFonts w:hint="cs"/>
          <w:rtl/>
        </w:rPr>
        <w:t>זולתכם</w:t>
      </w:r>
      <w:r w:rsidRPr="0014516F">
        <w:rPr>
          <w:rtl/>
        </w:rPr>
        <w:t xml:space="preserve"> </w:t>
      </w:r>
      <w:r w:rsidRPr="0014516F">
        <w:rPr>
          <w:rFonts w:hint="cs"/>
          <w:rtl/>
        </w:rPr>
        <w:t>שמנים</w:t>
      </w:r>
      <w:r w:rsidRPr="0014516F">
        <w:rPr>
          <w:rtl/>
        </w:rPr>
        <w:t xml:space="preserve"> </w:t>
      </w:r>
      <w:r w:rsidRPr="0014516F">
        <w:rPr>
          <w:rFonts w:hint="cs"/>
          <w:rtl/>
        </w:rPr>
        <w:t>ודשנים</w:t>
      </w:r>
      <w:r w:rsidRPr="0014516F">
        <w:rPr>
          <w:rtl/>
        </w:rPr>
        <w:t xml:space="preserve"> </w:t>
      </w:r>
      <w:proofErr w:type="spellStart"/>
      <w:r w:rsidRPr="0014516F">
        <w:rPr>
          <w:rFonts w:hint="cs"/>
          <w:rtl/>
        </w:rPr>
        <w:t>מיעודיכם</w:t>
      </w:r>
      <w:proofErr w:type="spellEnd"/>
      <w:r w:rsidR="00AA22C4">
        <w:rPr>
          <w:rFonts w:hint="cs"/>
          <w:rtl/>
        </w:rPr>
        <w:t>"</w:t>
      </w:r>
      <w:r w:rsidR="00AA22C4">
        <w:rPr>
          <w:rFonts w:hint="cs"/>
          <w:rtl/>
        </w:rPr>
        <w:tab/>
      </w:r>
      <w:r w:rsidRPr="00AA22C4">
        <w:rPr>
          <w:rFonts w:hint="cs"/>
          <w:sz w:val="16"/>
          <w:szCs w:val="17"/>
          <w:rtl/>
        </w:rPr>
        <w:t>(קד)</w:t>
      </w:r>
      <w:r w:rsidR="00AA22C4">
        <w:rPr>
          <w:rFonts w:hint="cs"/>
          <w:rtl/>
        </w:rPr>
        <w:t>.</w:t>
      </w:r>
    </w:p>
    <w:p w14:paraId="1887D5D1" w14:textId="4AA3DD04" w:rsidR="003825CD" w:rsidRDefault="003825CD" w:rsidP="003825CD">
      <w:pPr>
        <w:rPr>
          <w:rtl/>
        </w:rPr>
      </w:pPr>
      <w:r>
        <w:rPr>
          <w:rFonts w:hint="cs"/>
          <w:rtl/>
        </w:rPr>
        <w:t xml:space="preserve">כלומר, התיאורים המופיעים אצל שאר הדתות לגבי העולם הבא מורחבים ועשירים בהרבה מאלו המופיעים בתורה, אשר כידוע כמעט ואינה אומרת דבר לגבי החיים שלאחר המוות. המלך אינו מסביר את טענתו בדיוק; אך אם צודקים אנו בקריאתנו את דברי החבר, הרי שאת טענת המלך יש להבין כך </w:t>
      </w:r>
      <w:r>
        <w:rPr>
          <w:rtl/>
        </w:rPr>
        <w:t>–</w:t>
      </w:r>
      <w:r>
        <w:rPr>
          <w:rFonts w:hint="cs"/>
          <w:rtl/>
        </w:rPr>
        <w:t xml:space="preserve"> אם אכן צדקו דבריך החבר, באמרך שהנבואה בעולם הזה משמשת כהקדמה והבטחה לחיי העולם הבא, הרי שהדתות האחרות נראות כבעלות ידע רחב ומבטיח יותר בנושא זה.</w:t>
      </w:r>
    </w:p>
    <w:p w14:paraId="2E226C9F" w14:textId="77777777" w:rsidR="003825CD" w:rsidRDefault="003825CD" w:rsidP="003825CD">
      <w:pPr>
        <w:rPr>
          <w:rtl/>
        </w:rPr>
      </w:pPr>
      <w:r>
        <w:rPr>
          <w:rFonts w:hint="cs"/>
          <w:rtl/>
        </w:rPr>
        <w:lastRenderedPageBreak/>
        <w:t xml:space="preserve">אלא שהחבר אינו מתרשם מטענה זו, ופוטר אותה במחי יד </w:t>
      </w:r>
      <w:r>
        <w:rPr>
          <w:rtl/>
        </w:rPr>
        <w:t>–</w:t>
      </w:r>
      <w:r>
        <w:rPr>
          <w:rFonts w:hint="cs"/>
          <w:rtl/>
        </w:rPr>
        <w:t xml:space="preserve"> </w:t>
      </w:r>
    </w:p>
    <w:p w14:paraId="79ADE45A" w14:textId="277BE57E" w:rsidR="003825CD" w:rsidRDefault="003825CD" w:rsidP="00346ADD">
      <w:pPr>
        <w:tabs>
          <w:tab w:val="right" w:pos="4620"/>
        </w:tabs>
        <w:ind w:left="720"/>
        <w:rPr>
          <w:rtl/>
        </w:rPr>
      </w:pPr>
      <w:r>
        <w:rPr>
          <w:rFonts w:hint="cs"/>
          <w:rtl/>
        </w:rPr>
        <w:t>"</w:t>
      </w:r>
      <w:r w:rsidRPr="0014516F">
        <w:rPr>
          <w:rFonts w:hint="cs"/>
          <w:rtl/>
        </w:rPr>
        <w:t>הם</w:t>
      </w:r>
      <w:r w:rsidRPr="0014516F">
        <w:rPr>
          <w:rtl/>
        </w:rPr>
        <w:t xml:space="preserve"> </w:t>
      </w:r>
      <w:r w:rsidRPr="0014516F">
        <w:rPr>
          <w:rFonts w:hint="cs"/>
          <w:rtl/>
        </w:rPr>
        <w:t>כלם</w:t>
      </w:r>
      <w:r w:rsidRPr="0014516F">
        <w:rPr>
          <w:rtl/>
        </w:rPr>
        <w:t xml:space="preserve"> </w:t>
      </w:r>
      <w:r w:rsidRPr="0014516F">
        <w:rPr>
          <w:rFonts w:hint="cs"/>
          <w:rtl/>
        </w:rPr>
        <w:t>אחר</w:t>
      </w:r>
      <w:r w:rsidRPr="0014516F">
        <w:rPr>
          <w:rtl/>
        </w:rPr>
        <w:t xml:space="preserve"> </w:t>
      </w:r>
      <w:proofErr w:type="spellStart"/>
      <w:r w:rsidRPr="0014516F">
        <w:rPr>
          <w:rFonts w:hint="cs"/>
          <w:rtl/>
        </w:rPr>
        <w:t>המות</w:t>
      </w:r>
      <w:proofErr w:type="spellEnd"/>
      <w:r w:rsidRPr="0014516F">
        <w:rPr>
          <w:rtl/>
        </w:rPr>
        <w:t xml:space="preserve"> </w:t>
      </w:r>
      <w:r w:rsidRPr="0014516F">
        <w:rPr>
          <w:rFonts w:hint="cs"/>
          <w:rtl/>
        </w:rPr>
        <w:t>ואין</w:t>
      </w:r>
      <w:r w:rsidRPr="0014516F">
        <w:rPr>
          <w:rtl/>
        </w:rPr>
        <w:t xml:space="preserve"> </w:t>
      </w:r>
      <w:r w:rsidRPr="0014516F">
        <w:rPr>
          <w:rFonts w:hint="cs"/>
          <w:rtl/>
        </w:rPr>
        <w:t>בחיים</w:t>
      </w:r>
      <w:r w:rsidRPr="0014516F">
        <w:rPr>
          <w:rtl/>
        </w:rPr>
        <w:t xml:space="preserve"> </w:t>
      </w:r>
      <w:r w:rsidRPr="0014516F">
        <w:rPr>
          <w:rFonts w:hint="cs"/>
          <w:rtl/>
        </w:rPr>
        <w:t>בהם</w:t>
      </w:r>
      <w:r w:rsidRPr="0014516F">
        <w:rPr>
          <w:rtl/>
        </w:rPr>
        <w:t xml:space="preserve"> </w:t>
      </w:r>
      <w:r w:rsidRPr="0014516F">
        <w:rPr>
          <w:rFonts w:hint="cs"/>
          <w:rtl/>
        </w:rPr>
        <w:t>דבר</w:t>
      </w:r>
      <w:r w:rsidRPr="0014516F">
        <w:rPr>
          <w:rtl/>
        </w:rPr>
        <w:t xml:space="preserve"> </w:t>
      </w:r>
      <w:r w:rsidRPr="0014516F">
        <w:rPr>
          <w:rFonts w:hint="cs"/>
          <w:rtl/>
        </w:rPr>
        <w:t>שיורה</w:t>
      </w:r>
      <w:r w:rsidRPr="0014516F">
        <w:rPr>
          <w:rtl/>
        </w:rPr>
        <w:t xml:space="preserve"> </w:t>
      </w:r>
      <w:r w:rsidRPr="0014516F">
        <w:rPr>
          <w:rFonts w:hint="cs"/>
          <w:rtl/>
        </w:rPr>
        <w:t>עליהם</w:t>
      </w:r>
      <w:r w:rsidR="00DC42E9">
        <w:rPr>
          <w:rFonts w:hint="cs"/>
          <w:rtl/>
        </w:rPr>
        <w:t>"</w:t>
      </w:r>
      <w:r w:rsidR="00DC42E9">
        <w:rPr>
          <w:rtl/>
        </w:rPr>
        <w:tab/>
      </w:r>
      <w:r w:rsidRPr="00DC42E9">
        <w:rPr>
          <w:rFonts w:hint="cs"/>
          <w:sz w:val="16"/>
          <w:szCs w:val="17"/>
          <w:rtl/>
        </w:rPr>
        <w:t>(</w:t>
      </w:r>
      <w:proofErr w:type="spellStart"/>
      <w:r w:rsidRPr="00DC42E9">
        <w:rPr>
          <w:rFonts w:hint="cs"/>
          <w:sz w:val="16"/>
          <w:szCs w:val="17"/>
          <w:rtl/>
        </w:rPr>
        <w:t>קה</w:t>
      </w:r>
      <w:proofErr w:type="spellEnd"/>
      <w:r w:rsidRPr="00DC42E9">
        <w:rPr>
          <w:rFonts w:hint="cs"/>
          <w:sz w:val="16"/>
          <w:szCs w:val="17"/>
          <w:rtl/>
        </w:rPr>
        <w:t>)</w:t>
      </w:r>
      <w:r w:rsidR="00DC42E9">
        <w:rPr>
          <w:rFonts w:hint="cs"/>
          <w:rtl/>
        </w:rPr>
        <w:t>.</w:t>
      </w:r>
    </w:p>
    <w:p w14:paraId="1F1E53AC" w14:textId="7FBE42F4" w:rsidR="003825CD" w:rsidRDefault="003825CD" w:rsidP="00DC42E9">
      <w:pPr>
        <w:rPr>
          <w:rtl/>
        </w:rPr>
      </w:pPr>
      <w:r>
        <w:rPr>
          <w:rFonts w:hint="cs"/>
          <w:rtl/>
        </w:rPr>
        <w:t xml:space="preserve">כלומר, בעוד הנבואה הישראלית היא 'ראיה גלויה ואות בהיר', הרי שהתיאורים הנמצאים בשאר הדתות אינם אלא השערות בעלמא, </w:t>
      </w:r>
      <w:r w:rsidR="00DC42E9">
        <w:rPr>
          <w:rFonts w:hint="cs"/>
          <w:rtl/>
        </w:rPr>
        <w:t>ו</w:t>
      </w:r>
      <w:r>
        <w:rPr>
          <w:rFonts w:hint="cs"/>
          <w:rtl/>
        </w:rPr>
        <w:t xml:space="preserve">אינם יכולים </w:t>
      </w:r>
      <w:r w:rsidR="00DC42E9">
        <w:rPr>
          <w:rFonts w:hint="cs"/>
          <w:rtl/>
        </w:rPr>
        <w:t>להבטיח מאומה</w:t>
      </w:r>
      <w:r>
        <w:rPr>
          <w:rFonts w:hint="cs"/>
          <w:rtl/>
        </w:rPr>
        <w:t xml:space="preserve">. המלך מסכים לכך, ואף לועג למאמינים בייעודים אלו, ש'אינם משתוקקים במהירות לבואם'. </w:t>
      </w:r>
    </w:p>
    <w:p w14:paraId="697CB470" w14:textId="77777777" w:rsidR="003825CD" w:rsidRDefault="003825CD" w:rsidP="003825CD">
      <w:pPr>
        <w:rPr>
          <w:rtl/>
        </w:rPr>
      </w:pPr>
      <w:r>
        <w:rPr>
          <w:rFonts w:hint="cs"/>
          <w:rtl/>
        </w:rPr>
        <w:t xml:space="preserve">אלא שדחיית המאמינים משאר הדתות אינה מספיקה על מנת לבסס את הראיה החיובית בדבר עליונותה של הדת היהודית בענייני העולם הבא. השאלה שנרמזה בדבריו של המלך לעיל נותרה ללא מענה </w:t>
      </w:r>
      <w:r>
        <w:rPr>
          <w:rtl/>
        </w:rPr>
        <w:t>–</w:t>
      </w:r>
      <w:r>
        <w:rPr>
          <w:rFonts w:hint="cs"/>
          <w:rtl/>
        </w:rPr>
        <w:t xml:space="preserve"> מדוע התורה אינה מזכירה במפורש ובהרחבה את החיים שלאחר המוות, והגמול המובטח בהם </w:t>
      </w:r>
      <w:proofErr w:type="spellStart"/>
      <w:r>
        <w:rPr>
          <w:rFonts w:hint="cs"/>
          <w:rtl/>
        </w:rPr>
        <w:t>למקיימי</w:t>
      </w:r>
      <w:proofErr w:type="spellEnd"/>
      <w:r>
        <w:rPr>
          <w:rFonts w:hint="cs"/>
          <w:rtl/>
        </w:rPr>
        <w:t xml:space="preserve"> מצוותיה?</w:t>
      </w:r>
    </w:p>
    <w:p w14:paraId="70232D69" w14:textId="7850D9E2" w:rsidR="003825CD" w:rsidRDefault="003825CD" w:rsidP="00DC42E9">
      <w:pPr>
        <w:rPr>
          <w:rtl/>
        </w:rPr>
      </w:pPr>
      <w:r>
        <w:rPr>
          <w:rFonts w:hint="cs"/>
          <w:rtl/>
        </w:rPr>
        <w:t>קודם שנענה על שאלה זו, נסקור בקצרה את התשובות שניתנו על ידי מפרשים אחרים לשאלה יסודית זו; נתבסס בעיקר על סקירתו המ</w:t>
      </w:r>
      <w:r w:rsidR="00DC42E9">
        <w:rPr>
          <w:rFonts w:hint="cs"/>
          <w:rtl/>
        </w:rPr>
        <w:t xml:space="preserve">ורחבת של </w:t>
      </w:r>
      <w:proofErr w:type="spellStart"/>
      <w:r w:rsidR="00DC42E9">
        <w:rPr>
          <w:rFonts w:hint="cs"/>
          <w:rtl/>
        </w:rPr>
        <w:t>האברבנאל</w:t>
      </w:r>
      <w:proofErr w:type="spellEnd"/>
      <w:r w:rsidR="00DC42E9">
        <w:rPr>
          <w:rFonts w:hint="cs"/>
          <w:rtl/>
        </w:rPr>
        <w:t xml:space="preserve"> בפירושו לתורה, </w:t>
      </w:r>
      <w:r>
        <w:rPr>
          <w:rFonts w:hint="cs"/>
          <w:rtl/>
        </w:rPr>
        <w:t>לאחר שהוא מקשה:</w:t>
      </w:r>
    </w:p>
    <w:p w14:paraId="10921799" w14:textId="7396726A" w:rsidR="003825CD" w:rsidRDefault="003825CD" w:rsidP="00346ADD">
      <w:pPr>
        <w:tabs>
          <w:tab w:val="right" w:pos="4620"/>
        </w:tabs>
        <w:ind w:left="720"/>
        <w:rPr>
          <w:rtl/>
        </w:rPr>
      </w:pPr>
      <w:r>
        <w:rPr>
          <w:rFonts w:hint="cs"/>
          <w:rtl/>
        </w:rPr>
        <w:t>"</w:t>
      </w:r>
      <w:r w:rsidRPr="0017798E">
        <w:rPr>
          <w:rFonts w:hint="cs"/>
          <w:rtl/>
        </w:rPr>
        <w:t>למה</w:t>
      </w:r>
      <w:r w:rsidRPr="0017798E">
        <w:rPr>
          <w:rtl/>
        </w:rPr>
        <w:t xml:space="preserve"> </w:t>
      </w:r>
      <w:r w:rsidRPr="0017798E">
        <w:rPr>
          <w:rFonts w:hint="cs"/>
          <w:rtl/>
        </w:rPr>
        <w:t>זה</w:t>
      </w:r>
      <w:r w:rsidRPr="0017798E">
        <w:rPr>
          <w:rtl/>
        </w:rPr>
        <w:t xml:space="preserve"> </w:t>
      </w:r>
      <w:r w:rsidRPr="0017798E">
        <w:rPr>
          <w:rFonts w:hint="cs"/>
          <w:rtl/>
        </w:rPr>
        <w:t>היו</w:t>
      </w:r>
      <w:r w:rsidRPr="0017798E">
        <w:rPr>
          <w:rtl/>
        </w:rPr>
        <w:t xml:space="preserve"> </w:t>
      </w:r>
      <w:proofErr w:type="spellStart"/>
      <w:r w:rsidRPr="0017798E">
        <w:rPr>
          <w:rFonts w:hint="cs"/>
          <w:rtl/>
        </w:rPr>
        <w:t>יעודי</w:t>
      </w:r>
      <w:proofErr w:type="spellEnd"/>
      <w:r w:rsidRPr="0017798E">
        <w:rPr>
          <w:rtl/>
        </w:rPr>
        <w:t xml:space="preserve"> </w:t>
      </w:r>
      <w:r w:rsidRPr="0017798E">
        <w:rPr>
          <w:rFonts w:hint="cs"/>
          <w:rtl/>
        </w:rPr>
        <w:t>התורה</w:t>
      </w:r>
      <w:r w:rsidRPr="0017798E">
        <w:rPr>
          <w:rtl/>
        </w:rPr>
        <w:t xml:space="preserve"> </w:t>
      </w:r>
      <w:r w:rsidRPr="0017798E">
        <w:rPr>
          <w:rFonts w:hint="cs"/>
          <w:rtl/>
        </w:rPr>
        <w:t>ושכרה</w:t>
      </w:r>
      <w:r w:rsidRPr="0017798E">
        <w:rPr>
          <w:rtl/>
        </w:rPr>
        <w:t xml:space="preserve"> </w:t>
      </w:r>
      <w:r w:rsidRPr="0017798E">
        <w:rPr>
          <w:rFonts w:hint="cs"/>
          <w:rtl/>
        </w:rPr>
        <w:t>כלם</w:t>
      </w:r>
      <w:r w:rsidRPr="0017798E">
        <w:rPr>
          <w:rtl/>
        </w:rPr>
        <w:t xml:space="preserve"> </w:t>
      </w:r>
      <w:r w:rsidRPr="0017798E">
        <w:rPr>
          <w:rFonts w:hint="cs"/>
          <w:rtl/>
        </w:rPr>
        <w:t>דברים</w:t>
      </w:r>
      <w:r w:rsidRPr="0017798E">
        <w:rPr>
          <w:rtl/>
        </w:rPr>
        <w:t xml:space="preserve"> </w:t>
      </w:r>
      <w:r w:rsidRPr="0017798E">
        <w:rPr>
          <w:rFonts w:hint="cs"/>
          <w:rtl/>
        </w:rPr>
        <w:t>גשמיים</w:t>
      </w:r>
      <w:r w:rsidRPr="0017798E">
        <w:rPr>
          <w:rtl/>
        </w:rPr>
        <w:t xml:space="preserve"> </w:t>
      </w:r>
      <w:r w:rsidRPr="0017798E">
        <w:rPr>
          <w:rFonts w:hint="cs"/>
          <w:rtl/>
        </w:rPr>
        <w:t>כמו</w:t>
      </w:r>
      <w:r w:rsidRPr="0017798E">
        <w:rPr>
          <w:rtl/>
        </w:rPr>
        <w:t xml:space="preserve"> </w:t>
      </w:r>
      <w:r w:rsidRPr="0017798E">
        <w:rPr>
          <w:rFonts w:hint="cs"/>
          <w:rtl/>
        </w:rPr>
        <w:t>שזכרו</w:t>
      </w:r>
      <w:r w:rsidRPr="0017798E">
        <w:rPr>
          <w:rtl/>
        </w:rPr>
        <w:t xml:space="preserve"> </w:t>
      </w:r>
      <w:r w:rsidRPr="0017798E">
        <w:rPr>
          <w:rFonts w:hint="cs"/>
          <w:rtl/>
        </w:rPr>
        <w:t>בברית</w:t>
      </w:r>
      <w:r w:rsidRPr="0017798E">
        <w:rPr>
          <w:rtl/>
        </w:rPr>
        <w:t xml:space="preserve"> </w:t>
      </w:r>
      <w:r w:rsidRPr="0017798E">
        <w:rPr>
          <w:rFonts w:hint="cs"/>
          <w:rtl/>
        </w:rPr>
        <w:t>הזה</w:t>
      </w:r>
      <w:r w:rsidRPr="0017798E">
        <w:rPr>
          <w:rtl/>
        </w:rPr>
        <w:t xml:space="preserve"> </w:t>
      </w:r>
      <w:r w:rsidRPr="0017798E">
        <w:rPr>
          <w:rFonts w:hint="cs"/>
          <w:rtl/>
        </w:rPr>
        <w:t>ולא</w:t>
      </w:r>
      <w:r w:rsidRPr="0017798E">
        <w:rPr>
          <w:rtl/>
        </w:rPr>
        <w:t xml:space="preserve"> </w:t>
      </w:r>
      <w:r w:rsidRPr="0017798E">
        <w:rPr>
          <w:rFonts w:hint="cs"/>
          <w:rtl/>
        </w:rPr>
        <w:t>יעדם</w:t>
      </w:r>
      <w:r w:rsidRPr="0017798E">
        <w:rPr>
          <w:rtl/>
        </w:rPr>
        <w:t xml:space="preserve"> </w:t>
      </w:r>
      <w:r w:rsidRPr="0017798E">
        <w:rPr>
          <w:rFonts w:hint="cs"/>
          <w:rtl/>
        </w:rPr>
        <w:t>בשלמות</w:t>
      </w:r>
      <w:r w:rsidRPr="0017798E">
        <w:rPr>
          <w:rtl/>
        </w:rPr>
        <w:t xml:space="preserve"> </w:t>
      </w:r>
      <w:proofErr w:type="spellStart"/>
      <w:r w:rsidRPr="0017798E">
        <w:rPr>
          <w:rFonts w:hint="cs"/>
          <w:rtl/>
        </w:rPr>
        <w:t>הנפשיי</w:t>
      </w:r>
      <w:proofErr w:type="spellEnd"/>
      <w:r w:rsidRPr="0017798E">
        <w:rPr>
          <w:rtl/>
        </w:rPr>
        <w:t xml:space="preserve"> </w:t>
      </w:r>
      <w:r w:rsidRPr="0017798E">
        <w:rPr>
          <w:rFonts w:hint="cs"/>
          <w:rtl/>
        </w:rPr>
        <w:t>ושכר</w:t>
      </w:r>
      <w:r w:rsidRPr="0017798E">
        <w:rPr>
          <w:rtl/>
        </w:rPr>
        <w:t xml:space="preserve"> </w:t>
      </w:r>
      <w:r w:rsidRPr="0017798E">
        <w:rPr>
          <w:rFonts w:hint="cs"/>
          <w:rtl/>
        </w:rPr>
        <w:t>הנשמה</w:t>
      </w:r>
      <w:r w:rsidRPr="0017798E">
        <w:rPr>
          <w:rtl/>
        </w:rPr>
        <w:t xml:space="preserve"> </w:t>
      </w:r>
      <w:r w:rsidRPr="0017798E">
        <w:rPr>
          <w:rFonts w:hint="cs"/>
          <w:rtl/>
        </w:rPr>
        <w:t>אחר</w:t>
      </w:r>
      <w:r w:rsidRPr="0017798E">
        <w:rPr>
          <w:rtl/>
        </w:rPr>
        <w:t xml:space="preserve"> </w:t>
      </w:r>
      <w:proofErr w:type="spellStart"/>
      <w:r w:rsidRPr="0017798E">
        <w:rPr>
          <w:rFonts w:hint="cs"/>
          <w:rtl/>
        </w:rPr>
        <w:t>המות</w:t>
      </w:r>
      <w:proofErr w:type="spellEnd"/>
      <w:r w:rsidRPr="0017798E">
        <w:rPr>
          <w:rtl/>
        </w:rPr>
        <w:t xml:space="preserve"> </w:t>
      </w:r>
      <w:r w:rsidRPr="0017798E">
        <w:rPr>
          <w:rFonts w:hint="cs"/>
          <w:rtl/>
        </w:rPr>
        <w:t>באשר</w:t>
      </w:r>
      <w:r w:rsidRPr="0017798E">
        <w:rPr>
          <w:rtl/>
        </w:rPr>
        <w:t xml:space="preserve"> </w:t>
      </w:r>
      <w:r w:rsidRPr="0017798E">
        <w:rPr>
          <w:rFonts w:hint="cs"/>
          <w:rtl/>
        </w:rPr>
        <w:t>הוא</w:t>
      </w:r>
      <w:r w:rsidRPr="0017798E">
        <w:rPr>
          <w:rtl/>
        </w:rPr>
        <w:t xml:space="preserve"> </w:t>
      </w:r>
      <w:r w:rsidRPr="0017798E">
        <w:rPr>
          <w:rFonts w:hint="cs"/>
          <w:rtl/>
        </w:rPr>
        <w:t>סוף</w:t>
      </w:r>
      <w:r w:rsidRPr="0017798E">
        <w:rPr>
          <w:rtl/>
        </w:rPr>
        <w:t xml:space="preserve"> </w:t>
      </w:r>
      <w:r w:rsidRPr="0017798E">
        <w:rPr>
          <w:rFonts w:hint="cs"/>
          <w:rtl/>
        </w:rPr>
        <w:t>כל</w:t>
      </w:r>
      <w:r w:rsidRPr="0017798E">
        <w:rPr>
          <w:rtl/>
        </w:rPr>
        <w:t xml:space="preserve"> </w:t>
      </w:r>
      <w:r w:rsidRPr="0017798E">
        <w:rPr>
          <w:rFonts w:hint="cs"/>
          <w:rtl/>
        </w:rPr>
        <w:t>האדם</w:t>
      </w:r>
      <w:r w:rsidRPr="0017798E">
        <w:rPr>
          <w:rtl/>
        </w:rPr>
        <w:t xml:space="preserve"> </w:t>
      </w:r>
      <w:r w:rsidRPr="0017798E">
        <w:rPr>
          <w:rFonts w:hint="cs"/>
          <w:rtl/>
        </w:rPr>
        <w:t>והצלחתו</w:t>
      </w:r>
      <w:r w:rsidRPr="0017798E">
        <w:rPr>
          <w:rtl/>
        </w:rPr>
        <w:t xml:space="preserve"> </w:t>
      </w:r>
      <w:r w:rsidRPr="0017798E">
        <w:rPr>
          <w:rFonts w:hint="cs"/>
          <w:rtl/>
        </w:rPr>
        <w:t>האמתית</w:t>
      </w:r>
      <w:r w:rsidR="00AA22C4">
        <w:rPr>
          <w:rFonts w:hint="cs"/>
          <w:rtl/>
        </w:rPr>
        <w:t>?"</w:t>
      </w:r>
      <w:r w:rsidR="00DC42E9">
        <w:rPr>
          <w:rtl/>
        </w:rPr>
        <w:tab/>
      </w:r>
      <w:r w:rsidR="00DC42E9" w:rsidRPr="00DC42E9">
        <w:rPr>
          <w:rFonts w:hint="cs"/>
          <w:sz w:val="16"/>
          <w:szCs w:val="17"/>
          <w:rtl/>
        </w:rPr>
        <w:t>(ויקרא כ"ו)</w:t>
      </w:r>
      <w:r w:rsidR="00AA22C4">
        <w:rPr>
          <w:rFonts w:hint="cs"/>
          <w:rtl/>
        </w:rPr>
        <w:t>.</w:t>
      </w:r>
    </w:p>
    <w:p w14:paraId="4FA00533" w14:textId="77777777" w:rsidR="003825CD" w:rsidRDefault="003825CD" w:rsidP="003825CD">
      <w:pPr>
        <w:rPr>
          <w:rtl/>
        </w:rPr>
      </w:pPr>
      <w:r>
        <w:rPr>
          <w:rFonts w:hint="cs"/>
          <w:rtl/>
        </w:rPr>
        <w:t>הוא מביא שבע תשובות שונות ודן בהן, ואנו נזכיר חמש מתוכן בקצרה רבה:</w:t>
      </w:r>
    </w:p>
    <w:p w14:paraId="48F44D58" w14:textId="6C8ED38B" w:rsidR="003825CD" w:rsidRDefault="003825CD" w:rsidP="001B699E">
      <w:pPr>
        <w:numPr>
          <w:ilvl w:val="0"/>
          <w:numId w:val="1"/>
        </w:numPr>
      </w:pPr>
      <w:r>
        <w:rPr>
          <w:rFonts w:hint="cs"/>
          <w:rtl/>
        </w:rPr>
        <w:t>רמב"ם: התורה כלל אינה מדברת על שכר ועונש אלא על הסרת המניעים מעבודת השם, שהרי ראוי לאדם שיעבוד מאהבה ולא מתוך תקוות השכר.</w:t>
      </w:r>
    </w:p>
    <w:p w14:paraId="5F47FE4F" w14:textId="5F82C5FD" w:rsidR="003825CD" w:rsidRDefault="003825CD" w:rsidP="001B699E">
      <w:pPr>
        <w:numPr>
          <w:ilvl w:val="0"/>
          <w:numId w:val="1"/>
        </w:numPr>
      </w:pPr>
      <w:r>
        <w:rPr>
          <w:rFonts w:hint="cs"/>
          <w:rtl/>
        </w:rPr>
        <w:t>אבן עזרא: העולם הבא קשה להבנה על האדם, שכן הוא תופעה רוחנית שאינה גשמית, והתורה אינה מדברת אלא על מה שיכולים אנו להבין.</w:t>
      </w:r>
    </w:p>
    <w:p w14:paraId="67F418A1" w14:textId="19CDE52C" w:rsidR="003825CD" w:rsidRDefault="00DC42E9" w:rsidP="001B699E">
      <w:pPr>
        <w:numPr>
          <w:ilvl w:val="0"/>
          <w:numId w:val="1"/>
        </w:numPr>
      </w:pPr>
      <w:r>
        <w:rPr>
          <w:rFonts w:hint="cs"/>
          <w:rtl/>
        </w:rPr>
        <w:t>רבנו</w:t>
      </w:r>
      <w:r w:rsidR="003825CD">
        <w:rPr>
          <w:rFonts w:hint="cs"/>
          <w:rtl/>
        </w:rPr>
        <w:t xml:space="preserve"> בחיי: ה</w:t>
      </w:r>
      <w:r>
        <w:rPr>
          <w:rFonts w:hint="cs"/>
          <w:rtl/>
        </w:rPr>
        <w:t>י</w:t>
      </w:r>
      <w:r w:rsidR="003825CD">
        <w:rPr>
          <w:rFonts w:hint="cs"/>
          <w:rtl/>
        </w:rPr>
        <w:t>שארות הנפש היא תופעה טבעית, והתורה לא באה אלא לחדש על הניסים, כגון השתנות הטבע (</w:t>
      </w:r>
      <w:r>
        <w:rPr>
          <w:rFonts w:hint="cs"/>
          <w:rtl/>
        </w:rPr>
        <w:t>"ונתתי גשמיכם בע</w:t>
      </w:r>
      <w:r w:rsidR="003825CD">
        <w:rPr>
          <w:rFonts w:hint="cs"/>
          <w:rtl/>
        </w:rPr>
        <w:t>תם</w:t>
      </w:r>
      <w:r>
        <w:rPr>
          <w:rFonts w:hint="cs"/>
          <w:rtl/>
        </w:rPr>
        <w:t>"</w:t>
      </w:r>
      <w:r w:rsidR="003825CD">
        <w:rPr>
          <w:rFonts w:hint="cs"/>
          <w:rtl/>
        </w:rPr>
        <w:t>) בעקבות המצוות.</w:t>
      </w:r>
    </w:p>
    <w:p w14:paraId="1A61C2F7" w14:textId="2779F49B" w:rsidR="003825CD" w:rsidRDefault="00DC42E9" w:rsidP="001B699E">
      <w:pPr>
        <w:numPr>
          <w:ilvl w:val="0"/>
          <w:numId w:val="1"/>
        </w:numPr>
      </w:pPr>
      <w:r>
        <w:rPr>
          <w:rFonts w:hint="cs"/>
          <w:rtl/>
        </w:rPr>
        <w:t>רס"ג: הבטחת הגמולים שבתורה באה</w:t>
      </w:r>
      <w:r w:rsidR="003825CD">
        <w:rPr>
          <w:rFonts w:hint="cs"/>
          <w:rtl/>
        </w:rPr>
        <w:t xml:space="preserve"> על מנת לסייע לאדם לעזוב את העבודה זרה, שכהניה הבטיחו כי עבודתה ת</w:t>
      </w:r>
      <w:r>
        <w:rPr>
          <w:rFonts w:hint="cs"/>
          <w:rtl/>
        </w:rPr>
        <w:t>ַ</w:t>
      </w:r>
      <w:r w:rsidR="003825CD">
        <w:rPr>
          <w:rFonts w:hint="cs"/>
          <w:rtl/>
        </w:rPr>
        <w:t>קנה הצלחה גשמית. מאחר וכך, אף הגמולים שבתורה נוסחו באופן גשמי.</w:t>
      </w:r>
    </w:p>
    <w:p w14:paraId="3381357A" w14:textId="3D7A9B8E" w:rsidR="003825CD" w:rsidRDefault="003825CD" w:rsidP="001B699E">
      <w:pPr>
        <w:numPr>
          <w:ilvl w:val="0"/>
          <w:numId w:val="1"/>
        </w:numPr>
      </w:pPr>
      <w:r>
        <w:rPr>
          <w:rFonts w:hint="cs"/>
          <w:rtl/>
        </w:rPr>
        <w:t>רמב"ן: הבטחות התורה הם לאומה בכללה, ואילו עניין החיים שלאחר המוות הוא ליחיד.</w:t>
      </w:r>
    </w:p>
    <w:p w14:paraId="7EED688D" w14:textId="77777777" w:rsidR="003825CD" w:rsidRDefault="003825CD" w:rsidP="003825CD">
      <w:pPr>
        <w:rPr>
          <w:rtl/>
        </w:rPr>
      </w:pPr>
      <w:r>
        <w:rPr>
          <w:rFonts w:hint="cs"/>
          <w:rtl/>
        </w:rPr>
        <w:t xml:space="preserve">את שתי התשובות הנותרות שמזכיר </w:t>
      </w:r>
      <w:proofErr w:type="spellStart"/>
      <w:r>
        <w:rPr>
          <w:rFonts w:hint="cs"/>
          <w:rtl/>
        </w:rPr>
        <w:t>האברנבאל</w:t>
      </w:r>
      <w:proofErr w:type="spellEnd"/>
      <w:r>
        <w:rPr>
          <w:rFonts w:hint="cs"/>
          <w:rtl/>
        </w:rPr>
        <w:t xml:space="preserve"> הוא מייחס לרבי יהודה הלוי בספר הכוזרי, אך למעשה מדובר בתשובה אחת עם רבדים שונים:</w:t>
      </w:r>
    </w:p>
    <w:p w14:paraId="74D0E441" w14:textId="7812E0A2" w:rsidR="003825CD" w:rsidRDefault="003825CD" w:rsidP="001B699E">
      <w:pPr>
        <w:numPr>
          <w:ilvl w:val="0"/>
          <w:numId w:val="1"/>
        </w:numPr>
      </w:pPr>
      <w:r>
        <w:rPr>
          <w:rFonts w:hint="cs"/>
          <w:rtl/>
        </w:rPr>
        <w:t>התורה לא מזכירה אלא את מה שניתן להוכיח אותו, וגמולי העולם הבא לא ניתנים להוכחה משביעת רצון מתוך העולם הזה.</w:t>
      </w:r>
    </w:p>
    <w:p w14:paraId="0CD17559" w14:textId="72C8A573" w:rsidR="003825CD" w:rsidRDefault="003825CD" w:rsidP="00DC42E9">
      <w:pPr>
        <w:numPr>
          <w:ilvl w:val="0"/>
          <w:numId w:val="1"/>
        </w:numPr>
      </w:pPr>
      <w:r>
        <w:rPr>
          <w:rFonts w:hint="cs"/>
          <w:rtl/>
        </w:rPr>
        <w:lastRenderedPageBreak/>
        <w:t xml:space="preserve">התורה למעשה מזכירה את העולם הבא, על דרך 'בכלל מאתים מנה' </w:t>
      </w:r>
      <w:r>
        <w:rPr>
          <w:rtl/>
        </w:rPr>
        <w:t>–</w:t>
      </w:r>
      <w:r>
        <w:rPr>
          <w:rFonts w:hint="cs"/>
          <w:rtl/>
        </w:rPr>
        <w:t xml:space="preserve"> אם בעולם הזה, החומרי, אנו רואים שהקב"ה יכול 'לשכון בתוכנו', ק</w:t>
      </w:r>
      <w:r w:rsidR="00DC42E9">
        <w:rPr>
          <w:rFonts w:hint="cs"/>
          <w:rtl/>
        </w:rPr>
        <w:t xml:space="preserve">ל וחומר </w:t>
      </w:r>
      <w:r>
        <w:rPr>
          <w:rFonts w:hint="cs"/>
          <w:rtl/>
        </w:rPr>
        <w:t xml:space="preserve">שהדבר נכון לגבי העולם הבא, הרוחני. </w:t>
      </w:r>
    </w:p>
    <w:p w14:paraId="5A8F81D1" w14:textId="368E7C12" w:rsidR="003825CD" w:rsidRDefault="003825CD" w:rsidP="00DC42E9">
      <w:pPr>
        <w:rPr>
          <w:rtl/>
        </w:rPr>
      </w:pPr>
      <w:r>
        <w:rPr>
          <w:rFonts w:hint="cs"/>
          <w:rtl/>
        </w:rPr>
        <w:t xml:space="preserve">למעשה, היחס בין שתי תשובות אלו הולם את אותה התבנית </w:t>
      </w:r>
      <w:r w:rsidR="00DC42E9">
        <w:rPr>
          <w:rFonts w:hint="cs"/>
          <w:rtl/>
        </w:rPr>
        <w:t>ש</w:t>
      </w:r>
      <w:r>
        <w:rPr>
          <w:rFonts w:hint="cs"/>
          <w:rtl/>
        </w:rPr>
        <w:t>ראינו לעיל לגבי יחסו של רבי יהודה הלוי לעולם הבא בכלל. מחד</w:t>
      </w:r>
      <w:r w:rsidR="00DC42E9">
        <w:rPr>
          <w:rFonts w:hint="cs"/>
          <w:rtl/>
        </w:rPr>
        <w:t xml:space="preserve"> גיסא</w:t>
      </w:r>
      <w:r>
        <w:rPr>
          <w:rFonts w:hint="cs"/>
          <w:rtl/>
        </w:rPr>
        <w:t xml:space="preserve">, הנבואה מספקת </w:t>
      </w:r>
      <w:r w:rsidR="00DC42E9">
        <w:rPr>
          <w:rFonts w:hint="cs"/>
          <w:rtl/>
        </w:rPr>
        <w:t>ודאות מספקת</w:t>
      </w:r>
      <w:r>
        <w:rPr>
          <w:rFonts w:hint="cs"/>
          <w:rtl/>
        </w:rPr>
        <w:t xml:space="preserve"> לגבי קרבתנו </w:t>
      </w:r>
      <w:r w:rsidR="00DC42E9">
        <w:rPr>
          <w:rFonts w:hint="cs"/>
          <w:rtl/>
        </w:rPr>
        <w:t xml:space="preserve">לה' </w:t>
      </w:r>
      <w:r>
        <w:rPr>
          <w:rFonts w:hint="cs"/>
          <w:rtl/>
        </w:rPr>
        <w:t>בעולם הבא; מאידך</w:t>
      </w:r>
      <w:r w:rsidR="00DC42E9">
        <w:rPr>
          <w:rFonts w:hint="cs"/>
          <w:rtl/>
        </w:rPr>
        <w:t xml:space="preserve"> גיסא</w:t>
      </w:r>
      <w:r>
        <w:rPr>
          <w:rFonts w:hint="cs"/>
          <w:rtl/>
        </w:rPr>
        <w:t xml:space="preserve">, מאחר ולפנינו היקש, הרי שהתורה, ולהבדיל רבי יהודה הלוי, מצניעים את העיסוק בו. מוטב לעסוק </w:t>
      </w:r>
      <w:r w:rsidR="00DC42E9">
        <w:rPr>
          <w:rFonts w:hint="cs"/>
          <w:rtl/>
        </w:rPr>
        <w:t>בדברים המונחים לפנינו ונגלים לעיני</w:t>
      </w:r>
      <w:r>
        <w:rPr>
          <w:rFonts w:hint="cs"/>
          <w:rtl/>
        </w:rPr>
        <w:t>נו הגשמיות או השכליות, מאשר בדברים, שאף אם אנו בטוחים לגביהם, אין לנו דרך לגשת אליהם באופן ישיר.</w:t>
      </w:r>
    </w:p>
    <w:p w14:paraId="4E740864" w14:textId="77777777" w:rsidR="003825CD" w:rsidRDefault="003825CD" w:rsidP="003825CD">
      <w:pPr>
        <w:rPr>
          <w:rtl/>
        </w:rPr>
      </w:pPr>
    </w:p>
    <w:p w14:paraId="5472B985" w14:textId="77777777" w:rsidR="003825CD" w:rsidRPr="001B699E" w:rsidRDefault="003825CD" w:rsidP="001B699E">
      <w:pPr>
        <w:jc w:val="center"/>
        <w:rPr>
          <w:rFonts w:cs="Arial"/>
          <w:b/>
          <w:bCs/>
          <w:smallCaps/>
          <w:sz w:val="21"/>
          <w:rtl/>
        </w:rPr>
      </w:pPr>
      <w:r w:rsidRPr="001B699E">
        <w:rPr>
          <w:rFonts w:cs="Arial" w:hint="cs"/>
          <w:b/>
          <w:bCs/>
          <w:smallCaps/>
          <w:sz w:val="21"/>
          <w:rtl/>
        </w:rPr>
        <w:t>המשמעות לחיים הדתיים</w:t>
      </w:r>
    </w:p>
    <w:p w14:paraId="5044114F" w14:textId="55BCD42E" w:rsidR="003825CD" w:rsidRDefault="003825CD" w:rsidP="00AC2714">
      <w:pPr>
        <w:rPr>
          <w:rtl/>
        </w:rPr>
      </w:pPr>
      <w:r>
        <w:rPr>
          <w:rFonts w:hint="cs"/>
          <w:rtl/>
        </w:rPr>
        <w:t xml:space="preserve">ניתן לומר, כי בדבריו מניח רבי יהודה הלוי יסוד נוסף לאמינותה של התורה </w:t>
      </w:r>
      <w:r>
        <w:rPr>
          <w:rtl/>
        </w:rPr>
        <w:t>–</w:t>
      </w:r>
      <w:r>
        <w:rPr>
          <w:rFonts w:hint="cs"/>
          <w:rtl/>
        </w:rPr>
        <w:t xml:space="preserve"> אין היא מרחיקה עדותה לדבר על החיים שלאחר </w:t>
      </w:r>
      <w:r w:rsidR="00AC2714">
        <w:rPr>
          <w:rFonts w:hint="cs"/>
          <w:rtl/>
        </w:rPr>
        <w:t xml:space="preserve">המוות, עדות שאי אתה יכול </w:t>
      </w:r>
      <w:proofErr w:type="spellStart"/>
      <w:r w:rsidR="00AC2714">
        <w:rPr>
          <w:rFonts w:hint="cs"/>
          <w:rtl/>
        </w:rPr>
        <w:t>להזימה</w:t>
      </w:r>
      <w:proofErr w:type="spellEnd"/>
      <w:r w:rsidR="00AC2714">
        <w:rPr>
          <w:rFonts w:hint="cs"/>
          <w:rtl/>
        </w:rPr>
        <w:t>.</w:t>
      </w:r>
      <w:r>
        <w:rPr>
          <w:rFonts w:hint="cs"/>
          <w:rtl/>
        </w:rPr>
        <w:t xml:space="preserve"> </w:t>
      </w:r>
      <w:r w:rsidR="00AC2714">
        <w:rPr>
          <w:rFonts w:hint="cs"/>
          <w:rtl/>
        </w:rPr>
        <w:t xml:space="preserve">התורה </w:t>
      </w:r>
      <w:r>
        <w:rPr>
          <w:rFonts w:hint="cs"/>
          <w:rtl/>
        </w:rPr>
        <w:t>בוחרת להצ</w:t>
      </w:r>
      <w:r w:rsidR="00AC2714">
        <w:rPr>
          <w:rFonts w:hint="cs"/>
          <w:rtl/>
        </w:rPr>
        <w:t>ביע על טובות ושכר בעל מ</w:t>
      </w:r>
      <w:r>
        <w:rPr>
          <w:rFonts w:hint="cs"/>
          <w:rtl/>
        </w:rPr>
        <w:t>מדים גשמיים בעולם הזה, אשר ממנו יכול המעוניין בכך להסיק לגבי השכר בעולם הבא.</w:t>
      </w:r>
    </w:p>
    <w:p w14:paraId="5E58F66A" w14:textId="60F96A99" w:rsidR="003825CD" w:rsidRPr="0017798E" w:rsidRDefault="003825CD" w:rsidP="00AC2714">
      <w:r>
        <w:rPr>
          <w:rFonts w:hint="cs"/>
          <w:rtl/>
        </w:rPr>
        <w:t xml:space="preserve">אך מעבר לזה, </w:t>
      </w:r>
      <w:r w:rsidR="00AC2714">
        <w:rPr>
          <w:rFonts w:hint="cs"/>
          <w:rtl/>
        </w:rPr>
        <w:t xml:space="preserve">זו </w:t>
      </w:r>
      <w:r>
        <w:rPr>
          <w:rFonts w:hint="cs"/>
          <w:rtl/>
        </w:rPr>
        <w:t>גם אמירה בעלת משמעות גדולה לחיים הדתיים, אשר הולמת יפה את גישתו של רבי יהודה הלוי כפי שראינו עד עתה. למעשה, החבר ממליץ למלך שלא למקד את מאווי</w:t>
      </w:r>
      <w:r w:rsidR="00AC2714">
        <w:rPr>
          <w:rFonts w:hint="cs"/>
          <w:rtl/>
        </w:rPr>
        <w:t>י</w:t>
      </w:r>
      <w:r>
        <w:rPr>
          <w:rFonts w:hint="cs"/>
          <w:rtl/>
        </w:rPr>
        <w:t>ו הרוחניים בעולם שלאחר המוות. התורה מכוונ</w:t>
      </w:r>
      <w:r w:rsidR="00AC2714">
        <w:rPr>
          <w:rFonts w:hint="cs"/>
          <w:rtl/>
        </w:rPr>
        <w:t>ת את דבריה לעולם הזה, ועובדי ה'</w:t>
      </w:r>
      <w:r>
        <w:rPr>
          <w:rFonts w:hint="cs"/>
          <w:rtl/>
        </w:rPr>
        <w:t xml:space="preserve"> צריכים לשים את מעשיהם בעולם הזה בראש מעייניהם. ההנחה כי השאלה 'מה חובתי ואעשנה' צריכה לקדום לשאלת ה'יעודים השמנ</w:t>
      </w:r>
      <w:r w:rsidR="00AC2714">
        <w:rPr>
          <w:rFonts w:hint="cs"/>
          <w:rtl/>
        </w:rPr>
        <w:t>ים והדשנים' ברורה לכל הוגה שהוא.</w:t>
      </w:r>
      <w:r>
        <w:rPr>
          <w:rFonts w:hint="cs"/>
          <w:rtl/>
        </w:rPr>
        <w:t xml:space="preserve"> אך טענתו של רבי יהודה הלוי</w:t>
      </w:r>
      <w:r w:rsidR="00AC2714">
        <w:rPr>
          <w:rFonts w:hint="cs"/>
          <w:rtl/>
        </w:rPr>
        <w:t xml:space="preserve"> היא</w:t>
      </w:r>
      <w:r>
        <w:rPr>
          <w:rFonts w:hint="cs"/>
          <w:rtl/>
        </w:rPr>
        <w:t xml:space="preserve">, כי אף כשאנו עוסקים בייעודים, </w:t>
      </w:r>
      <w:r w:rsidR="00AC2714">
        <w:rPr>
          <w:rFonts w:hint="cs"/>
          <w:rtl/>
        </w:rPr>
        <w:t>י</w:t>
      </w:r>
      <w:r>
        <w:rPr>
          <w:rFonts w:hint="cs"/>
          <w:rtl/>
        </w:rPr>
        <w:t>יעודי ה</w:t>
      </w:r>
      <w:r w:rsidR="00AC2714">
        <w:rPr>
          <w:rFonts w:hint="cs"/>
          <w:rtl/>
        </w:rPr>
        <w:t>עולם הזה הם שצריכים לעמוד במרכז.</w:t>
      </w:r>
      <w:r>
        <w:rPr>
          <w:rFonts w:hint="cs"/>
          <w:rtl/>
        </w:rPr>
        <w:t xml:space="preserve"> תכלית עבודתנו אינה</w:t>
      </w:r>
      <w:r w:rsidRPr="00AE1920">
        <w:rPr>
          <w:rFonts w:hint="cs"/>
          <w:rtl/>
        </w:rPr>
        <w:t xml:space="preserve"> "אל</w:t>
      </w:r>
      <w:r w:rsidRPr="00AE1920">
        <w:rPr>
          <w:rtl/>
        </w:rPr>
        <w:t xml:space="preserve"> </w:t>
      </w:r>
      <w:r w:rsidRPr="00AE1920">
        <w:rPr>
          <w:rFonts w:hint="cs"/>
          <w:rtl/>
        </w:rPr>
        <w:t>גנות</w:t>
      </w:r>
      <w:r w:rsidRPr="00AE1920">
        <w:rPr>
          <w:rtl/>
        </w:rPr>
        <w:t xml:space="preserve"> </w:t>
      </w:r>
      <w:r w:rsidRPr="00AE1920">
        <w:rPr>
          <w:rFonts w:hint="cs"/>
          <w:rtl/>
        </w:rPr>
        <w:t>והנאות</w:t>
      </w:r>
      <w:r w:rsidR="00AC2714">
        <w:rPr>
          <w:rFonts w:hint="cs"/>
          <w:rtl/>
        </w:rPr>
        <w:t>" אלא "</w:t>
      </w:r>
      <w:r w:rsidRPr="00AE1920">
        <w:rPr>
          <w:rFonts w:hint="cs"/>
          <w:rtl/>
        </w:rPr>
        <w:t>הוא</w:t>
      </w:r>
      <w:r w:rsidRPr="00AE1920">
        <w:rPr>
          <w:rtl/>
        </w:rPr>
        <w:t xml:space="preserve"> </w:t>
      </w:r>
      <w:r w:rsidRPr="00AE1920">
        <w:rPr>
          <w:rFonts w:hint="cs"/>
          <w:rtl/>
        </w:rPr>
        <w:t>אומר</w:t>
      </w:r>
      <w:r w:rsidRPr="00AE1920">
        <w:rPr>
          <w:rtl/>
        </w:rPr>
        <w:t xml:space="preserve"> </w:t>
      </w:r>
      <w:r w:rsidRPr="00AE1920">
        <w:rPr>
          <w:rFonts w:hint="cs"/>
          <w:rtl/>
        </w:rPr>
        <w:t>ואתם</w:t>
      </w:r>
      <w:r w:rsidRPr="00AE1920">
        <w:rPr>
          <w:rtl/>
        </w:rPr>
        <w:t xml:space="preserve"> </w:t>
      </w:r>
      <w:r w:rsidRPr="00AE1920">
        <w:rPr>
          <w:rFonts w:hint="cs"/>
          <w:rtl/>
        </w:rPr>
        <w:t>תהיו</w:t>
      </w:r>
      <w:r w:rsidRPr="00AE1920">
        <w:rPr>
          <w:rtl/>
        </w:rPr>
        <w:t xml:space="preserve"> </w:t>
      </w:r>
      <w:r w:rsidRPr="00AE1920">
        <w:rPr>
          <w:rFonts w:hint="cs"/>
          <w:rtl/>
        </w:rPr>
        <w:t>לי</w:t>
      </w:r>
      <w:r w:rsidRPr="00AE1920">
        <w:rPr>
          <w:rtl/>
        </w:rPr>
        <w:t xml:space="preserve"> </w:t>
      </w:r>
      <w:r w:rsidRPr="00AE1920">
        <w:rPr>
          <w:rFonts w:hint="cs"/>
          <w:rtl/>
        </w:rPr>
        <w:t>לעם</w:t>
      </w:r>
      <w:r w:rsidRPr="00AE1920">
        <w:rPr>
          <w:rtl/>
        </w:rPr>
        <w:t xml:space="preserve"> </w:t>
      </w:r>
      <w:r w:rsidRPr="00AE1920">
        <w:rPr>
          <w:rFonts w:hint="cs"/>
          <w:rtl/>
        </w:rPr>
        <w:t>ואני</w:t>
      </w:r>
      <w:r w:rsidRPr="00AE1920">
        <w:rPr>
          <w:rtl/>
        </w:rPr>
        <w:t xml:space="preserve"> </w:t>
      </w:r>
      <w:r w:rsidRPr="00AE1920">
        <w:rPr>
          <w:rFonts w:hint="cs"/>
          <w:rtl/>
        </w:rPr>
        <w:t>אהיה</w:t>
      </w:r>
      <w:r w:rsidRPr="00AE1920">
        <w:rPr>
          <w:rtl/>
        </w:rPr>
        <w:t xml:space="preserve"> </w:t>
      </w:r>
      <w:r w:rsidRPr="00AE1920">
        <w:rPr>
          <w:rFonts w:hint="cs"/>
          <w:rtl/>
        </w:rPr>
        <w:t>לכם</w:t>
      </w:r>
      <w:r w:rsidRPr="00AE1920">
        <w:rPr>
          <w:rtl/>
        </w:rPr>
        <w:t xml:space="preserve"> </w:t>
      </w:r>
      <w:r w:rsidRPr="00AE1920">
        <w:rPr>
          <w:rFonts w:hint="cs"/>
          <w:rtl/>
        </w:rPr>
        <w:t>לא-להים</w:t>
      </w:r>
      <w:r w:rsidRPr="00AE1920">
        <w:rPr>
          <w:rtl/>
        </w:rPr>
        <w:t xml:space="preserve"> </w:t>
      </w:r>
      <w:r w:rsidRPr="00AE1920">
        <w:rPr>
          <w:rFonts w:hint="cs"/>
          <w:rtl/>
        </w:rPr>
        <w:t>מנהיג</w:t>
      </w:r>
      <w:r w:rsidRPr="00AE1920">
        <w:rPr>
          <w:rtl/>
        </w:rPr>
        <w:t xml:space="preserve"> </w:t>
      </w:r>
      <w:r w:rsidRPr="00AE1920">
        <w:rPr>
          <w:rFonts w:hint="cs"/>
          <w:rtl/>
        </w:rPr>
        <w:t xml:space="preserve">אתכם... </w:t>
      </w:r>
      <w:r>
        <w:rPr>
          <w:rFonts w:hint="cs"/>
          <w:rtl/>
        </w:rPr>
        <w:t xml:space="preserve">וייעודי המצוות כולן כולל אותן עיקר אחד, והוא יחול קרבת א-להים... ולפיכך מי שהגיע אל המדרגה הזאת לא יירא מן </w:t>
      </w:r>
      <w:proofErr w:type="spellStart"/>
      <w:r>
        <w:rPr>
          <w:rFonts w:hint="cs"/>
          <w:rtl/>
        </w:rPr>
        <w:t>המות</w:t>
      </w:r>
      <w:proofErr w:type="spellEnd"/>
      <w:r>
        <w:rPr>
          <w:rFonts w:hint="cs"/>
          <w:rtl/>
        </w:rPr>
        <w:t xml:space="preserve">" </w:t>
      </w:r>
      <w:r w:rsidRPr="00AC2714">
        <w:rPr>
          <w:rFonts w:hint="cs"/>
          <w:sz w:val="16"/>
          <w:szCs w:val="17"/>
          <w:rtl/>
        </w:rPr>
        <w:t>(קט)</w:t>
      </w:r>
      <w:r>
        <w:rPr>
          <w:rFonts w:hint="cs"/>
          <w:rtl/>
        </w:rPr>
        <w:t>.</w:t>
      </w:r>
    </w:p>
    <w:p w14:paraId="722AA742" w14:textId="77777777" w:rsidR="0004489A" w:rsidRDefault="0004489A" w:rsidP="003C4037">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הוירטואלי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The Israel Koschitzky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הוירטואלי: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tbl>
    <w:p w14:paraId="24B9F2E0" w14:textId="77777777" w:rsidR="00DB34D5" w:rsidRPr="00663CC8" w:rsidRDefault="00DB34D5" w:rsidP="00663CC8">
      <w:pPr>
        <w:rPr>
          <w:rtl/>
        </w:rPr>
      </w:pPr>
      <w:bookmarkStart w:id="0" w:name="_GoBack"/>
      <w:bookmarkEnd w:id="0"/>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19621" w15:done="0"/>
  <w15:commentEx w15:paraId="524A68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0DA1" w14:textId="77777777" w:rsidR="00350E50" w:rsidRDefault="00350E50">
      <w:r>
        <w:separator/>
      </w:r>
    </w:p>
    <w:p w14:paraId="2706B907" w14:textId="77777777" w:rsidR="00350E50" w:rsidRDefault="00350E50"/>
  </w:endnote>
  <w:endnote w:type="continuationSeparator" w:id="0">
    <w:p w14:paraId="1C8245D1" w14:textId="77777777" w:rsidR="00350E50" w:rsidRDefault="00350E50">
      <w:r>
        <w:continuationSeparator/>
      </w:r>
    </w:p>
    <w:p w14:paraId="4CBD2816" w14:textId="77777777" w:rsidR="00350E50" w:rsidRDefault="0035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ACB67" w14:textId="77777777" w:rsidR="00350E50" w:rsidRDefault="00350E50">
      <w:r>
        <w:separator/>
      </w:r>
    </w:p>
    <w:p w14:paraId="3B7A0A18" w14:textId="77777777" w:rsidR="00350E50" w:rsidRDefault="00350E50"/>
  </w:footnote>
  <w:footnote w:type="continuationSeparator" w:id="0">
    <w:p w14:paraId="21B77515" w14:textId="77777777" w:rsidR="00350E50" w:rsidRDefault="00350E50">
      <w:r>
        <w:continuationSeparator/>
      </w:r>
    </w:p>
    <w:p w14:paraId="16136CEA" w14:textId="77777777" w:rsidR="00350E50" w:rsidRDefault="00350E50"/>
  </w:footnote>
  <w:footnote w:id="1">
    <w:p w14:paraId="779DC785" w14:textId="0997B3B4" w:rsidR="003825CD" w:rsidRDefault="003825CD">
      <w:pPr>
        <w:pStyle w:val="a5"/>
      </w:pPr>
      <w:r>
        <w:rPr>
          <w:rStyle w:val="a6"/>
        </w:rPr>
        <w:footnoteRef/>
      </w:r>
      <w:r>
        <w:rPr>
          <w:rtl/>
        </w:rPr>
        <w:t xml:space="preserve"> </w:t>
      </w:r>
      <w:r>
        <w:rPr>
          <w:rFonts w:hint="cs"/>
          <w:rtl/>
        </w:rPr>
        <w:tab/>
      </w:r>
      <w:r w:rsidRPr="003825CD">
        <w:rPr>
          <w:rtl/>
        </w:rPr>
        <w:t>כידוע, הראשונים דנו רבות במובנו של המושג 'עולם הבא' בדברי חז"ל, כבא לציין את העולם שלאחר המוות או את ע</w:t>
      </w:r>
      <w:r w:rsidR="007D4C86">
        <w:rPr>
          <w:rtl/>
        </w:rPr>
        <w:t>ולם הגאולה (לדיון זה ראה, לדוגמ</w:t>
      </w:r>
      <w:r w:rsidR="007D4C86">
        <w:rPr>
          <w:rFonts w:hint="cs"/>
          <w:rtl/>
        </w:rPr>
        <w:t>ה</w:t>
      </w:r>
      <w:r w:rsidRPr="003825CD">
        <w:rPr>
          <w:rtl/>
        </w:rPr>
        <w:t>, ב'שער הגמול' לרמב"ן). מתוך הקשר הדברים אצלנו, ברור כי הכוונה לעולם שלאחר המוות. נשוב לסוגיה זו בשיעור הבא, אי"ה.</w:t>
      </w:r>
    </w:p>
  </w:footnote>
  <w:footnote w:id="2">
    <w:p w14:paraId="59EA574B" w14:textId="6987D079" w:rsidR="003825CD" w:rsidRDefault="003825CD" w:rsidP="008C7CBF">
      <w:pPr>
        <w:pStyle w:val="a5"/>
        <w:rPr>
          <w:rtl/>
        </w:rPr>
      </w:pPr>
      <w:r>
        <w:rPr>
          <w:rStyle w:val="a6"/>
        </w:rPr>
        <w:footnoteRef/>
      </w:r>
      <w:r>
        <w:rPr>
          <w:rtl/>
        </w:rPr>
        <w:t xml:space="preserve"> </w:t>
      </w:r>
      <w:r>
        <w:rPr>
          <w:rFonts w:hint="cs"/>
          <w:rtl/>
        </w:rPr>
        <w:tab/>
      </w:r>
      <w:r w:rsidR="008C7CBF">
        <w:rPr>
          <w:rFonts w:hint="cs"/>
          <w:rtl/>
        </w:rPr>
        <w:t xml:space="preserve">אפשר </w:t>
      </w:r>
      <w:r w:rsidRPr="003825CD">
        <w:rPr>
          <w:rtl/>
        </w:rPr>
        <w:t xml:space="preserve">היה להציע כי החבר העדיף להצניע את דעתו לגבי עליונות ישראל בעולם הבא, על מנת שלא להעליב את המלך הגוי (בינתיים) </w:t>
      </w:r>
      <w:r w:rsidR="008C7CBF">
        <w:rPr>
          <w:rFonts w:hint="cs"/>
          <w:rtl/>
        </w:rPr>
        <w:t xml:space="preserve">שאתו </w:t>
      </w:r>
      <w:r w:rsidRPr="003825CD">
        <w:rPr>
          <w:rtl/>
        </w:rPr>
        <w:t>הוא מדבר – אך לא מצינו רגישות כזו לעיל, ודומה שאם יכ</w:t>
      </w:r>
      <w:r w:rsidR="008C7CBF">
        <w:rPr>
          <w:rFonts w:hint="cs"/>
          <w:rtl/>
        </w:rPr>
        <w:t>ו</w:t>
      </w:r>
      <w:r w:rsidRPr="003825CD">
        <w:rPr>
          <w:rtl/>
        </w:rPr>
        <w:t>ל</w:t>
      </w:r>
      <w:r w:rsidR="008C7CBF">
        <w:rPr>
          <w:rFonts w:hint="cs"/>
          <w:rtl/>
        </w:rPr>
        <w:t xml:space="preserve"> היה</w:t>
      </w:r>
      <w:r w:rsidRPr="003825CD">
        <w:rPr>
          <w:rtl/>
        </w:rPr>
        <w:t xml:space="preserve"> החבר לטעון כי מעלתם של ישראל מהגויים היא כמעלת האדם מן הבהמות יכול היה גם לטעון באופן תקיף יותר על יתרונם של היהודים בעולם הבא.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ברוך וינטרוב</w:t>
          </w:r>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B4557">
      <w:rPr>
        <w:b/>
        <w:bCs/>
        <w:noProof/>
        <w:rtl/>
      </w:rPr>
      <w:t>3</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5147E"/>
    <w:multiLevelType w:val="hybridMultilevel"/>
    <w:tmpl w:val="6C9E5418"/>
    <w:lvl w:ilvl="0" w:tplc="1262A0E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נדב כדורי">
    <w15:presenceInfo w15:providerId="None" w15:userId="נדב כדור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781"/>
    <w:rsid w:val="00023F64"/>
    <w:rsid w:val="00024508"/>
    <w:rsid w:val="0002509D"/>
    <w:rsid w:val="00025115"/>
    <w:rsid w:val="0002641E"/>
    <w:rsid w:val="0002646F"/>
    <w:rsid w:val="000267EC"/>
    <w:rsid w:val="000268DE"/>
    <w:rsid w:val="00026DEE"/>
    <w:rsid w:val="000276FE"/>
    <w:rsid w:val="00030804"/>
    <w:rsid w:val="00030F00"/>
    <w:rsid w:val="00033174"/>
    <w:rsid w:val="0003328F"/>
    <w:rsid w:val="00033621"/>
    <w:rsid w:val="00033AF0"/>
    <w:rsid w:val="0003442C"/>
    <w:rsid w:val="0003486E"/>
    <w:rsid w:val="00034DC7"/>
    <w:rsid w:val="00035D04"/>
    <w:rsid w:val="0003706C"/>
    <w:rsid w:val="00037BD1"/>
    <w:rsid w:val="00037CC1"/>
    <w:rsid w:val="00041A5A"/>
    <w:rsid w:val="00042462"/>
    <w:rsid w:val="00042556"/>
    <w:rsid w:val="000426BF"/>
    <w:rsid w:val="000428BC"/>
    <w:rsid w:val="00043221"/>
    <w:rsid w:val="00044028"/>
    <w:rsid w:val="0004422D"/>
    <w:rsid w:val="0004489A"/>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1259"/>
    <w:rsid w:val="00074378"/>
    <w:rsid w:val="0007446B"/>
    <w:rsid w:val="000744E0"/>
    <w:rsid w:val="00074C51"/>
    <w:rsid w:val="00075784"/>
    <w:rsid w:val="00075DD0"/>
    <w:rsid w:val="00075E18"/>
    <w:rsid w:val="00076AE0"/>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2EC3"/>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699E"/>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2203"/>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25E"/>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57E90"/>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ADD"/>
    <w:rsid w:val="00346E55"/>
    <w:rsid w:val="003477E8"/>
    <w:rsid w:val="00347B69"/>
    <w:rsid w:val="00347DAA"/>
    <w:rsid w:val="003502BC"/>
    <w:rsid w:val="003502C3"/>
    <w:rsid w:val="003502CF"/>
    <w:rsid w:val="00350E50"/>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5CD"/>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037"/>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D75"/>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24A"/>
    <w:rsid w:val="00434523"/>
    <w:rsid w:val="004351C2"/>
    <w:rsid w:val="0043544E"/>
    <w:rsid w:val="0043556C"/>
    <w:rsid w:val="00435896"/>
    <w:rsid w:val="0043610B"/>
    <w:rsid w:val="004367D8"/>
    <w:rsid w:val="00436EF9"/>
    <w:rsid w:val="004373E0"/>
    <w:rsid w:val="00437C7A"/>
    <w:rsid w:val="0044221F"/>
    <w:rsid w:val="004434E7"/>
    <w:rsid w:val="00444263"/>
    <w:rsid w:val="004446B1"/>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80C"/>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112"/>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511"/>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906"/>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67F90"/>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051"/>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5F19"/>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5FD0"/>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73F"/>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46A8"/>
    <w:rsid w:val="00745014"/>
    <w:rsid w:val="00746453"/>
    <w:rsid w:val="007465F3"/>
    <w:rsid w:val="00746B58"/>
    <w:rsid w:val="00746F5B"/>
    <w:rsid w:val="00747629"/>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3B23"/>
    <w:rsid w:val="007D426D"/>
    <w:rsid w:val="007D444F"/>
    <w:rsid w:val="007D447A"/>
    <w:rsid w:val="007D4C86"/>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5E4"/>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1B99"/>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C7CBF"/>
    <w:rsid w:val="008D0F87"/>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4B1D"/>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0F3"/>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2C4"/>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2714"/>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1920"/>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65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43A4"/>
    <w:rsid w:val="00BB4557"/>
    <w:rsid w:val="00BB541D"/>
    <w:rsid w:val="00BB59A5"/>
    <w:rsid w:val="00BB59E5"/>
    <w:rsid w:val="00BB5E5E"/>
    <w:rsid w:val="00BB61AC"/>
    <w:rsid w:val="00BB697B"/>
    <w:rsid w:val="00BB770D"/>
    <w:rsid w:val="00BB776C"/>
    <w:rsid w:val="00BB7E10"/>
    <w:rsid w:val="00BC0330"/>
    <w:rsid w:val="00BC10B5"/>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D7E65"/>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07EAA"/>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45E1"/>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4B4"/>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C9"/>
    <w:rsid w:val="00C819FF"/>
    <w:rsid w:val="00C82585"/>
    <w:rsid w:val="00C82D80"/>
    <w:rsid w:val="00C852D7"/>
    <w:rsid w:val="00C858A0"/>
    <w:rsid w:val="00C85B63"/>
    <w:rsid w:val="00C85CC5"/>
    <w:rsid w:val="00C8626E"/>
    <w:rsid w:val="00C864CB"/>
    <w:rsid w:val="00C8693C"/>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16719"/>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862"/>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12"/>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42E9"/>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51C4"/>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36C"/>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 w:type="paragraph" w:styleId="afff3">
    <w:name w:val="No Spacing"/>
    <w:uiPriority w:val="1"/>
    <w:qFormat/>
    <w:rsid w:val="00AE1920"/>
    <w:pPr>
      <w:autoSpaceDE w:val="0"/>
      <w:autoSpaceDN w:val="0"/>
      <w:bidi/>
      <w:jc w:val="both"/>
    </w:pPr>
    <w:rPr>
      <w:rFonts w:cs="Narkisim"/>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 w:type="paragraph" w:styleId="afff3">
    <w:name w:val="No Spacing"/>
    <w:uiPriority w:val="1"/>
    <w:qFormat/>
    <w:rsid w:val="00AE1920"/>
    <w:pPr>
      <w:autoSpaceDE w:val="0"/>
      <w:autoSpaceDN w:val="0"/>
      <w:bidi/>
      <w:jc w:val="both"/>
    </w:pPr>
    <w:rPr>
      <w:rFonts w:cs="Narkisim"/>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5847455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42E6-9B68-473C-9671-B25BF875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1645</Words>
  <Characters>7779</Characters>
  <Application>Microsoft Office Word</Application>
  <DocSecurity>0</DocSecurity>
  <Lines>707</Lines>
  <Paragraphs>523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23</cp:revision>
  <cp:lastPrinted>2010-11-25T11:44:00Z</cp:lastPrinted>
  <dcterms:created xsi:type="dcterms:W3CDTF">2015-03-01T19:29:00Z</dcterms:created>
  <dcterms:modified xsi:type="dcterms:W3CDTF">2015-03-19T10:00:00Z</dcterms:modified>
</cp:coreProperties>
</file>