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A" w:rsidRPr="008D3527" w:rsidRDefault="00373DAA" w:rsidP="00E4230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YESHIVAT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HAR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ETZION</w:t>
      </w:r>
    </w:p>
    <w:p w:rsidR="00373DAA" w:rsidRPr="008D3527" w:rsidRDefault="00373DAA" w:rsidP="00E4230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ISRAEL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KOSCHITZKY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VIRTUAL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BEIT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MIDRASH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(VBM)</w:t>
      </w:r>
    </w:p>
    <w:p w:rsidR="00373DAA" w:rsidRPr="008D3527" w:rsidRDefault="00373DAA" w:rsidP="00E4230C">
      <w:pPr>
        <w:pStyle w:val="style2"/>
        <w:spacing w:before="0" w:beforeAutospacing="0" w:after="0" w:afterAutospacing="0"/>
        <w:rPr>
          <w:rFonts w:ascii="Arial" w:hAnsi="Arial" w:cs="Arial"/>
        </w:rPr>
      </w:pPr>
      <w:r w:rsidRPr="008D3527">
        <w:rPr>
          <w:rFonts w:ascii="Arial" w:hAnsi="Arial" w:cs="Arial"/>
          <w:caps/>
          <w:lang w:eastAsia="en-GB"/>
        </w:rPr>
        <w:t>*********************************************************</w:t>
      </w:r>
    </w:p>
    <w:p w:rsidR="00373DAA" w:rsidRPr="008D3527" w:rsidRDefault="00373DAA" w:rsidP="00E4230C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3DAA" w:rsidRPr="008D3527" w:rsidRDefault="00373DAA" w:rsidP="00E4230C">
      <w:pPr>
        <w:tabs>
          <w:tab w:val="left" w:pos="301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LIFECYCLES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–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HILKHOT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noProof/>
          <w:sz w:val="24"/>
          <w:szCs w:val="24"/>
        </w:rPr>
        <w:t>ISHUT</w:t>
      </w:r>
    </w:p>
    <w:p w:rsidR="00373DAA" w:rsidRPr="008D3527" w:rsidRDefault="00373DAA" w:rsidP="00E423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Rav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David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Brofsky</w:t>
      </w:r>
    </w:p>
    <w:p w:rsidR="000D31B5" w:rsidRDefault="000D31B5" w:rsidP="00E423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56B3" w:rsidRPr="008D3527" w:rsidRDefault="003F56B3" w:rsidP="00E423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3DAA" w:rsidRPr="008D3527" w:rsidRDefault="00B42CBF" w:rsidP="00E423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3A1A">
        <w:rPr>
          <w:rFonts w:ascii="Arial" w:hAnsi="Arial" w:cs="Arial"/>
          <w:b/>
          <w:bCs/>
          <w:sz w:val="24"/>
          <w:szCs w:val="24"/>
        </w:rPr>
        <w:t>Shiur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#2</w:t>
      </w:r>
      <w:r w:rsidR="00B76529">
        <w:rPr>
          <w:rFonts w:ascii="Arial" w:hAnsi="Arial" w:cs="Arial"/>
          <w:b/>
          <w:bCs/>
          <w:sz w:val="24"/>
          <w:szCs w:val="24"/>
        </w:rPr>
        <w:t>2</w:t>
      </w:r>
      <w:r w:rsidR="009C7534" w:rsidRPr="008D3527">
        <w:rPr>
          <w:rFonts w:ascii="Arial" w:hAnsi="Arial" w:cs="Arial"/>
          <w:b/>
          <w:bCs/>
          <w:sz w:val="24"/>
          <w:szCs w:val="24"/>
        </w:rPr>
        <w:t>: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Laws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of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the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="00373DAA" w:rsidRPr="008D3527">
        <w:rPr>
          <w:rFonts w:ascii="Arial" w:hAnsi="Arial" w:cs="Arial"/>
          <w:b/>
          <w:bCs/>
          <w:sz w:val="24"/>
          <w:szCs w:val="24"/>
        </w:rPr>
        <w:t>Wedding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="00625B86" w:rsidRPr="008D3527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2E2579">
        <w:rPr>
          <w:rFonts w:ascii="Arial" w:hAnsi="Arial" w:cs="Arial"/>
          <w:b/>
          <w:bCs/>
          <w:sz w:val="24"/>
          <w:szCs w:val="24"/>
        </w:rPr>
        <w:t>2</w:t>
      </w:r>
      <w:r w:rsidR="00625B86" w:rsidRPr="008D3527">
        <w:rPr>
          <w:rFonts w:ascii="Arial" w:hAnsi="Arial" w:cs="Arial"/>
          <w:b/>
          <w:bCs/>
          <w:sz w:val="24"/>
          <w:szCs w:val="24"/>
        </w:rPr>
        <w:t>)</w:t>
      </w:r>
    </w:p>
    <w:p w:rsidR="00373DAA" w:rsidRPr="008D3527" w:rsidRDefault="00373DAA" w:rsidP="00E423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527">
        <w:rPr>
          <w:rFonts w:ascii="Arial" w:hAnsi="Arial" w:cs="Arial"/>
          <w:b/>
          <w:bCs/>
          <w:sz w:val="24"/>
          <w:szCs w:val="24"/>
        </w:rPr>
        <w:t>Customs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and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Laws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of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the</w:t>
      </w:r>
      <w:r w:rsidR="00346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3527">
        <w:rPr>
          <w:rFonts w:ascii="Arial" w:hAnsi="Arial" w:cs="Arial"/>
          <w:b/>
          <w:bCs/>
          <w:sz w:val="24"/>
          <w:szCs w:val="24"/>
        </w:rPr>
        <w:t>Wedding</w:t>
      </w:r>
    </w:p>
    <w:p w:rsidR="00373DAA" w:rsidRPr="008D3527" w:rsidRDefault="00373DAA" w:rsidP="00E423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6B3" w:rsidRDefault="003F56B3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The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>Seclusion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>of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>the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>Bride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>and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>Groom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After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breaking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glass,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which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discussed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hyperlink r:id="rId8" w:history="1">
        <w:r w:rsidRPr="003462AB">
          <w:rPr>
            <w:rStyle w:val="Hyperlink"/>
            <w:rFonts w:ascii="Arial" w:hAnsi="Arial" w:cs="Arial"/>
          </w:rPr>
          <w:t>last</w:t>
        </w:r>
        <w:r w:rsidR="003462AB">
          <w:rPr>
            <w:rStyle w:val="Hyperlink"/>
            <w:rFonts w:ascii="Arial" w:hAnsi="Arial" w:cs="Arial"/>
          </w:rPr>
          <w:t xml:space="preserve"> </w:t>
        </w:r>
        <w:r w:rsidRPr="003462AB">
          <w:rPr>
            <w:rStyle w:val="Hyperlink"/>
            <w:rFonts w:ascii="Arial" w:hAnsi="Arial" w:cs="Arial"/>
          </w:rPr>
          <w:t>week</w:t>
        </w:r>
      </w:hyperlink>
      <w:r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wedding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ceremony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officially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over.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guests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approach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groom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congratulate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them,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 xml:space="preserve">they </w:t>
      </w:r>
      <w:r>
        <w:rPr>
          <w:rStyle w:val="Strong"/>
          <w:rFonts w:ascii="Arial" w:hAnsi="Arial" w:cs="Arial"/>
          <w:b w:val="0"/>
          <w:bCs w:val="0"/>
          <w:color w:val="000000"/>
        </w:rPr>
        <w:t>begin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festive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meal.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customary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Ashkenazic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communities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for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groom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led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“</w:t>
      </w:r>
      <w:r w:rsidRPr="0076356F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cheder</w:t>
      </w:r>
      <w:r w:rsid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 xml:space="preserve"> </w:t>
      </w:r>
      <w:r w:rsidRPr="0076356F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yichud</w:t>
      </w:r>
      <w:r>
        <w:rPr>
          <w:rStyle w:val="Strong"/>
          <w:rFonts w:ascii="Arial" w:hAnsi="Arial" w:cs="Arial"/>
          <w:b w:val="0"/>
          <w:bCs w:val="0"/>
          <w:color w:val="000000"/>
        </w:rPr>
        <w:t>,”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private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room,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within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which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are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secluded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for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short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period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time.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What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reason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for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seclusion?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shall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see,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practice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intended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fulfill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one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 xml:space="preserve">the </w:t>
      </w:r>
      <w:r>
        <w:rPr>
          <w:rStyle w:val="Strong"/>
          <w:rFonts w:ascii="Arial" w:hAnsi="Arial" w:cs="Arial"/>
          <w:b w:val="0"/>
          <w:bCs w:val="0"/>
          <w:color w:val="000000"/>
        </w:rPr>
        <w:t>definitions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76356F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nisu’in</w:t>
      </w:r>
      <w:r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final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stage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marriage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ceremony.</w:t>
      </w:r>
      <w:bookmarkStart w:id="0" w:name="_GoBack"/>
      <w:bookmarkEnd w:id="0"/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hyperlink r:id="rId9" w:history="1">
        <w:r w:rsidRPr="002D3A1A">
          <w:rPr>
            <w:rStyle w:val="Hyperlink"/>
            <w:rFonts w:ascii="Arial" w:hAnsi="Arial" w:cs="Arial"/>
          </w:rPr>
          <w:t>previous</w:t>
        </w:r>
        <w:r w:rsidR="003462AB" w:rsidRPr="002D3A1A">
          <w:rPr>
            <w:rStyle w:val="Hyperlink"/>
            <w:rFonts w:ascii="Arial" w:hAnsi="Arial" w:cs="Arial"/>
          </w:rPr>
          <w:t xml:space="preserve"> </w:t>
        </w:r>
        <w:r w:rsidRPr="002D3A1A">
          <w:rPr>
            <w:rStyle w:val="Hyperlink"/>
            <w:rFonts w:ascii="Arial" w:hAnsi="Arial" w:cs="Arial"/>
            <w:i/>
            <w:iCs/>
          </w:rPr>
          <w:t>shiur</w:t>
        </w:r>
      </w:hyperlink>
      <w:r w:rsidR="00107956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discussed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defined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final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stage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marriage,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>
        <w:rPr>
          <w:rFonts w:ascii="Arial" w:hAnsi="Arial" w:cs="Arial"/>
          <w:color w:val="000000"/>
        </w:rPr>
        <w:t>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Rishonim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disagree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what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act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process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initia</w:t>
      </w:r>
      <w:r>
        <w:rPr>
          <w:rFonts w:ascii="Arial" w:hAnsi="Arial" w:cs="Arial"/>
          <w:color w:val="000000"/>
        </w:rPr>
        <w:t>tes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more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intimate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aspect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marriage.</w:t>
      </w:r>
      <w:r w:rsidR="003462AB">
        <w:rPr>
          <w:rFonts w:ascii="Arial" w:hAnsi="Arial" w:cs="Arial"/>
          <w:color w:val="000000"/>
        </w:rPr>
        <w:t xml:space="preserve"> </w:t>
      </w:r>
    </w:p>
    <w:p w:rsidR="00E4230C" w:rsidRDefault="00E4230C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Some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Rishonim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appear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maintain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act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situation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reflects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most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intimate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aspect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marriage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–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sexual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relations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–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functions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beginning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 w:rsidRPr="0076356F">
        <w:rPr>
          <w:rFonts w:ascii="Arial" w:hAnsi="Arial" w:cs="Arial"/>
          <w:color w:val="000000"/>
        </w:rPr>
        <w:t>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Indeed,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verse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“when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takes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wife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intimate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with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her”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</w:t>
      </w:r>
      <w:hyperlink r:id="rId10" w:tgtFrame="_blank" w:history="1">
        <w:r w:rsidRPr="0076356F">
          <w:rPr>
            <w:rStyle w:val="Hyperlink"/>
            <w:rFonts w:ascii="Arial" w:hAnsi="Arial" w:cs="Arial"/>
            <w:i/>
            <w:iCs/>
          </w:rPr>
          <w:t>Devarim</w:t>
        </w:r>
      </w:hyperlink>
      <w:hyperlink r:id="rId11" w:tgtFrame="_blank" w:history="1">
        <w:r w:rsidR="003462AB">
          <w:rPr>
            <w:rStyle w:val="Hyperlink"/>
            <w:rFonts w:ascii="Arial" w:hAnsi="Arial" w:cs="Arial"/>
          </w:rPr>
          <w:t xml:space="preserve"> </w:t>
        </w:r>
        <w:r w:rsidRPr="0076356F">
          <w:rPr>
            <w:rStyle w:val="Hyperlink"/>
            <w:rFonts w:ascii="Arial" w:hAnsi="Arial" w:cs="Arial"/>
          </w:rPr>
          <w:t>24:1</w:t>
        </w:r>
      </w:hyperlink>
      <w:r w:rsidRPr="0076356F">
        <w:rPr>
          <w:rFonts w:ascii="Arial" w:hAnsi="Arial" w:cs="Arial"/>
          <w:color w:val="000000"/>
        </w:rPr>
        <w:t>),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which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describes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these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two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stages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marriage,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identifies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with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be’ila</w:t>
      </w:r>
      <w:r w:rsidRPr="0076356F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intimacy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sexual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relations.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Rambam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</w:t>
      </w:r>
      <w:r w:rsidRPr="0076356F">
        <w:rPr>
          <w:rFonts w:ascii="Arial" w:hAnsi="Arial" w:cs="Arial"/>
          <w:i/>
          <w:iCs/>
          <w:color w:val="000000"/>
        </w:rPr>
        <w:t>Hilkhot</w:t>
      </w:r>
      <w:r w:rsidR="003462AB">
        <w:rPr>
          <w:rFonts w:ascii="Arial" w:hAnsi="Arial" w:cs="Arial"/>
          <w:i/>
          <w:iCs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Ishut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10:1)</w:t>
      </w:r>
      <w:r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</w:t>
      </w:r>
      <w:r w:rsidRPr="0076356F"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example,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maintains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one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achieve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either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through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marital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relations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even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after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yichud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(seclusion),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known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Pr="0076356F">
        <w:rPr>
          <w:rFonts w:ascii="Arial" w:hAnsi="Arial" w:cs="Arial"/>
          <w:color w:val="000000"/>
        </w:rPr>
        <w:t>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surprising,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therefore,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Rambam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maintains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must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“</w:t>
      </w:r>
      <w:r w:rsidR="00107956">
        <w:rPr>
          <w:rFonts w:ascii="Arial" w:hAnsi="Arial" w:cs="Arial"/>
          <w:i/>
          <w:iCs/>
          <w:color w:val="000000"/>
        </w:rPr>
        <w:t>ra</w:t>
      </w:r>
      <w:r w:rsidRPr="0076356F">
        <w:rPr>
          <w:rFonts w:ascii="Arial" w:hAnsi="Arial" w:cs="Arial"/>
          <w:i/>
          <w:iCs/>
          <w:color w:val="000000"/>
        </w:rPr>
        <w:t>uy</w:t>
      </w:r>
      <w:r w:rsidR="003462AB">
        <w:rPr>
          <w:rFonts w:ascii="Arial" w:hAnsi="Arial" w:cs="Arial"/>
          <w:i/>
          <w:iCs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le-bi’a</w:t>
      </w:r>
      <w:r w:rsidRPr="0076356F">
        <w:rPr>
          <w:rFonts w:ascii="Arial" w:hAnsi="Arial" w:cs="Arial"/>
          <w:color w:val="000000"/>
        </w:rPr>
        <w:t>.”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Therefore,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bride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currently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state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ritual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impurity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(after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menstruation),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thus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prohibited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from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having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marital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relations,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nisi’un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achieved.</w:t>
      </w:r>
      <w:r w:rsidR="003462AB">
        <w:rPr>
          <w:rFonts w:ascii="Arial" w:hAnsi="Arial" w:cs="Arial"/>
          <w:color w:val="000000"/>
        </w:rPr>
        <w:t xml:space="preserve">  </w:t>
      </w:r>
    </w:p>
    <w:p w:rsidR="00E4230C" w:rsidRPr="0076356F" w:rsidRDefault="00E4230C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Others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suggest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achieved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by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act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 xml:space="preserve">marital intimacy </w:t>
      </w:r>
      <w:r w:rsidRPr="0076356F">
        <w:rPr>
          <w:rFonts w:ascii="Arial" w:hAnsi="Arial" w:cs="Arial"/>
          <w:color w:val="000000"/>
        </w:rPr>
        <w:t>(or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situation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enables</w:t>
      </w:r>
      <w:r w:rsidR="00107956">
        <w:rPr>
          <w:rFonts w:ascii="Arial" w:hAnsi="Arial" w:cs="Arial"/>
          <w:color w:val="000000"/>
        </w:rPr>
        <w:t xml:space="preserve"> it</w:t>
      </w:r>
      <w:r w:rsidRPr="0076356F">
        <w:rPr>
          <w:rFonts w:ascii="Arial" w:hAnsi="Arial" w:cs="Arial"/>
          <w:color w:val="000000"/>
        </w:rPr>
        <w:t>),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but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more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formal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manner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reflects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their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marital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relationship.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example,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t</w:t>
      </w:r>
      <w:r w:rsidRPr="0076356F">
        <w:rPr>
          <w:rFonts w:ascii="Arial" w:hAnsi="Arial" w:cs="Arial"/>
          <w:color w:val="000000"/>
        </w:rPr>
        <w:t>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</w:t>
      </w:r>
      <w:hyperlink r:id="rId12" w:tgtFrame="_blank" w:history="1">
        <w:r w:rsidRPr="0076356F">
          <w:rPr>
            <w:rStyle w:val="Hyperlink"/>
            <w:rFonts w:ascii="Arial" w:hAnsi="Arial" w:cs="Arial"/>
            <w:i/>
            <w:iCs/>
          </w:rPr>
          <w:t>Ketubot</w:t>
        </w:r>
      </w:hyperlink>
      <w:hyperlink r:id="rId13" w:tgtFrame="_blank" w:history="1">
        <w:r w:rsidR="003462AB">
          <w:rPr>
            <w:rStyle w:val="Hyperlink"/>
            <w:rFonts w:ascii="Arial" w:hAnsi="Arial" w:cs="Arial"/>
          </w:rPr>
          <w:t xml:space="preserve"> </w:t>
        </w:r>
        <w:r w:rsidRPr="0076356F">
          <w:rPr>
            <w:rStyle w:val="Hyperlink"/>
            <w:rFonts w:ascii="Arial" w:hAnsi="Arial" w:cs="Arial"/>
          </w:rPr>
          <w:t>1a</w:t>
        </w:r>
      </w:hyperlink>
      <w:r w:rsidRPr="0076356F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s.v.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oh</w:t>
      </w:r>
      <w:r w:rsidRPr="0076356F">
        <w:rPr>
          <w:rFonts w:ascii="Arial" w:hAnsi="Arial" w:cs="Arial"/>
          <w:color w:val="000000"/>
        </w:rPr>
        <w:t>)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cites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view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describes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bride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entering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husbands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“domain”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(see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also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Hagahot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Ha-Gra,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Shulchan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Arukh,</w:t>
      </w:r>
      <w:r w:rsidR="003462AB">
        <w:rPr>
          <w:rFonts w:ascii="Arial" w:hAnsi="Arial" w:cs="Arial"/>
          <w:color w:val="000000"/>
        </w:rPr>
        <w:t xml:space="preserve"> </w:t>
      </w:r>
      <w:hyperlink r:id="rId14" w:tgtFrame="_blank" w:history="1">
        <w:r w:rsidRPr="0076356F">
          <w:rPr>
            <w:rStyle w:val="Hyperlink"/>
            <w:rFonts w:ascii="Arial" w:hAnsi="Arial" w:cs="Arial"/>
          </w:rPr>
          <w:t>EH</w:t>
        </w:r>
        <w:r w:rsidR="003462AB">
          <w:rPr>
            <w:rStyle w:val="Hyperlink"/>
            <w:rFonts w:ascii="Arial" w:hAnsi="Arial" w:cs="Arial"/>
          </w:rPr>
          <w:t xml:space="preserve"> </w:t>
        </w:r>
        <w:r w:rsidRPr="0076356F">
          <w:rPr>
            <w:rStyle w:val="Hyperlink"/>
            <w:rFonts w:ascii="Arial" w:hAnsi="Arial" w:cs="Arial"/>
          </w:rPr>
          <w:t>55:9</w:t>
        </w:r>
      </w:hyperlink>
      <w:r w:rsidRPr="0076356F">
        <w:rPr>
          <w:rFonts w:ascii="Arial" w:hAnsi="Arial" w:cs="Arial"/>
          <w:color w:val="000000"/>
        </w:rPr>
        <w:t>).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explain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occurs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bride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stand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together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under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receive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Sheva</w:t>
      </w:r>
      <w:r w:rsidR="003462AB">
        <w:rPr>
          <w:rFonts w:ascii="Arial" w:hAnsi="Arial" w:cs="Arial"/>
          <w:i/>
          <w:iCs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Berakhot</w:t>
      </w:r>
      <w:r>
        <w:rPr>
          <w:rFonts w:ascii="Arial" w:hAnsi="Arial" w:cs="Arial"/>
          <w:color w:val="000000"/>
        </w:rPr>
        <w:t>.</w:t>
      </w:r>
      <w:r w:rsidR="003462AB">
        <w:rPr>
          <w:rFonts w:ascii="Arial" w:hAnsi="Arial" w:cs="Arial"/>
          <w:color w:val="000000"/>
        </w:rPr>
        <w:t xml:space="preserve"> </w:t>
      </w:r>
    </w:p>
    <w:p w:rsidR="00E4230C" w:rsidRPr="0076356F" w:rsidRDefault="00E4230C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76356F">
        <w:rPr>
          <w:rFonts w:ascii="Arial" w:hAnsi="Arial" w:cs="Arial"/>
          <w:color w:val="000000"/>
        </w:rPr>
        <w:t>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Shulchan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Arukh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</w:t>
      </w:r>
      <w:hyperlink r:id="rId15" w:tgtFrame="_blank" w:history="1">
        <w:r w:rsidRPr="0076356F">
          <w:rPr>
            <w:rStyle w:val="Hyperlink"/>
            <w:rFonts w:ascii="Arial" w:hAnsi="Arial" w:cs="Arial"/>
          </w:rPr>
          <w:t>EH</w:t>
        </w:r>
        <w:r w:rsidR="003462AB">
          <w:rPr>
            <w:rStyle w:val="Hyperlink"/>
            <w:rFonts w:ascii="Arial" w:hAnsi="Arial" w:cs="Arial"/>
          </w:rPr>
          <w:t xml:space="preserve"> </w:t>
        </w:r>
        <w:r w:rsidRPr="0076356F">
          <w:rPr>
            <w:rStyle w:val="Hyperlink"/>
            <w:rFonts w:ascii="Arial" w:hAnsi="Arial" w:cs="Arial"/>
          </w:rPr>
          <w:t>55:1</w:t>
        </w:r>
      </w:hyperlink>
      <w:r w:rsidRPr="0076356F">
        <w:rPr>
          <w:rFonts w:ascii="Arial" w:hAnsi="Arial" w:cs="Arial"/>
          <w:color w:val="000000"/>
        </w:rPr>
        <w:t>)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cites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number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views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regarding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definition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nisu’in</w:t>
      </w:r>
      <w:r w:rsidRPr="0076356F">
        <w:rPr>
          <w:rFonts w:ascii="Arial" w:hAnsi="Arial" w:cs="Arial"/>
          <w:color w:val="000000"/>
        </w:rPr>
        <w:t>/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Pr="0076356F">
        <w:rPr>
          <w:rFonts w:ascii="Arial" w:hAnsi="Arial" w:cs="Arial"/>
          <w:color w:val="000000"/>
        </w:rPr>
        <w:t>:</w:t>
      </w:r>
    </w:p>
    <w:p w:rsidR="00E4230C" w:rsidRDefault="00E4230C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</w:t>
      </w:r>
      <w:r w:rsidRPr="0076356F">
        <w:rPr>
          <w:rFonts w:ascii="Arial" w:hAnsi="Arial" w:cs="Arial"/>
          <w:i/>
          <w:iCs/>
          <w:color w:val="000000"/>
        </w:rPr>
        <w:t>yichud</w:t>
      </w:r>
      <w:r w:rsidRPr="0076356F">
        <w:rPr>
          <w:rFonts w:ascii="Arial" w:hAnsi="Arial" w:cs="Arial"/>
          <w:color w:val="000000"/>
        </w:rPr>
        <w:t>)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known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entering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called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marriage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all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places.</w:t>
      </w:r>
    </w:p>
    <w:p w:rsidR="00E4230C" w:rsidRDefault="00E4230C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R.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Moshe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Isserles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(Rema)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adds:</w:t>
      </w:r>
    </w:p>
    <w:p w:rsidR="00E4230C" w:rsidRDefault="00E4230C" w:rsidP="00E4230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There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those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say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considered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seclusion.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Rather,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groom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must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bring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house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purposes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marriage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(</w:t>
      </w:r>
      <w:r w:rsidRPr="0076356F">
        <w:rPr>
          <w:rFonts w:ascii="Arial" w:hAnsi="Arial" w:cs="Arial"/>
          <w:i/>
          <w:iCs/>
          <w:color w:val="000000"/>
        </w:rPr>
        <w:t>Ran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beginning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Ketubot</w:t>
      </w:r>
      <w:r w:rsidRPr="0076356F">
        <w:rPr>
          <w:rFonts w:ascii="Arial" w:hAnsi="Arial" w:cs="Arial"/>
          <w:color w:val="000000"/>
        </w:rPr>
        <w:t>).</w:t>
      </w:r>
    </w:p>
    <w:p w:rsidR="00E4230C" w:rsidRDefault="00E4230C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those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say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spread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cloth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over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head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time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blessing,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those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say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virgin's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goes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out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headdress,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widow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become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secluded.</w:t>
      </w:r>
    </w:p>
    <w:p w:rsidR="00E4230C" w:rsidRDefault="00E4230C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Rema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concludes:</w:t>
      </w:r>
    </w:p>
    <w:p w:rsidR="00E4230C" w:rsidRDefault="00E4230C" w:rsidP="00E4230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simple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custom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nowadays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call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place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where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place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cloth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poles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bring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groom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bride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underneath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public,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betroths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say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blessings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betrothal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marriage,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walk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their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house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together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secluded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place.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how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done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now.</w:t>
      </w:r>
    </w:p>
    <w:p w:rsidR="00E4230C" w:rsidRDefault="00E4230C" w:rsidP="00E4230C">
      <w:pPr>
        <w:pStyle w:val="rtejustify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Traditional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Ashkenazic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custom,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described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Rema</w:t>
      </w:r>
      <w:r w:rsidRPr="0076356F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bride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groom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secluded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after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chuppa</w:t>
      </w:r>
      <w:r>
        <w:rPr>
          <w:rFonts w:ascii="Arial" w:hAnsi="Arial" w:cs="Arial"/>
          <w:color w:val="000000"/>
        </w:rPr>
        <w:t>.</w:t>
      </w:r>
      <w:r w:rsidR="003462AB">
        <w:rPr>
          <w:rFonts w:ascii="Arial" w:hAnsi="Arial" w:cs="Arial"/>
          <w:color w:val="000000"/>
        </w:rPr>
        <w:t xml:space="preserve"> </w:t>
      </w:r>
    </w:p>
    <w:p w:rsidR="00E4230C" w:rsidRDefault="00E4230C" w:rsidP="00E4230C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customary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ensure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people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cheder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yichud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(Beit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Shmuel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55:5;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Arukh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Ha-Shul</w:t>
      </w:r>
      <w:r w:rsidR="003462AB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han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55:11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records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customary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invite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shoshvinin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room).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Although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necessary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lock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(Minchat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Yitzchak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4:28),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some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insist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opened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outside.</w:t>
      </w:r>
      <w:r w:rsidR="003462AB">
        <w:rPr>
          <w:rFonts w:ascii="Arial" w:hAnsi="Arial" w:cs="Arial"/>
          <w:color w:val="000000"/>
        </w:rPr>
        <w:t xml:space="preserve"> </w:t>
      </w:r>
    </w:p>
    <w:p w:rsidR="00E4230C" w:rsidRDefault="00E4230C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suggest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should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done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front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two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witnesses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Tosafot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Ha-Zaken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 w:rsidRPr="00107956">
        <w:rPr>
          <w:rFonts w:ascii="Arial" w:hAnsi="Arial" w:cs="Arial"/>
          <w:i/>
          <w:iCs/>
          <w:color w:val="000000"/>
        </w:rPr>
        <w:t>Kiddushin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10b;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Avnei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Milu’im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38:17).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customary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couple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remain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amount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time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which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might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have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sexual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relations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Shmuel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55:2).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107956">
        <w:rPr>
          <w:rFonts w:ascii="Arial" w:hAnsi="Arial" w:cs="Arial"/>
          <w:i/>
          <w:iCs/>
          <w:color w:val="000000"/>
        </w:rPr>
        <w:t>Posekim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differ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whether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should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remain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secluded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three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five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minutes,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even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longer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(see</w:t>
      </w:r>
      <w:r w:rsidR="003462AB">
        <w:rPr>
          <w:rFonts w:ascii="Arial" w:hAnsi="Arial" w:cs="Arial"/>
          <w:color w:val="000000"/>
        </w:rPr>
        <w:t xml:space="preserve"> </w:t>
      </w:r>
      <w:r w:rsidRPr="00107956">
        <w:rPr>
          <w:rFonts w:ascii="Arial" w:hAnsi="Arial" w:cs="Arial"/>
          <w:i/>
          <w:iCs/>
          <w:color w:val="000000"/>
        </w:rPr>
        <w:t>Sota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4a;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HaNisu’in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Ke</w:t>
      </w:r>
      <w:r w:rsidR="00107956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Hil</w:t>
      </w:r>
      <w:r w:rsidR="003462AB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hatam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12:85).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witnesses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outside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period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time.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customary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bride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together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Rema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ibid.).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bride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should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take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long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seclusion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order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unnecessarily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inconvenience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guests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Pr="0076356F">
        <w:rPr>
          <w:rFonts w:ascii="Arial" w:hAnsi="Arial" w:cs="Arial"/>
          <w:i/>
          <w:iCs/>
          <w:color w:val="000000"/>
        </w:rPr>
        <w:t>tircha</w:t>
      </w:r>
      <w:r w:rsidR="003462AB">
        <w:rPr>
          <w:rFonts w:ascii="Arial" w:hAnsi="Arial" w:cs="Arial"/>
          <w:i/>
          <w:iCs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de-tzibura</w:t>
      </w:r>
      <w:r>
        <w:rPr>
          <w:rFonts w:ascii="Arial" w:hAnsi="Arial" w:cs="Arial"/>
          <w:color w:val="000000"/>
        </w:rPr>
        <w:t>).</w:t>
      </w:r>
      <w:r w:rsidR="003462AB">
        <w:rPr>
          <w:rFonts w:ascii="Arial" w:hAnsi="Arial" w:cs="Arial"/>
          <w:color w:val="000000"/>
        </w:rPr>
        <w:t xml:space="preserve"> </w:t>
      </w:r>
    </w:p>
    <w:p w:rsidR="00E4230C" w:rsidRDefault="00E4230C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107956" w:rsidRDefault="0076356F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Interestingly,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while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Ashkenazim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appear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follow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position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Shulchan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Arukh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perform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yichud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immediately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following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recitation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Sheva</w:t>
      </w:r>
      <w:r w:rsidR="003462AB" w:rsidRPr="003462AB">
        <w:rPr>
          <w:rFonts w:ascii="Arial" w:hAnsi="Arial" w:cs="Arial"/>
          <w:i/>
          <w:iCs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Berakhot</w:t>
      </w:r>
      <w:r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most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Sephardic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couples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secluded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after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wedding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ceremony.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practice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somewhat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curious,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appear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conform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position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Shulchan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Arukh.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Furthermore,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according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practice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Sheva</w:t>
      </w:r>
      <w:r w:rsidR="003462AB" w:rsidRPr="003462AB">
        <w:rPr>
          <w:rFonts w:ascii="Arial" w:hAnsi="Arial" w:cs="Arial"/>
          <w:i/>
          <w:iCs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Berakhot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recited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hours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before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actual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seclusion,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eclusion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performed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presence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witnesses.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Finally,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appears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Sheva</w:t>
      </w:r>
      <w:r w:rsidR="003462AB" w:rsidRPr="003462AB">
        <w:rPr>
          <w:rFonts w:ascii="Arial" w:hAnsi="Arial" w:cs="Arial"/>
          <w:i/>
          <w:iCs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Berakhot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recited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festive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meal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said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case,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couple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formally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considered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“married”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="00107956">
        <w:rPr>
          <w:rFonts w:ascii="Arial" w:hAnsi="Arial" w:cs="Arial"/>
          <w:i/>
          <w:iCs/>
          <w:color w:val="000000"/>
        </w:rPr>
        <w:t>nisu’</w:t>
      </w:r>
      <w:r w:rsidRPr="0076356F">
        <w:rPr>
          <w:rFonts w:ascii="Arial" w:hAnsi="Arial" w:cs="Arial"/>
          <w:i/>
          <w:iCs/>
          <w:color w:val="000000"/>
        </w:rPr>
        <w:t>im</w:t>
      </w:r>
      <w:r>
        <w:rPr>
          <w:rFonts w:ascii="Arial" w:hAnsi="Arial" w:cs="Arial"/>
          <w:color w:val="000000"/>
        </w:rPr>
        <w:t>).</w:t>
      </w:r>
      <w:r w:rsidR="003462AB">
        <w:rPr>
          <w:rFonts w:ascii="Arial" w:hAnsi="Arial" w:cs="Arial"/>
          <w:color w:val="000000"/>
        </w:rPr>
        <w:t xml:space="preserve"> </w:t>
      </w:r>
    </w:p>
    <w:p w:rsidR="00E4230C" w:rsidRDefault="00E4230C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76356F" w:rsidRDefault="0076356F" w:rsidP="00E4230C">
      <w:pPr>
        <w:pStyle w:val="rtejustify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Sephardic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authorities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debate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whether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according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practice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nisu’in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take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effect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until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after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festive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meal,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when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bride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groom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secluded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(Yabi’a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Omer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EH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5:8),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practice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embraces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different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definition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i/>
          <w:iCs/>
          <w:color w:val="000000"/>
        </w:rPr>
        <w:t>ni</w:t>
      </w:r>
      <w:r w:rsidRPr="003462AB">
        <w:rPr>
          <w:rFonts w:ascii="Arial" w:hAnsi="Arial" w:cs="Arial"/>
          <w:i/>
          <w:iCs/>
          <w:color w:val="000000"/>
        </w:rPr>
        <w:t>su’in</w:t>
      </w:r>
      <w:r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i.e.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accomplishes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3462AB">
        <w:rPr>
          <w:rFonts w:ascii="Arial" w:hAnsi="Arial" w:cs="Arial"/>
          <w:i/>
          <w:iCs/>
          <w:color w:val="000000"/>
        </w:rPr>
        <w:t>nisu’in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Shemesh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U-Magen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EH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1:64,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3:49).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Some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suggest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proper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Sephardic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couple</w:t>
      </w:r>
      <w:r w:rsidR="00107956">
        <w:rPr>
          <w:rFonts w:ascii="Arial" w:hAnsi="Arial" w:cs="Arial"/>
          <w:color w:val="000000"/>
        </w:rPr>
        <w:t>s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secluded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immediately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following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107956">
        <w:rPr>
          <w:rFonts w:ascii="Arial" w:hAnsi="Arial" w:cs="Arial"/>
          <w:i/>
          <w:iCs/>
          <w:color w:val="000000"/>
        </w:rPr>
        <w:t>chuppa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(see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R.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Shlomo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Levi,</w:t>
      </w:r>
      <w:r w:rsidR="003462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hyperlink r:id="rId16" w:history="1">
        <w:r w:rsidRPr="00107956">
          <w:rPr>
            <w:rStyle w:val="Hyperlink"/>
            <w:rFonts w:ascii="Arial" w:hAnsi="Arial" w:cs="Arial"/>
            <w:i/>
            <w:iCs/>
          </w:rPr>
          <w:t>Yichud</w:t>
        </w:r>
        <w:r w:rsidR="003462AB" w:rsidRPr="00107956">
          <w:rPr>
            <w:rStyle w:val="Hyperlink"/>
            <w:rFonts w:ascii="Arial" w:hAnsi="Arial" w:cs="Arial"/>
            <w:i/>
            <w:iCs/>
          </w:rPr>
          <w:t xml:space="preserve"> </w:t>
        </w:r>
        <w:r w:rsidRPr="00107956">
          <w:rPr>
            <w:rStyle w:val="Hyperlink"/>
            <w:rFonts w:ascii="Arial" w:hAnsi="Arial" w:cs="Arial"/>
            <w:i/>
            <w:iCs/>
          </w:rPr>
          <w:t>Le’Achar</w:t>
        </w:r>
        <w:r w:rsidR="003462AB" w:rsidRPr="00107956">
          <w:rPr>
            <w:rStyle w:val="Hyperlink"/>
            <w:rFonts w:ascii="Arial" w:hAnsi="Arial" w:cs="Arial"/>
            <w:i/>
            <w:iCs/>
          </w:rPr>
          <w:t xml:space="preserve"> </w:t>
        </w:r>
        <w:r w:rsidRPr="00107956">
          <w:rPr>
            <w:rStyle w:val="Hyperlink"/>
            <w:rFonts w:ascii="Arial" w:hAnsi="Arial" w:cs="Arial"/>
            <w:i/>
            <w:iCs/>
          </w:rPr>
          <w:t>Ha-Chuppa</w:t>
        </w:r>
        <w:r w:rsidR="003462AB" w:rsidRPr="00107956">
          <w:rPr>
            <w:rStyle w:val="Hyperlink"/>
            <w:rFonts w:ascii="Arial" w:hAnsi="Arial" w:cs="Arial"/>
            <w:i/>
            <w:iCs/>
          </w:rPr>
          <w:t xml:space="preserve"> </w:t>
        </w:r>
        <w:r w:rsidRPr="00107956">
          <w:rPr>
            <w:rStyle w:val="Hyperlink"/>
            <w:rFonts w:ascii="Arial" w:hAnsi="Arial" w:cs="Arial"/>
            <w:i/>
            <w:iCs/>
          </w:rPr>
          <w:t>Lefi</w:t>
        </w:r>
        <w:r w:rsidR="003462AB" w:rsidRPr="00107956">
          <w:rPr>
            <w:rStyle w:val="Hyperlink"/>
            <w:rFonts w:ascii="Arial" w:hAnsi="Arial" w:cs="Arial"/>
            <w:i/>
            <w:iCs/>
          </w:rPr>
          <w:t xml:space="preserve"> </w:t>
        </w:r>
        <w:r w:rsidRPr="00107956">
          <w:rPr>
            <w:rStyle w:val="Hyperlink"/>
            <w:rFonts w:ascii="Arial" w:hAnsi="Arial" w:cs="Arial"/>
            <w:i/>
            <w:iCs/>
          </w:rPr>
          <w:t>Minhag</w:t>
        </w:r>
        <w:r w:rsidR="003462AB" w:rsidRPr="00107956">
          <w:rPr>
            <w:rStyle w:val="Hyperlink"/>
            <w:rFonts w:ascii="Arial" w:hAnsi="Arial" w:cs="Arial"/>
            <w:i/>
            <w:iCs/>
          </w:rPr>
          <w:t xml:space="preserve"> </w:t>
        </w:r>
        <w:r w:rsidRPr="00107956">
          <w:rPr>
            <w:rStyle w:val="Hyperlink"/>
            <w:rFonts w:ascii="Arial" w:hAnsi="Arial" w:cs="Arial"/>
            <w:i/>
            <w:iCs/>
          </w:rPr>
          <w:t>Ha-Sefaradim</w:t>
        </w:r>
      </w:hyperlink>
      <w:r>
        <w:rPr>
          <w:rFonts w:ascii="Arial" w:hAnsi="Arial" w:cs="Arial"/>
          <w:color w:val="000000"/>
        </w:rPr>
        <w:t>”).</w:t>
      </w:r>
      <w:r w:rsidR="003462AB">
        <w:rPr>
          <w:rFonts w:ascii="Arial" w:hAnsi="Arial" w:cs="Arial"/>
          <w:color w:val="000000"/>
        </w:rPr>
        <w:t xml:space="preserve"> </w:t>
      </w:r>
    </w:p>
    <w:p w:rsidR="003462AB" w:rsidRDefault="003462AB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i/>
          <w:iCs/>
          <w:color w:val="000000"/>
        </w:rPr>
      </w:pPr>
    </w:p>
    <w:p w:rsidR="0076356F" w:rsidRP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color w:val="000000"/>
        </w:rPr>
      </w:pPr>
      <w:r w:rsidRPr="0076356F">
        <w:rPr>
          <w:rStyle w:val="Strong"/>
          <w:rFonts w:ascii="Arial" w:hAnsi="Arial" w:cs="Arial"/>
          <w:i/>
          <w:iCs/>
          <w:color w:val="000000"/>
        </w:rPr>
        <w:t>Kisuy</w:t>
      </w:r>
      <w:r w:rsidR="003462AB">
        <w:rPr>
          <w:rStyle w:val="Strong"/>
          <w:rFonts w:ascii="Arial" w:hAnsi="Arial" w:cs="Arial"/>
          <w:i/>
          <w:iCs/>
          <w:color w:val="000000"/>
        </w:rPr>
        <w:t xml:space="preserve"> </w:t>
      </w:r>
      <w:r w:rsidRPr="0076356F">
        <w:rPr>
          <w:rStyle w:val="Strong"/>
          <w:rFonts w:ascii="Arial" w:hAnsi="Arial" w:cs="Arial"/>
          <w:i/>
          <w:iCs/>
          <w:color w:val="000000"/>
        </w:rPr>
        <w:t>Ha-Rosh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 w:rsidRPr="0076356F">
        <w:rPr>
          <w:rStyle w:val="Strong"/>
          <w:rFonts w:ascii="Arial" w:hAnsi="Arial" w:cs="Arial"/>
          <w:color w:val="000000"/>
        </w:rPr>
        <w:t>after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 w:rsidRPr="0076356F">
        <w:rPr>
          <w:rStyle w:val="Strong"/>
          <w:rFonts w:ascii="Arial" w:hAnsi="Arial" w:cs="Arial"/>
          <w:color w:val="000000"/>
        </w:rPr>
        <w:t>the</w:t>
      </w:r>
      <w:r w:rsidR="003462AB">
        <w:rPr>
          <w:rStyle w:val="Strong"/>
          <w:rFonts w:ascii="Arial" w:hAnsi="Arial" w:cs="Arial"/>
          <w:color w:val="000000"/>
        </w:rPr>
        <w:t xml:space="preserve"> </w:t>
      </w:r>
      <w:r w:rsidRPr="0076356F">
        <w:rPr>
          <w:rStyle w:val="Strong"/>
          <w:rFonts w:ascii="Arial" w:hAnsi="Arial" w:cs="Arial"/>
          <w:i/>
          <w:iCs/>
          <w:color w:val="000000"/>
        </w:rPr>
        <w:t>Cheder</w:t>
      </w:r>
      <w:r w:rsidR="003462AB">
        <w:rPr>
          <w:rStyle w:val="Strong"/>
          <w:rFonts w:ascii="Arial" w:hAnsi="Arial" w:cs="Arial"/>
          <w:i/>
          <w:iCs/>
          <w:color w:val="000000"/>
        </w:rPr>
        <w:t xml:space="preserve"> </w:t>
      </w:r>
      <w:r w:rsidRPr="0076356F">
        <w:rPr>
          <w:rStyle w:val="Strong"/>
          <w:rFonts w:ascii="Arial" w:hAnsi="Arial" w:cs="Arial"/>
          <w:i/>
          <w:iCs/>
          <w:color w:val="000000"/>
        </w:rPr>
        <w:t>Yichud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An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interesting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ramification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discussion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relates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462AB"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kalla</w:t>
      </w:r>
      <w:r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’s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obligation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cover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hair.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R.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Ovadia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Yosef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(see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Yechaveh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Da’at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5:62;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see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also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Yabi’a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Omer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ibid.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and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R.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Yitzchak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Yosef,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107956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Techumin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31)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argues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that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while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according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traditional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Sephardic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practice,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would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not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need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cover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hair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until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after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seclusion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with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husband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(</w:t>
      </w:r>
      <w:r>
        <w:rPr>
          <w:rStyle w:val="Strong"/>
          <w:rFonts w:ascii="Arial" w:hAnsi="Arial" w:cs="Arial"/>
          <w:b w:val="0"/>
          <w:bCs w:val="0"/>
          <w:color w:val="000000"/>
        </w:rPr>
        <w:t>i.e.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next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morning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)</w:t>
      </w:r>
      <w:r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according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Ashkenazic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practice,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should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cover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hair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upon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leaving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seclusion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room.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Some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argue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that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according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those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who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view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chuppa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itself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nisu’in</w:t>
      </w:r>
      <w:r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kalla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should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cover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hair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for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entire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wedding.</w:t>
      </w:r>
    </w:p>
    <w:p w:rsidR="0076356F" w:rsidRP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834497" w:rsidRDefault="00810AFC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76356F">
        <w:rPr>
          <w:rStyle w:val="Strong"/>
          <w:rFonts w:ascii="Arial" w:hAnsi="Arial" w:cs="Arial"/>
          <w:b w:val="0"/>
          <w:bCs w:val="0"/>
          <w:color w:val="000000"/>
        </w:rPr>
        <w:tab/>
      </w:r>
      <w:r w:rsidR="0076356F" w:rsidRPr="0076356F">
        <w:rPr>
          <w:rStyle w:val="Strong"/>
          <w:rFonts w:ascii="Arial" w:hAnsi="Arial" w:cs="Arial"/>
          <w:b w:val="0"/>
          <w:bCs w:val="0"/>
          <w:color w:val="000000"/>
        </w:rPr>
        <w:t>Indeed,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some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communities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covers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hair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immediately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following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seclusion.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However,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widespread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custom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for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bride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not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cover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hair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until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next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day.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What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reason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for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this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76356F">
        <w:rPr>
          <w:rStyle w:val="Strong"/>
          <w:rFonts w:ascii="Arial" w:hAnsi="Arial" w:cs="Arial"/>
          <w:b w:val="0"/>
          <w:bCs w:val="0"/>
          <w:color w:val="000000"/>
        </w:rPr>
        <w:t>practice?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Some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(see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Teshuvot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Ve-Hanhagot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5:334)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suggest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that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>although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3462AB"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chuppa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may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considered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nisu’in</w:t>
      </w:r>
      <w:r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nusu’in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107956">
        <w:rPr>
          <w:rStyle w:val="Strong"/>
          <w:rFonts w:ascii="Arial" w:hAnsi="Arial" w:cs="Arial"/>
          <w:b w:val="0"/>
          <w:bCs w:val="0"/>
          <w:color w:val="000000"/>
        </w:rPr>
        <w:t xml:space="preserve"> no</w:t>
      </w:r>
      <w:r>
        <w:rPr>
          <w:rStyle w:val="Strong"/>
          <w:rFonts w:ascii="Arial" w:hAnsi="Arial" w:cs="Arial"/>
          <w:b w:val="0"/>
          <w:bCs w:val="0"/>
          <w:color w:val="000000"/>
        </w:rPr>
        <w:t>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fully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completed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until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after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couple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intimate.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R.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Moshe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Feinstein,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hyperlink r:id="rId17" w:history="1">
        <w:r w:rsidRPr="0076356F">
          <w:rPr>
            <w:rStyle w:val="Hyperlink"/>
            <w:rFonts w:ascii="Arial" w:hAnsi="Arial" w:cs="Arial"/>
          </w:rPr>
          <w:t>unpublished</w:t>
        </w:r>
        <w:r w:rsidR="003462AB">
          <w:rPr>
            <w:rStyle w:val="Hyperlink"/>
            <w:rFonts w:ascii="Arial" w:hAnsi="Arial" w:cs="Arial"/>
          </w:rPr>
          <w:t xml:space="preserve"> </w:t>
        </w:r>
        <w:r w:rsidRPr="0076356F">
          <w:rPr>
            <w:rStyle w:val="Hyperlink"/>
            <w:rFonts w:ascii="Arial" w:hAnsi="Arial" w:cs="Arial"/>
          </w:rPr>
          <w:t>responsum</w:t>
        </w:r>
      </w:hyperlink>
      <w:r>
        <w:rPr>
          <w:rStyle w:val="Strong"/>
          <w:rFonts w:ascii="Arial" w:hAnsi="Arial" w:cs="Arial"/>
          <w:b w:val="0"/>
          <w:bCs w:val="0"/>
          <w:color w:val="000000"/>
        </w:rPr>
        <w:t>,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argues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that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the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obligation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of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kisuy</w:t>
      </w:r>
      <w:r w:rsidR="003462AB"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 xml:space="preserve"> </w:t>
      </w:r>
      <w:r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rosh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only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applies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to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“</w:t>
      </w:r>
      <w:r w:rsidRPr="003462AB">
        <w:rPr>
          <w:rStyle w:val="Strong"/>
          <w:rFonts w:ascii="Arial" w:hAnsi="Arial" w:cs="Arial"/>
          <w:b w:val="0"/>
          <w:bCs w:val="0"/>
          <w:i/>
          <w:iCs/>
          <w:color w:val="000000"/>
        </w:rPr>
        <w:t>be’ula</w:t>
      </w:r>
      <w:r>
        <w:rPr>
          <w:rStyle w:val="Strong"/>
          <w:rFonts w:ascii="Arial" w:hAnsi="Arial" w:cs="Arial"/>
          <w:b w:val="0"/>
          <w:bCs w:val="0"/>
          <w:color w:val="000000"/>
        </w:rPr>
        <w:t>,”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a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woman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who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has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been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intimate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with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her</w:t>
      </w:r>
      <w:r w:rsidR="003462AB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</w:rPr>
        <w:t>husband: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</w:p>
    <w:p w:rsidR="0076356F" w:rsidRPr="0076356F" w:rsidRDefault="0076356F" w:rsidP="00E4230C">
      <w:pPr>
        <w:pStyle w:val="rtejustify"/>
        <w:shd w:val="clear" w:color="auto" w:fill="FCFDFE"/>
        <w:spacing w:before="0" w:beforeAutospacing="0" w:after="0" w:afterAutospacing="0"/>
        <w:ind w:left="720"/>
        <w:jc w:val="both"/>
        <w:rPr>
          <w:rStyle w:val="coversetext"/>
          <w:rFonts w:ascii="Arial" w:hAnsi="Arial" w:cs="Arial"/>
          <w:color w:val="000000"/>
        </w:rPr>
      </w:pP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obligation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woman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cover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hair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takes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effect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only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after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first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night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since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from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point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status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one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lastRenderedPageBreak/>
        <w:t>been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intimate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with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husband.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does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have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cover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hair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immediately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after</w:t>
      </w:r>
      <w:r w:rsidR="003462AB">
        <w:rPr>
          <w:rFonts w:ascii="Arial" w:hAnsi="Arial" w:cs="Arial"/>
          <w:color w:val="000000"/>
        </w:rPr>
        <w:t xml:space="preserve"> c</w:t>
      </w:r>
      <w:r w:rsidR="003462AB">
        <w:rPr>
          <w:rFonts w:ascii="Arial" w:hAnsi="Arial" w:cs="Arial"/>
          <w:i/>
          <w:iCs/>
          <w:color w:val="000000"/>
        </w:rPr>
        <w:t>huppa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i/>
          <w:iCs/>
          <w:color w:val="000000"/>
        </w:rPr>
        <w:t>yichud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since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that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point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does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yet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have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status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one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intimate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with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husband.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reason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obvious,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since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matter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of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marriage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law,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there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distinction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between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i/>
          <w:iCs/>
          <w:color w:val="000000"/>
        </w:rPr>
        <w:t>arusa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and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a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i/>
          <w:iCs/>
          <w:color w:val="000000"/>
        </w:rPr>
        <w:t>ni</w:t>
      </w:r>
      <w:r w:rsidRPr="0076356F">
        <w:rPr>
          <w:rFonts w:ascii="Arial" w:hAnsi="Arial" w:cs="Arial"/>
          <w:i/>
          <w:iCs/>
          <w:color w:val="000000"/>
        </w:rPr>
        <w:t>su</w:t>
      </w:r>
      <w:r>
        <w:rPr>
          <w:rFonts w:ascii="Arial" w:hAnsi="Arial" w:cs="Arial"/>
          <w:i/>
          <w:iCs/>
          <w:color w:val="000000"/>
        </w:rPr>
        <w:t>’</w:t>
      </w:r>
      <w:r w:rsidRPr="0076356F">
        <w:rPr>
          <w:rFonts w:ascii="Arial" w:hAnsi="Arial" w:cs="Arial"/>
          <w:i/>
          <w:iCs/>
          <w:color w:val="000000"/>
        </w:rPr>
        <w:t>a</w:t>
      </w:r>
      <w:r w:rsidR="00107956">
        <w:rPr>
          <w:rFonts w:ascii="Arial" w:hAnsi="Arial" w:cs="Arial"/>
          <w:color w:val="000000"/>
        </w:rPr>
        <w:t>.</w:t>
      </w:r>
      <w:r w:rsidR="003462AB">
        <w:rPr>
          <w:rFonts w:ascii="Arial" w:hAnsi="Arial" w:cs="Arial"/>
          <w:color w:val="000000"/>
        </w:rPr>
        <w:t xml:space="preserve"> </w:t>
      </w:r>
      <w:r w:rsidR="00107956">
        <w:rPr>
          <w:rFonts w:ascii="Arial" w:hAnsi="Arial" w:cs="Arial"/>
          <w:color w:val="000000"/>
        </w:rPr>
        <w:t>R</w:t>
      </w:r>
      <w:r w:rsidRPr="0076356F">
        <w:rPr>
          <w:rFonts w:ascii="Arial" w:hAnsi="Arial" w:cs="Arial"/>
          <w:color w:val="000000"/>
        </w:rPr>
        <w:t>ather</w:t>
      </w:r>
      <w:r w:rsidR="00107956">
        <w:rPr>
          <w:rFonts w:ascii="Arial" w:hAnsi="Arial" w:cs="Arial"/>
          <w:color w:val="000000"/>
        </w:rPr>
        <w:t>,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obligation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to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cover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hair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dependent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whether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or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not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she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has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been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intimate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with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her</w:t>
      </w:r>
      <w:r w:rsidR="003462AB">
        <w:rPr>
          <w:rFonts w:ascii="Arial" w:hAnsi="Arial" w:cs="Arial"/>
          <w:color w:val="000000"/>
        </w:rPr>
        <w:t xml:space="preserve"> </w:t>
      </w:r>
      <w:r w:rsidRPr="0076356F">
        <w:rPr>
          <w:rFonts w:ascii="Arial" w:hAnsi="Arial" w:cs="Arial"/>
          <w:color w:val="000000"/>
        </w:rPr>
        <w:t>husband.</w:t>
      </w:r>
    </w:p>
    <w:p w:rsidR="003F56B3" w:rsidRDefault="003F56B3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adds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even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if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bride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462AB">
        <w:rPr>
          <w:rFonts w:ascii="Arial" w:hAnsi="Arial" w:cs="Arial"/>
          <w:color w:val="222222"/>
        </w:rPr>
        <w:t xml:space="preserve"> </w:t>
      </w:r>
      <w:r w:rsidRPr="003462AB">
        <w:rPr>
          <w:rFonts w:ascii="Arial" w:hAnsi="Arial" w:cs="Arial"/>
          <w:i/>
          <w:iCs/>
          <w:color w:val="222222"/>
        </w:rPr>
        <w:t>nidda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forbidden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husband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night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wedding,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considered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</w:t>
      </w:r>
      <w:r w:rsidRPr="0076356F">
        <w:rPr>
          <w:rFonts w:ascii="Arial" w:hAnsi="Arial" w:cs="Arial"/>
          <w:i/>
          <w:iCs/>
          <w:color w:val="222222"/>
        </w:rPr>
        <w:t>bechezkat</w:t>
      </w:r>
      <w:r w:rsidR="003462AB">
        <w:rPr>
          <w:rFonts w:ascii="Arial" w:hAnsi="Arial" w:cs="Arial"/>
          <w:i/>
          <w:iCs/>
          <w:color w:val="222222"/>
        </w:rPr>
        <w:t xml:space="preserve"> </w:t>
      </w:r>
      <w:r w:rsidRPr="0076356F">
        <w:rPr>
          <w:rFonts w:ascii="Arial" w:hAnsi="Arial" w:cs="Arial"/>
          <w:i/>
          <w:iCs/>
          <w:color w:val="222222"/>
        </w:rPr>
        <w:t>be’ula</w:t>
      </w:r>
      <w:r>
        <w:rPr>
          <w:rFonts w:ascii="Arial" w:hAnsi="Arial" w:cs="Arial"/>
          <w:color w:val="222222"/>
        </w:rPr>
        <w:t>”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must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therefore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cover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hair.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position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especially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compelling</w:t>
      </w:r>
      <w:r w:rsidR="00107956">
        <w:rPr>
          <w:rFonts w:ascii="Arial" w:hAnsi="Arial" w:cs="Arial"/>
          <w:color w:val="222222"/>
        </w:rPr>
        <w:t>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entire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obligation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462AB">
        <w:rPr>
          <w:rFonts w:ascii="Arial" w:hAnsi="Arial" w:cs="Arial"/>
          <w:color w:val="222222"/>
        </w:rPr>
        <w:t xml:space="preserve"> </w:t>
      </w:r>
      <w:r w:rsidRPr="003462AB">
        <w:rPr>
          <w:rFonts w:ascii="Arial" w:hAnsi="Arial" w:cs="Arial"/>
          <w:i/>
          <w:iCs/>
          <w:color w:val="222222"/>
        </w:rPr>
        <w:t>kisuy</w:t>
      </w:r>
      <w:r w:rsidR="003462AB" w:rsidRPr="003462AB">
        <w:rPr>
          <w:rFonts w:ascii="Arial" w:hAnsi="Arial" w:cs="Arial"/>
          <w:i/>
          <w:iCs/>
          <w:color w:val="222222"/>
        </w:rPr>
        <w:t xml:space="preserve"> </w:t>
      </w:r>
      <w:r w:rsidRPr="003462AB">
        <w:rPr>
          <w:rFonts w:ascii="Arial" w:hAnsi="Arial" w:cs="Arial"/>
          <w:i/>
          <w:iCs/>
          <w:color w:val="222222"/>
        </w:rPr>
        <w:t>rosh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derived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from</w:t>
      </w:r>
      <w:r w:rsidR="003462AB">
        <w:rPr>
          <w:rFonts w:ascii="Arial" w:hAnsi="Arial" w:cs="Arial"/>
          <w:color w:val="222222"/>
        </w:rPr>
        <w:t xml:space="preserve"> </w:t>
      </w:r>
      <w:r w:rsidRPr="003462AB">
        <w:rPr>
          <w:rFonts w:ascii="Arial" w:hAnsi="Arial" w:cs="Arial"/>
          <w:i/>
          <w:iCs/>
          <w:color w:val="222222"/>
        </w:rPr>
        <w:t>sota</w:t>
      </w:r>
      <w:r>
        <w:rPr>
          <w:rFonts w:ascii="Arial" w:hAnsi="Arial" w:cs="Arial"/>
          <w:color w:val="222222"/>
        </w:rPr>
        <w:t>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married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woman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already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been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intimate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</w:t>
      </w:r>
      <w:r w:rsidR="003462AB">
        <w:rPr>
          <w:rFonts w:ascii="Arial" w:hAnsi="Arial" w:cs="Arial"/>
          <w:color w:val="222222"/>
        </w:rPr>
        <w:t xml:space="preserve"> </w:t>
      </w:r>
      <w:r w:rsidR="00107956">
        <w:rPr>
          <w:rFonts w:ascii="Arial" w:hAnsi="Arial" w:cs="Arial"/>
          <w:color w:val="222222"/>
        </w:rPr>
        <w:t>husband and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suspected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adulterous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relationship.</w:t>
      </w:r>
      <w:r w:rsidR="003462AB">
        <w:rPr>
          <w:rFonts w:ascii="Arial" w:hAnsi="Arial" w:cs="Arial"/>
          <w:color w:val="222222"/>
        </w:rPr>
        <w:t xml:space="preserve"> 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Other</w:t>
      </w:r>
      <w:r w:rsidR="003462AB">
        <w:rPr>
          <w:rFonts w:ascii="Arial" w:hAnsi="Arial" w:cs="Arial"/>
          <w:color w:val="222222"/>
        </w:rPr>
        <w:t xml:space="preserve"> </w:t>
      </w:r>
      <w:r w:rsidRPr="00107956">
        <w:rPr>
          <w:rFonts w:ascii="Arial" w:hAnsi="Arial" w:cs="Arial"/>
          <w:i/>
          <w:iCs/>
          <w:color w:val="222222"/>
        </w:rPr>
        <w:t>Posekim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offer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additional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reasons.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example,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R.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Shmuel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Wosner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(Shevet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Ha-Levi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9:259)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suggests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veil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considered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sufficient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hair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cover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until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next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day.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older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brother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Taz,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R.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Yitzchak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Ha-Levi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(Mahari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Ha-Levi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9)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explains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customary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bride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cover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hair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wedding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“in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order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endear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bride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groom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show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beautiful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hair.”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Interestingly,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R.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Yehuda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Herzl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Henkin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(Benei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Banim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3:23)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suggests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that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wedding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hall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may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considered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“house”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</w:t>
      </w:r>
      <w:r w:rsidR="00107956">
        <w:rPr>
          <w:rFonts w:ascii="Arial" w:hAnsi="Arial" w:cs="Arial"/>
          <w:color w:val="222222"/>
        </w:rPr>
        <w:t>f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bride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groom,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within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not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technically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obligated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to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cover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hair.</w:t>
      </w:r>
      <w:r w:rsidR="003462AB">
        <w:rPr>
          <w:rFonts w:ascii="Arial" w:hAnsi="Arial" w:cs="Arial"/>
          <w:color w:val="222222"/>
        </w:rPr>
        <w:t xml:space="preserve"> </w:t>
      </w:r>
    </w:p>
    <w:p w:rsidR="00107956" w:rsidRDefault="00107956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A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number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462AB">
        <w:rPr>
          <w:rFonts w:ascii="Arial" w:hAnsi="Arial" w:cs="Arial"/>
          <w:color w:val="222222"/>
        </w:rPr>
        <w:t xml:space="preserve"> </w:t>
      </w:r>
      <w:r w:rsidRPr="003462AB">
        <w:rPr>
          <w:rFonts w:ascii="Arial" w:hAnsi="Arial" w:cs="Arial"/>
          <w:i/>
          <w:iCs/>
          <w:color w:val="222222"/>
        </w:rPr>
        <w:t>Acharonim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caution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against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stringency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this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matter</w:t>
      </w:r>
      <w:r w:rsidR="00107956">
        <w:rPr>
          <w:rFonts w:ascii="Arial" w:hAnsi="Arial" w:cs="Arial"/>
          <w:color w:val="222222"/>
        </w:rPr>
        <w:t>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which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might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cast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aspersions</w:t>
      </w:r>
      <w:r w:rsidR="003462AB">
        <w:rPr>
          <w:rFonts w:ascii="Arial" w:hAnsi="Arial" w:cs="Arial"/>
          <w:color w:val="222222"/>
        </w:rPr>
        <w:t xml:space="preserve"> </w:t>
      </w:r>
      <w:r w:rsidR="00107956">
        <w:rPr>
          <w:rFonts w:ascii="Arial" w:hAnsi="Arial" w:cs="Arial"/>
          <w:color w:val="222222"/>
        </w:rPr>
        <w:t>on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practices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of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our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forefathers.</w:t>
      </w: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76356F" w:rsidRDefault="0076356F" w:rsidP="00E4230C">
      <w:pPr>
        <w:pStyle w:val="rtejustify"/>
        <w:shd w:val="clear" w:color="auto" w:fill="FCFDFE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Next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week</w:t>
      </w:r>
      <w:r w:rsidR="00107956">
        <w:rPr>
          <w:rFonts w:ascii="Arial" w:hAnsi="Arial" w:cs="Arial"/>
          <w:color w:val="222222"/>
        </w:rPr>
        <w:t>,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discuss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differences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between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first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second</w:t>
      </w:r>
      <w:r w:rsidR="003462A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marriage.</w:t>
      </w:r>
      <w:r w:rsidR="003462AB">
        <w:rPr>
          <w:rFonts w:ascii="Arial" w:hAnsi="Arial" w:cs="Arial"/>
          <w:color w:val="222222"/>
        </w:rPr>
        <w:t xml:space="preserve"> </w:t>
      </w:r>
    </w:p>
    <w:sectPr w:rsidR="0076356F" w:rsidSect="003F56B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10" w:rsidRDefault="00A66010" w:rsidP="00DD17CC">
      <w:pPr>
        <w:spacing w:after="0" w:line="240" w:lineRule="auto"/>
      </w:pPr>
      <w:r>
        <w:separator/>
      </w:r>
    </w:p>
  </w:endnote>
  <w:endnote w:type="continuationSeparator" w:id="0">
    <w:p w:rsidR="00A66010" w:rsidRDefault="00A66010" w:rsidP="00D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10" w:rsidRDefault="00A66010" w:rsidP="00DD17CC">
      <w:pPr>
        <w:spacing w:after="0" w:line="240" w:lineRule="auto"/>
      </w:pPr>
      <w:r>
        <w:separator/>
      </w:r>
    </w:p>
  </w:footnote>
  <w:footnote w:type="continuationSeparator" w:id="0">
    <w:p w:rsidR="00A66010" w:rsidRDefault="00A66010" w:rsidP="00DD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wNzWwNLA0M7EwMbZQ0lEKTi0uzszPAykwNK4FAFY+h7ItAAAA"/>
  </w:docVars>
  <w:rsids>
    <w:rsidRoot w:val="00EE3C84"/>
    <w:rsid w:val="000065A6"/>
    <w:rsid w:val="00024A62"/>
    <w:rsid w:val="000275DD"/>
    <w:rsid w:val="000318CF"/>
    <w:rsid w:val="000372B8"/>
    <w:rsid w:val="000400F4"/>
    <w:rsid w:val="00081F71"/>
    <w:rsid w:val="000820BA"/>
    <w:rsid w:val="00094BE8"/>
    <w:rsid w:val="000A5A36"/>
    <w:rsid w:val="000A6C67"/>
    <w:rsid w:val="000B6624"/>
    <w:rsid w:val="000D1011"/>
    <w:rsid w:val="000D31B5"/>
    <w:rsid w:val="000D4534"/>
    <w:rsid w:val="000D4E11"/>
    <w:rsid w:val="000D652A"/>
    <w:rsid w:val="000E2827"/>
    <w:rsid w:val="000F25C7"/>
    <w:rsid w:val="000F2A83"/>
    <w:rsid w:val="00107490"/>
    <w:rsid w:val="00107956"/>
    <w:rsid w:val="001203F8"/>
    <w:rsid w:val="0012394A"/>
    <w:rsid w:val="001319F1"/>
    <w:rsid w:val="0013570F"/>
    <w:rsid w:val="00144955"/>
    <w:rsid w:val="00195110"/>
    <w:rsid w:val="001A235B"/>
    <w:rsid w:val="002005CF"/>
    <w:rsid w:val="00241AF6"/>
    <w:rsid w:val="002518DD"/>
    <w:rsid w:val="00276C51"/>
    <w:rsid w:val="00283B3A"/>
    <w:rsid w:val="00285B85"/>
    <w:rsid w:val="00287072"/>
    <w:rsid w:val="002B6CFB"/>
    <w:rsid w:val="002C029F"/>
    <w:rsid w:val="002D3A1A"/>
    <w:rsid w:val="002E2579"/>
    <w:rsid w:val="002F34D2"/>
    <w:rsid w:val="00325FB0"/>
    <w:rsid w:val="003262B3"/>
    <w:rsid w:val="00332602"/>
    <w:rsid w:val="00332E8B"/>
    <w:rsid w:val="00333B66"/>
    <w:rsid w:val="003462AB"/>
    <w:rsid w:val="00373DAA"/>
    <w:rsid w:val="00394EA7"/>
    <w:rsid w:val="003D0D3A"/>
    <w:rsid w:val="003D0E8D"/>
    <w:rsid w:val="003F1B8F"/>
    <w:rsid w:val="003F3325"/>
    <w:rsid w:val="003F56B3"/>
    <w:rsid w:val="003F7846"/>
    <w:rsid w:val="00402243"/>
    <w:rsid w:val="00410D06"/>
    <w:rsid w:val="00417092"/>
    <w:rsid w:val="00444885"/>
    <w:rsid w:val="004603F4"/>
    <w:rsid w:val="00467AE6"/>
    <w:rsid w:val="00476353"/>
    <w:rsid w:val="004821AA"/>
    <w:rsid w:val="00490BFE"/>
    <w:rsid w:val="004929BF"/>
    <w:rsid w:val="004A388B"/>
    <w:rsid w:val="004A4E6A"/>
    <w:rsid w:val="004A4FDB"/>
    <w:rsid w:val="004A6CBD"/>
    <w:rsid w:val="004B4B33"/>
    <w:rsid w:val="004D3B29"/>
    <w:rsid w:val="005041B2"/>
    <w:rsid w:val="00516708"/>
    <w:rsid w:val="005274A2"/>
    <w:rsid w:val="005444F2"/>
    <w:rsid w:val="005D6330"/>
    <w:rsid w:val="005F5703"/>
    <w:rsid w:val="00614168"/>
    <w:rsid w:val="006240E6"/>
    <w:rsid w:val="00625B86"/>
    <w:rsid w:val="006550CA"/>
    <w:rsid w:val="00687E18"/>
    <w:rsid w:val="00690003"/>
    <w:rsid w:val="00691BC3"/>
    <w:rsid w:val="0069712C"/>
    <w:rsid w:val="006B3996"/>
    <w:rsid w:val="006C02CF"/>
    <w:rsid w:val="006D6005"/>
    <w:rsid w:val="006E070F"/>
    <w:rsid w:val="006E6AD4"/>
    <w:rsid w:val="007018A8"/>
    <w:rsid w:val="00704466"/>
    <w:rsid w:val="007166B4"/>
    <w:rsid w:val="00722FFF"/>
    <w:rsid w:val="00727FCF"/>
    <w:rsid w:val="00735A69"/>
    <w:rsid w:val="00746BA2"/>
    <w:rsid w:val="0076356F"/>
    <w:rsid w:val="00765441"/>
    <w:rsid w:val="00782DB2"/>
    <w:rsid w:val="00784436"/>
    <w:rsid w:val="00790770"/>
    <w:rsid w:val="007A0C64"/>
    <w:rsid w:val="007B3C0E"/>
    <w:rsid w:val="007B4539"/>
    <w:rsid w:val="007D4A61"/>
    <w:rsid w:val="007E0E18"/>
    <w:rsid w:val="007E22F0"/>
    <w:rsid w:val="007F7CF6"/>
    <w:rsid w:val="008068CF"/>
    <w:rsid w:val="00810AFC"/>
    <w:rsid w:val="00834497"/>
    <w:rsid w:val="008379FE"/>
    <w:rsid w:val="00844830"/>
    <w:rsid w:val="008575F7"/>
    <w:rsid w:val="008655AE"/>
    <w:rsid w:val="008903E6"/>
    <w:rsid w:val="008A3787"/>
    <w:rsid w:val="008B3A06"/>
    <w:rsid w:val="008D3527"/>
    <w:rsid w:val="008D3B48"/>
    <w:rsid w:val="009003E5"/>
    <w:rsid w:val="009169E1"/>
    <w:rsid w:val="00916B71"/>
    <w:rsid w:val="00941DB1"/>
    <w:rsid w:val="00952BD9"/>
    <w:rsid w:val="00966F8F"/>
    <w:rsid w:val="00992110"/>
    <w:rsid w:val="009940C5"/>
    <w:rsid w:val="009A4AC3"/>
    <w:rsid w:val="009A5558"/>
    <w:rsid w:val="009B3D44"/>
    <w:rsid w:val="009C0233"/>
    <w:rsid w:val="009C7534"/>
    <w:rsid w:val="009E58C8"/>
    <w:rsid w:val="009F3042"/>
    <w:rsid w:val="009F672B"/>
    <w:rsid w:val="00A134B8"/>
    <w:rsid w:val="00A46A41"/>
    <w:rsid w:val="00A47599"/>
    <w:rsid w:val="00A66010"/>
    <w:rsid w:val="00A70EB9"/>
    <w:rsid w:val="00A8568E"/>
    <w:rsid w:val="00AA171D"/>
    <w:rsid w:val="00AA4F7E"/>
    <w:rsid w:val="00AC4C4D"/>
    <w:rsid w:val="00AD2C6D"/>
    <w:rsid w:val="00AF3002"/>
    <w:rsid w:val="00AF60DF"/>
    <w:rsid w:val="00B10730"/>
    <w:rsid w:val="00B2462E"/>
    <w:rsid w:val="00B362BB"/>
    <w:rsid w:val="00B36994"/>
    <w:rsid w:val="00B42CBF"/>
    <w:rsid w:val="00B43D91"/>
    <w:rsid w:val="00B443CB"/>
    <w:rsid w:val="00B467D6"/>
    <w:rsid w:val="00B57AA7"/>
    <w:rsid w:val="00B62E7D"/>
    <w:rsid w:val="00B71D69"/>
    <w:rsid w:val="00B73318"/>
    <w:rsid w:val="00B76529"/>
    <w:rsid w:val="00B80AE4"/>
    <w:rsid w:val="00B84360"/>
    <w:rsid w:val="00B85B69"/>
    <w:rsid w:val="00B918C3"/>
    <w:rsid w:val="00BB491F"/>
    <w:rsid w:val="00BC1916"/>
    <w:rsid w:val="00BD7F07"/>
    <w:rsid w:val="00BE02EA"/>
    <w:rsid w:val="00BF7CCA"/>
    <w:rsid w:val="00C04EA4"/>
    <w:rsid w:val="00C14699"/>
    <w:rsid w:val="00C21A1A"/>
    <w:rsid w:val="00C236F4"/>
    <w:rsid w:val="00C248FB"/>
    <w:rsid w:val="00C47111"/>
    <w:rsid w:val="00C7509C"/>
    <w:rsid w:val="00CC28D0"/>
    <w:rsid w:val="00CD1EB2"/>
    <w:rsid w:val="00CE2126"/>
    <w:rsid w:val="00D065E7"/>
    <w:rsid w:val="00D22D4A"/>
    <w:rsid w:val="00D40E65"/>
    <w:rsid w:val="00D567AC"/>
    <w:rsid w:val="00D70F2F"/>
    <w:rsid w:val="00D73064"/>
    <w:rsid w:val="00DA3994"/>
    <w:rsid w:val="00DB3D0C"/>
    <w:rsid w:val="00DC121F"/>
    <w:rsid w:val="00DD17CC"/>
    <w:rsid w:val="00DE3A98"/>
    <w:rsid w:val="00DE7A71"/>
    <w:rsid w:val="00E0076D"/>
    <w:rsid w:val="00E03676"/>
    <w:rsid w:val="00E27F3E"/>
    <w:rsid w:val="00E4230C"/>
    <w:rsid w:val="00E63096"/>
    <w:rsid w:val="00E66C72"/>
    <w:rsid w:val="00E77795"/>
    <w:rsid w:val="00EC52C9"/>
    <w:rsid w:val="00ED01AD"/>
    <w:rsid w:val="00ED0F61"/>
    <w:rsid w:val="00EE3C84"/>
    <w:rsid w:val="00EF2034"/>
    <w:rsid w:val="00EF3B38"/>
    <w:rsid w:val="00EF5B17"/>
    <w:rsid w:val="00F03451"/>
    <w:rsid w:val="00F14104"/>
    <w:rsid w:val="00F14B30"/>
    <w:rsid w:val="00F353FC"/>
    <w:rsid w:val="00F45C64"/>
    <w:rsid w:val="00F51491"/>
    <w:rsid w:val="00F63E56"/>
    <w:rsid w:val="00F67419"/>
    <w:rsid w:val="00F7112F"/>
    <w:rsid w:val="00F90169"/>
    <w:rsid w:val="00FA46F4"/>
    <w:rsid w:val="00FB1D2E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iPriority w:val="99"/>
    <w:semiHidden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4"/>
    <w:rPr>
      <w:b/>
      <w:bCs/>
    </w:rPr>
  </w:style>
  <w:style w:type="character" w:styleId="Emphasis">
    <w:name w:val="Emphasis"/>
    <w:basedOn w:val="DefaultParagraphFont"/>
    <w:uiPriority w:val="20"/>
    <w:qFormat/>
    <w:rsid w:val="00EE3C84"/>
    <w:rPr>
      <w:i/>
      <w:iCs/>
    </w:rPr>
  </w:style>
  <w:style w:type="character" w:styleId="Hyperlink">
    <w:name w:val="Hyperlink"/>
    <w:basedOn w:val="DefaultParagraphFont"/>
    <w:uiPriority w:val="99"/>
    <w:unhideWhenUsed/>
    <w:rsid w:val="00EE3C84"/>
    <w:rPr>
      <w:color w:val="0000FF"/>
      <w:u w:val="single"/>
    </w:rPr>
  </w:style>
  <w:style w:type="paragraph" w:customStyle="1" w:styleId="style2">
    <w:name w:val="style2"/>
    <w:basedOn w:val="Normal"/>
    <w:rsid w:val="00373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DAA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C0233"/>
  </w:style>
  <w:style w:type="paragraph" w:styleId="FootnoteText">
    <w:name w:val="footnote text"/>
    <w:basedOn w:val="Normal"/>
    <w:link w:val="FootnoteTextChar"/>
    <w:uiPriority w:val="99"/>
    <w:semiHidden/>
    <w:unhideWhenUsed/>
    <w:rsid w:val="00D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D17CC"/>
    <w:rPr>
      <w:rFonts w:cs="Narkisim"/>
      <w:position w:val="6"/>
      <w:szCs w:val="16"/>
      <w:lang w:bidi="he-IL"/>
    </w:rPr>
  </w:style>
  <w:style w:type="character" w:customStyle="1" w:styleId="coversetext">
    <w:name w:val="co_versetext"/>
    <w:basedOn w:val="DefaultParagraphFont"/>
    <w:rsid w:val="00834497"/>
  </w:style>
  <w:style w:type="character" w:customStyle="1" w:styleId="coversenum">
    <w:name w:val="co_versenum"/>
    <w:basedOn w:val="DefaultParagraphFont"/>
    <w:rsid w:val="0083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shiur-21-laws-wedding-11-customs-and-laws-wedding" TargetMode="External"/><Relationship Id="rId13" Type="http://schemas.openxmlformats.org/officeDocument/2006/relationships/hyperlink" Target="https://www.sefaria.org/Ketubot.1a?lang=he-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efaria.org/Ketubot.1a?lang=he-en" TargetMode="External"/><Relationship Id="rId17" Type="http://schemas.openxmlformats.org/officeDocument/2006/relationships/hyperlink" Target="https://drive.google.com/file/d/0BwgoR9DvCEi_NWU5ZTBhN2ItNTQ4Mi00MzE3LWE4ZGMtZDk5NDhlNDkyYWM5/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asif.co.il/?wpfb_dl=10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faria.org/Deuteronomy.24.1?lang=he-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faria.org/Shulchan_Arukh,_Even_HaEzer.55.1?lang=he-en" TargetMode="External"/><Relationship Id="rId10" Type="http://schemas.openxmlformats.org/officeDocument/2006/relationships/hyperlink" Target="https://www.sefaria.org/Deuteronomy.24.1?lang=he-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tzion.org.il/en/nisu%E2%80%99" TargetMode="External"/><Relationship Id="rId14" Type="http://schemas.openxmlformats.org/officeDocument/2006/relationships/hyperlink" Target="https://www.sefaria.org/Shulchan_Arukh,_Even_HaEzer.55.9?lang=he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9FB6-64B5-43B8-B6AB-4902FDEB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2</cp:revision>
  <dcterms:created xsi:type="dcterms:W3CDTF">2018-02-07T08:30:00Z</dcterms:created>
  <dcterms:modified xsi:type="dcterms:W3CDTF">2018-02-07T08:30:00Z</dcterms:modified>
</cp:coreProperties>
</file>