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EF" w:rsidRPr="00465948" w:rsidRDefault="00777CEF" w:rsidP="00777CEF">
      <w:pPr>
        <w:pStyle w:val="ad"/>
        <w:rPr>
          <w:rFonts w:ascii="Arial" w:hAnsi="Arial"/>
        </w:rPr>
      </w:pPr>
      <w:r w:rsidRPr="00465948">
        <w:rPr>
          <w:rFonts w:ascii="Arial" w:hAnsi="Arial"/>
          <w:rtl/>
        </w:rPr>
        <w:t xml:space="preserve">הרב </w:t>
      </w:r>
      <w:r>
        <w:rPr>
          <w:rFonts w:ascii="Arial" w:hAnsi="Arial"/>
          <w:rtl/>
        </w:rPr>
        <w:t>אהרן ליכטנשטיין</w:t>
      </w:r>
    </w:p>
    <w:p w:rsidR="00777CEF" w:rsidRPr="00491129" w:rsidRDefault="00777CEF" w:rsidP="00777CEF">
      <w:pPr>
        <w:pStyle w:val="ad"/>
        <w:rPr>
          <w:rFonts w:ascii="Arial" w:hAnsi="Arial"/>
          <w:rtl/>
        </w:rPr>
      </w:pPr>
      <w:r>
        <w:rPr>
          <w:rtl/>
        </w:rPr>
        <w:t>פרשת צו-שבת הגדול</w:t>
      </w:r>
    </w:p>
    <w:p w:rsidR="00777CEF" w:rsidRDefault="00777CEF" w:rsidP="00BF0022">
      <w:pPr>
        <w:pStyle w:val="1"/>
        <w:rPr>
          <w:rtl/>
        </w:rPr>
      </w:pPr>
      <w:r>
        <w:rPr>
          <w:rtl/>
        </w:rPr>
        <w:t>כנגד ארבעה בנים דיברה התורה</w:t>
      </w:r>
    </w:p>
    <w:p w:rsidR="00777CEF" w:rsidRPr="00BF0022" w:rsidRDefault="00777CEF" w:rsidP="00BF0022">
      <w:pPr>
        <w:pStyle w:val="a4"/>
        <w:rPr>
          <w:sz w:val="24"/>
          <w:rtl/>
        </w:rPr>
      </w:pPr>
      <w:r w:rsidRPr="00BF0022">
        <w:rPr>
          <w:sz w:val="24"/>
          <w:rtl/>
        </w:rPr>
        <w:t>"'מה העדות והחקים והמשפטים אשר צוה ה' אותנו' - נמצאת אתה אומר ארבעה בנים הם: אחד חכם ואחד רשע ואחד תם ואחד שאינו יודע לשאול.</w:t>
      </w:r>
    </w:p>
    <w:p w:rsidR="00777CEF" w:rsidRPr="00BF0022" w:rsidRDefault="00777CEF" w:rsidP="00777CEF">
      <w:pPr>
        <w:pStyle w:val="a4"/>
        <w:rPr>
          <w:sz w:val="24"/>
          <w:rtl/>
        </w:rPr>
      </w:pPr>
      <w:r w:rsidRPr="00BF0022">
        <w:rPr>
          <w:sz w:val="24"/>
          <w:u w:val="single"/>
          <w:rtl/>
        </w:rPr>
        <w:t>חכם</w:t>
      </w:r>
      <w:r w:rsidR="00BF0022" w:rsidRPr="00BF0022">
        <w:rPr>
          <w:sz w:val="24"/>
          <w:rtl/>
        </w:rPr>
        <w:t xml:space="preserve"> –</w:t>
      </w:r>
      <w:r w:rsidR="00BF0022" w:rsidRPr="00BF0022">
        <w:rPr>
          <w:rFonts w:hint="cs"/>
          <w:sz w:val="24"/>
          <w:rtl/>
        </w:rPr>
        <w:t xml:space="preserve"> מ</w:t>
      </w:r>
      <w:r w:rsidRPr="00BF0022">
        <w:rPr>
          <w:sz w:val="24"/>
          <w:rtl/>
        </w:rPr>
        <w:t>ה הוא אומר? 'מה העדות והחקים והמשפטים אשר צוה ה' א-להינו אותנו'. אף אתה פתח לו בהלכות הפסח: אין מפטירין אחר הפסח אפיקומן.</w:t>
      </w:r>
    </w:p>
    <w:p w:rsidR="00777CEF" w:rsidRPr="00BF0022" w:rsidRDefault="00777CEF" w:rsidP="00777CEF">
      <w:pPr>
        <w:pStyle w:val="a4"/>
        <w:rPr>
          <w:sz w:val="24"/>
          <w:rtl/>
        </w:rPr>
      </w:pPr>
      <w:r w:rsidRPr="00BF0022">
        <w:rPr>
          <w:sz w:val="24"/>
          <w:u w:val="single"/>
          <w:rtl/>
        </w:rPr>
        <w:t>רשע</w:t>
      </w:r>
      <w:r w:rsidR="00BF0022" w:rsidRPr="00BF0022">
        <w:rPr>
          <w:sz w:val="24"/>
          <w:rtl/>
        </w:rPr>
        <w:t xml:space="preserve"> –</w:t>
      </w:r>
      <w:r w:rsidR="00BF0022" w:rsidRPr="00BF0022">
        <w:rPr>
          <w:rFonts w:hint="cs"/>
          <w:sz w:val="24"/>
          <w:rtl/>
        </w:rPr>
        <w:t xml:space="preserve"> </w:t>
      </w:r>
      <w:r w:rsidRPr="00BF0022">
        <w:rPr>
          <w:sz w:val="24"/>
          <w:rtl/>
        </w:rPr>
        <w:t>מה הוא אומר? 'מה העבודה הזאת לכם' - ולא לו. ולפי שהוציא עצמו מן הכלל וכפר בעיקר, אף אתה הקהה את שיניו, ואמור לו: 'בעבור זה עשה ה' לי בצאתי ממצרים' - לי ולא לך. אילו היית שם לא היית נגאל.</w:t>
      </w:r>
    </w:p>
    <w:p w:rsidR="00777CEF" w:rsidRPr="00BF0022" w:rsidRDefault="00777CEF" w:rsidP="00BF0022">
      <w:pPr>
        <w:pStyle w:val="a4"/>
        <w:rPr>
          <w:sz w:val="24"/>
          <w:rtl/>
        </w:rPr>
      </w:pPr>
      <w:r w:rsidRPr="00BF0022">
        <w:rPr>
          <w:sz w:val="24"/>
          <w:u w:val="single"/>
          <w:rtl/>
        </w:rPr>
        <w:t>תם</w:t>
      </w:r>
      <w:r w:rsidR="00BF0022" w:rsidRPr="00BF0022">
        <w:rPr>
          <w:sz w:val="24"/>
          <w:rtl/>
        </w:rPr>
        <w:t xml:space="preserve"> –</w:t>
      </w:r>
      <w:r w:rsidR="00BF0022" w:rsidRPr="00BF0022">
        <w:rPr>
          <w:rFonts w:hint="cs"/>
          <w:sz w:val="24"/>
          <w:rtl/>
        </w:rPr>
        <w:t xml:space="preserve"> </w:t>
      </w:r>
      <w:r w:rsidRPr="00BF0022">
        <w:rPr>
          <w:sz w:val="24"/>
          <w:rtl/>
        </w:rPr>
        <w:t>מה הוא אומר? 'מה זאת'. ואמרת אליו 'בחוזק יד הוציאנו ה' ממצרים מבית עבדים'.</w:t>
      </w:r>
    </w:p>
    <w:p w:rsidR="00BF0022" w:rsidRPr="00BF0022" w:rsidRDefault="00777CEF" w:rsidP="00777CEF">
      <w:pPr>
        <w:pStyle w:val="a4"/>
        <w:rPr>
          <w:sz w:val="24"/>
          <w:rtl/>
        </w:rPr>
      </w:pPr>
      <w:r w:rsidRPr="00BF0022">
        <w:rPr>
          <w:sz w:val="24"/>
          <w:u w:val="single"/>
          <w:rtl/>
        </w:rPr>
        <w:t>ושאינו יודע לשאול</w:t>
      </w:r>
      <w:r w:rsidR="00BF0022" w:rsidRPr="00BF0022">
        <w:rPr>
          <w:sz w:val="24"/>
          <w:rtl/>
        </w:rPr>
        <w:t xml:space="preserve"> –</w:t>
      </w:r>
      <w:r w:rsidR="00BF0022" w:rsidRPr="00BF0022">
        <w:rPr>
          <w:rFonts w:hint="cs"/>
          <w:sz w:val="24"/>
          <w:rtl/>
        </w:rPr>
        <w:t xml:space="preserve"> </w:t>
      </w:r>
      <w:r w:rsidRPr="00BF0022">
        <w:rPr>
          <w:sz w:val="24"/>
          <w:rtl/>
        </w:rPr>
        <w:t>את פתח לו, שנאמר 'והגדת לבנך ביום ההוא וגו''".</w:t>
      </w:r>
      <w:r w:rsidRPr="00BF0022">
        <w:rPr>
          <w:sz w:val="24"/>
          <w:rtl/>
        </w:rPr>
        <w:tab/>
        <w:t xml:space="preserve"> </w:t>
      </w:r>
    </w:p>
    <w:p w:rsidR="00777CEF" w:rsidRPr="00BF0022" w:rsidRDefault="00777CEF" w:rsidP="00BF0022">
      <w:pPr>
        <w:pStyle w:val="5"/>
        <w:rPr>
          <w:sz w:val="24"/>
          <w:szCs w:val="24"/>
          <w:rtl/>
        </w:rPr>
      </w:pPr>
      <w:r w:rsidRPr="00BF0022">
        <w:rPr>
          <w:sz w:val="24"/>
          <w:szCs w:val="24"/>
          <w:rtl/>
        </w:rPr>
        <w:t>(מכילתא בא פרשה י"ח)</w:t>
      </w:r>
    </w:p>
    <w:p w:rsidR="00777CEF" w:rsidRPr="00BF0022" w:rsidRDefault="00777CEF" w:rsidP="00777CEF">
      <w:pPr>
        <w:pStyle w:val="2"/>
        <w:rPr>
          <w:sz w:val="24"/>
          <w:szCs w:val="24"/>
          <w:rtl/>
        </w:rPr>
      </w:pPr>
      <w:r w:rsidRPr="00BF0022">
        <w:rPr>
          <w:sz w:val="24"/>
          <w:szCs w:val="24"/>
          <w:rtl/>
        </w:rPr>
        <w:t>זיקת שאלות הבנים לכניסה לארץ</w:t>
      </w:r>
    </w:p>
    <w:p w:rsidR="00777CEF" w:rsidRPr="00BF0022" w:rsidRDefault="00777CEF" w:rsidP="00777CEF">
      <w:pPr>
        <w:rPr>
          <w:sz w:val="24"/>
          <w:szCs w:val="24"/>
          <w:rtl/>
        </w:rPr>
      </w:pPr>
      <w:r w:rsidRPr="00BF0022">
        <w:rPr>
          <w:sz w:val="24"/>
          <w:szCs w:val="24"/>
          <w:rtl/>
        </w:rPr>
        <w:t>שאלות הבנים שונות, הן מצד תכנן והן מצד הרקע שלהן.</w:t>
      </w:r>
    </w:p>
    <w:p w:rsidR="00777CEF" w:rsidRPr="00BF0022" w:rsidRDefault="00777CEF" w:rsidP="00BF0022">
      <w:pPr>
        <w:rPr>
          <w:sz w:val="24"/>
          <w:szCs w:val="24"/>
          <w:rtl/>
        </w:rPr>
      </w:pPr>
      <w:r w:rsidRPr="00BF0022">
        <w:rPr>
          <w:sz w:val="24"/>
          <w:szCs w:val="24"/>
          <w:rtl/>
        </w:rPr>
        <w:t>הבן החכם שואל על פרטי ההלכות והדינים - "מה העדות והחוקים והמשפטים". החכם שואל מתוך מסגרת ההלכה. הוא שואל שאלות בסיסיות המתעוררות אצל כל אדם הקשור בקשר אמיץ לתורה, המושרש באוהלה של תורה. אדם שאין השאלות הללו מתעוררות אצלו, אדם שרק גורס ואינו מעיין, אמנם מקיים מצות תלמו</w:t>
      </w:r>
      <w:r w:rsidR="00BF0022" w:rsidRPr="00BF0022">
        <w:rPr>
          <w:sz w:val="24"/>
          <w:szCs w:val="24"/>
          <w:rtl/>
        </w:rPr>
        <w:t>ד-תורה, אך הקשר שלו לתורה לקוי</w:t>
      </w:r>
      <w:r w:rsidR="00BF0022" w:rsidRPr="00BF0022">
        <w:rPr>
          <w:rFonts w:hint="cs"/>
          <w:sz w:val="24"/>
          <w:szCs w:val="24"/>
          <w:rtl/>
        </w:rPr>
        <w:t xml:space="preserve"> </w:t>
      </w:r>
      <w:r w:rsidR="00BF0022" w:rsidRPr="00BF0022">
        <w:rPr>
          <w:sz w:val="24"/>
          <w:szCs w:val="24"/>
          <w:rtl/>
        </w:rPr>
        <w:t>–</w:t>
      </w:r>
      <w:r w:rsidR="00BF0022" w:rsidRPr="00BF0022">
        <w:rPr>
          <w:rFonts w:hint="cs"/>
          <w:sz w:val="24"/>
          <w:szCs w:val="24"/>
          <w:rtl/>
        </w:rPr>
        <w:t xml:space="preserve"> </w:t>
      </w:r>
      <w:r w:rsidRPr="00BF0022">
        <w:rPr>
          <w:sz w:val="24"/>
          <w:szCs w:val="24"/>
          <w:rtl/>
        </w:rPr>
        <w:t>אין לו קשר לעומקה של התורה ואין לו עומק של קשר לתורה.</w:t>
      </w:r>
    </w:p>
    <w:p w:rsidR="00777CEF" w:rsidRPr="00BF0022" w:rsidRDefault="00777CEF" w:rsidP="00BF0022">
      <w:pPr>
        <w:rPr>
          <w:sz w:val="24"/>
          <w:szCs w:val="24"/>
          <w:rtl/>
        </w:rPr>
      </w:pPr>
      <w:r w:rsidRPr="00BF0022">
        <w:rPr>
          <w:sz w:val="24"/>
          <w:szCs w:val="24"/>
          <w:rtl/>
        </w:rPr>
        <w:t>שאלת הרשע שונה משאלת החכם. הרשע שואל מחוץ למסגרת ההלכה. אמנם מתוך הכרתה של מסגרת ההלכה, אך כשהוא מחוץ לה, מתוך מבט-על כביכול. כתוצאה מכך, אף תוכן שאלתו שונה. הוא אינו שואל לפרטי-הפרטים של</w:t>
      </w:r>
      <w:r w:rsidR="00BF0022" w:rsidRPr="00BF0022">
        <w:rPr>
          <w:sz w:val="24"/>
          <w:szCs w:val="24"/>
          <w:rtl/>
        </w:rPr>
        <w:t xml:space="preserve"> ההלכה, אלא באופן כללי, קנטרני</w:t>
      </w:r>
      <w:r w:rsidR="00BF0022" w:rsidRPr="00BF0022">
        <w:rPr>
          <w:rFonts w:hint="cs"/>
          <w:sz w:val="24"/>
          <w:szCs w:val="24"/>
          <w:rtl/>
        </w:rPr>
        <w:t xml:space="preserve"> </w:t>
      </w:r>
      <w:r w:rsidR="00BF0022" w:rsidRPr="00BF0022">
        <w:rPr>
          <w:sz w:val="24"/>
          <w:szCs w:val="24"/>
          <w:rtl/>
        </w:rPr>
        <w:t>–</w:t>
      </w:r>
      <w:r w:rsidR="00BF0022" w:rsidRPr="00BF0022">
        <w:rPr>
          <w:rFonts w:hint="cs"/>
          <w:sz w:val="24"/>
          <w:szCs w:val="24"/>
          <w:rtl/>
        </w:rPr>
        <w:t xml:space="preserve"> </w:t>
      </w:r>
      <w:r w:rsidRPr="00BF0022">
        <w:rPr>
          <w:sz w:val="24"/>
          <w:szCs w:val="24"/>
          <w:rtl/>
        </w:rPr>
        <w:t>"מה העבודה הזאת לכם?". אני מכיר את העבודה הזו, ואני סבור שהיא מיותרת!</w:t>
      </w:r>
    </w:p>
    <w:p w:rsidR="00BF0022" w:rsidRDefault="00777CEF" w:rsidP="00BF0022">
      <w:pPr>
        <w:rPr>
          <w:sz w:val="24"/>
          <w:szCs w:val="24"/>
          <w:rtl/>
        </w:rPr>
      </w:pPr>
      <w:r w:rsidRPr="00BF0022">
        <w:rPr>
          <w:sz w:val="24"/>
          <w:szCs w:val="24"/>
          <w:rtl/>
        </w:rPr>
        <w:t>אך לא רק בין הרשע לחכם יש הבדל ברקע, אלא אף בין הרשע לתם. לשאלות הרשע והתם, בניגוד לשאלת החכם, ישנו קשר לכניסה לארץ, אך הקשר הזה שונה אצל</w:t>
      </w:r>
      <w:r w:rsidR="00BF0022" w:rsidRPr="00BF0022">
        <w:rPr>
          <w:sz w:val="24"/>
          <w:szCs w:val="24"/>
          <w:rtl/>
        </w:rPr>
        <w:t xml:space="preserve"> הרשע מהתם. אצל הרשע הקשר הדוק –</w:t>
      </w:r>
      <w:r w:rsidR="00BF0022" w:rsidRPr="00BF0022">
        <w:rPr>
          <w:rFonts w:hint="cs"/>
          <w:sz w:val="24"/>
          <w:szCs w:val="24"/>
          <w:rtl/>
        </w:rPr>
        <w:t xml:space="preserve"> </w:t>
      </w:r>
    </w:p>
    <w:p w:rsidR="00277060" w:rsidRDefault="00277060" w:rsidP="00277060">
      <w:pPr>
        <w:pStyle w:val="a4"/>
        <w:rPr>
          <w:rtl/>
        </w:rPr>
      </w:pPr>
      <w:r>
        <w:rPr>
          <w:rFonts w:hint="cs"/>
          <w:rtl/>
        </w:rPr>
        <w:t>"</w:t>
      </w:r>
      <w:r w:rsidRPr="00277060">
        <w:rPr>
          <w:rtl/>
        </w:rPr>
        <w:t xml:space="preserve">וְהָיָה כִּי תָבֹאוּ אֶל הָאָרֶץ </w:t>
      </w:r>
      <w:r>
        <w:rPr>
          <w:rFonts w:hint="cs"/>
          <w:rtl/>
        </w:rPr>
        <w:t>...</w:t>
      </w:r>
      <w:r w:rsidRPr="00277060">
        <w:rPr>
          <w:rtl/>
        </w:rPr>
        <w:t xml:space="preserve"> וּשְׁ</w:t>
      </w:r>
      <w:r>
        <w:rPr>
          <w:rtl/>
        </w:rPr>
        <w:t>מַרְתֶּם אֶת הָעֲבֹדָה הַזֹּאת</w:t>
      </w:r>
      <w:r>
        <w:rPr>
          <w:rFonts w:hint="cs"/>
          <w:rtl/>
        </w:rPr>
        <w:t>.</w:t>
      </w:r>
      <w:r w:rsidRPr="00277060">
        <w:rPr>
          <w:rtl/>
        </w:rPr>
        <w:t xml:space="preserve"> וְהָיָה כִּי יֹאמְרוּ אֲלֵיכֶם בְּנֵיכֶם</w:t>
      </w:r>
      <w:r>
        <w:rPr>
          <w:rFonts w:hint="cs"/>
          <w:rtl/>
        </w:rPr>
        <w:t>:</w:t>
      </w:r>
      <w:r w:rsidRPr="00277060">
        <w:rPr>
          <w:rtl/>
        </w:rPr>
        <w:t xml:space="preserve"> מָה</w:t>
      </w:r>
      <w:r>
        <w:rPr>
          <w:rtl/>
        </w:rPr>
        <w:t xml:space="preserve"> הָעֲבֹדָה הַזֹּאת לָכֶם</w:t>
      </w:r>
      <w:r>
        <w:rPr>
          <w:rFonts w:hint="cs"/>
          <w:rtl/>
        </w:rPr>
        <w:t>?"</w:t>
      </w:r>
    </w:p>
    <w:p w:rsidR="00277060" w:rsidRDefault="00277060" w:rsidP="00277060">
      <w:pPr>
        <w:pStyle w:val="5"/>
        <w:rPr>
          <w:rtl/>
        </w:rPr>
      </w:pPr>
      <w:r>
        <w:rPr>
          <w:rFonts w:hint="cs"/>
          <w:rtl/>
        </w:rPr>
        <w:t>(שמות י"ב, כה-כו)</w:t>
      </w:r>
    </w:p>
    <w:p w:rsidR="00BF0022" w:rsidRDefault="00BF0022" w:rsidP="00BF0022">
      <w:pPr>
        <w:rPr>
          <w:sz w:val="24"/>
          <w:szCs w:val="24"/>
          <w:rtl/>
        </w:rPr>
      </w:pPr>
      <w:r>
        <w:rPr>
          <w:rFonts w:hint="cs"/>
          <w:sz w:val="24"/>
          <w:szCs w:val="24"/>
          <w:rtl/>
        </w:rPr>
        <w:t>לעומת הרשע,</w:t>
      </w:r>
      <w:r w:rsidR="00777CEF" w:rsidRPr="00BF0022">
        <w:rPr>
          <w:sz w:val="24"/>
          <w:szCs w:val="24"/>
          <w:rtl/>
        </w:rPr>
        <w:t xml:space="preserve"> אצל התם הכניסה לארץ היא רק תיאור של זמן השאלה - לאחר הכניסה לארץ. התם שואל את שאלתו על רקע ההתרחקות מיציאת-מצרים וממעמ</w:t>
      </w:r>
      <w:r>
        <w:rPr>
          <w:sz w:val="24"/>
          <w:szCs w:val="24"/>
          <w:rtl/>
        </w:rPr>
        <w:t>ד הר-סיני, על רקע השכחה והבורות</w:t>
      </w:r>
      <w:r>
        <w:rPr>
          <w:rFonts w:hint="cs"/>
          <w:sz w:val="24"/>
          <w:szCs w:val="24"/>
          <w:rtl/>
        </w:rPr>
        <w:t>:</w:t>
      </w:r>
      <w:r w:rsidR="00777CEF" w:rsidRPr="00BF0022">
        <w:rPr>
          <w:sz w:val="24"/>
          <w:szCs w:val="24"/>
          <w:rtl/>
        </w:rPr>
        <w:t xml:space="preserve"> </w:t>
      </w:r>
    </w:p>
    <w:p w:rsidR="00277060" w:rsidRDefault="00277060" w:rsidP="00277060">
      <w:pPr>
        <w:pStyle w:val="a4"/>
        <w:rPr>
          <w:rtl/>
        </w:rPr>
      </w:pPr>
      <w:r>
        <w:rPr>
          <w:rFonts w:hint="cs"/>
          <w:rtl/>
        </w:rPr>
        <w:t>"</w:t>
      </w:r>
      <w:r w:rsidRPr="00277060">
        <w:rPr>
          <w:rtl/>
        </w:rPr>
        <w:t xml:space="preserve">וְהָיָה כִּי יִשְׁאָלְךָ בִנְךָ </w:t>
      </w:r>
      <w:r w:rsidRPr="00277060">
        <w:rPr>
          <w:b/>
          <w:bCs/>
          <w:rtl/>
        </w:rPr>
        <w:t>מָחָר</w:t>
      </w:r>
      <w:r w:rsidRPr="00277060">
        <w:rPr>
          <w:rtl/>
        </w:rPr>
        <w:t xml:space="preserve"> לֵאמֹר מַה זֹּאת</w:t>
      </w:r>
      <w:r>
        <w:rPr>
          <w:rFonts w:hint="cs"/>
          <w:rtl/>
        </w:rPr>
        <w:t>."</w:t>
      </w:r>
    </w:p>
    <w:p w:rsidR="00277060" w:rsidRDefault="00277060" w:rsidP="00277060">
      <w:pPr>
        <w:pStyle w:val="5"/>
        <w:rPr>
          <w:rtl/>
        </w:rPr>
      </w:pPr>
      <w:r>
        <w:rPr>
          <w:rFonts w:hint="cs"/>
          <w:rtl/>
        </w:rPr>
        <w:t>(שמות י"ג, יד)</w:t>
      </w:r>
      <w:r w:rsidRPr="00277060">
        <w:rPr>
          <w:rtl/>
        </w:rPr>
        <w:t xml:space="preserve"> </w:t>
      </w:r>
    </w:p>
    <w:p w:rsidR="00BF0022" w:rsidRPr="00BF0022" w:rsidRDefault="00BF0022" w:rsidP="00BF0022">
      <w:pPr>
        <w:rPr>
          <w:sz w:val="24"/>
          <w:szCs w:val="24"/>
          <w:rtl/>
        </w:rPr>
      </w:pPr>
      <w:r>
        <w:rPr>
          <w:rFonts w:hint="cs"/>
          <w:sz w:val="24"/>
          <w:szCs w:val="24"/>
          <w:rtl/>
        </w:rPr>
        <w:t>ו</w:t>
      </w:r>
      <w:r w:rsidRPr="00BF0022">
        <w:rPr>
          <w:sz w:val="24"/>
          <w:szCs w:val="24"/>
          <w:rtl/>
        </w:rPr>
        <w:t>מפרש רש"י</w:t>
      </w:r>
      <w:r w:rsidR="00277060">
        <w:rPr>
          <w:rFonts w:hint="cs"/>
          <w:sz w:val="24"/>
          <w:szCs w:val="24"/>
          <w:rtl/>
        </w:rPr>
        <w:t xml:space="preserve"> על אתר</w:t>
      </w:r>
      <w:r w:rsidRPr="00BF0022">
        <w:rPr>
          <w:sz w:val="24"/>
          <w:szCs w:val="24"/>
          <w:rtl/>
        </w:rPr>
        <w:t xml:space="preserve"> (וכך במכילתא שם)</w:t>
      </w:r>
      <w:r w:rsidRPr="00BF0022">
        <w:rPr>
          <w:rFonts w:hint="cs"/>
          <w:sz w:val="24"/>
          <w:szCs w:val="24"/>
          <w:rtl/>
        </w:rPr>
        <w:t>:</w:t>
      </w:r>
      <w:r w:rsidR="00777CEF" w:rsidRPr="00BF0022">
        <w:rPr>
          <w:sz w:val="24"/>
          <w:szCs w:val="24"/>
          <w:rtl/>
        </w:rPr>
        <w:t xml:space="preserve"> </w:t>
      </w:r>
    </w:p>
    <w:p w:rsidR="00BF0022" w:rsidRPr="00BF0022" w:rsidRDefault="00777CEF" w:rsidP="00BF0022">
      <w:pPr>
        <w:pStyle w:val="a4"/>
        <w:rPr>
          <w:sz w:val="24"/>
          <w:rtl/>
        </w:rPr>
      </w:pPr>
      <w:r w:rsidRPr="00BF0022">
        <w:rPr>
          <w:sz w:val="24"/>
          <w:rtl/>
        </w:rPr>
        <w:t xml:space="preserve">"יש מחר עכשיו ויש מחר לאחר זמן". </w:t>
      </w:r>
    </w:p>
    <w:p w:rsidR="00777CEF" w:rsidRPr="00BF0022" w:rsidRDefault="00777CEF" w:rsidP="00BF0022">
      <w:pPr>
        <w:rPr>
          <w:sz w:val="24"/>
          <w:szCs w:val="24"/>
          <w:rtl/>
        </w:rPr>
      </w:pPr>
      <w:r w:rsidRPr="00BF0022">
        <w:rPr>
          <w:sz w:val="24"/>
          <w:szCs w:val="24"/>
          <w:rtl/>
        </w:rPr>
        <w:t xml:space="preserve">התם שואל שאלתו מחר - לאחר זמן. ומכאן  גם  תוכן שאלתו - "מה זאת?" </w:t>
      </w:r>
      <w:bookmarkStart w:id="0" w:name="_GoBack"/>
      <w:bookmarkEnd w:id="0"/>
      <w:r w:rsidRPr="00BF0022">
        <w:rPr>
          <w:sz w:val="24"/>
          <w:szCs w:val="24"/>
          <w:rtl/>
        </w:rPr>
        <w:t>- מה קורה פה? הוא לא מכיר את המערכת. לעומתו, הרשע שואל את שאלתו על רקע הכניסה לארץ, מתוך ידיעה ברורה והכרה מלאה של ההלכה. לטענתו, כיוון שהשתנתה המציאות הלאומית והחברתית, אין עוד מקום להלכות ולחוקים המיושנים, כביכול, אשר נועדו למציאות של גלות.</w:t>
      </w:r>
    </w:p>
    <w:p w:rsidR="00777CEF" w:rsidRPr="00BF0022" w:rsidRDefault="00EB5473" w:rsidP="00777CEF">
      <w:pPr>
        <w:pStyle w:val="2"/>
        <w:rPr>
          <w:sz w:val="24"/>
          <w:szCs w:val="24"/>
          <w:rtl/>
        </w:rPr>
      </w:pPr>
      <w:r>
        <w:rPr>
          <w:sz w:val="24"/>
          <w:szCs w:val="24"/>
          <w:rtl/>
        </w:rPr>
        <w:t xml:space="preserve"> תורה אחת</w:t>
      </w:r>
      <w:r>
        <w:rPr>
          <w:rFonts w:hint="cs"/>
          <w:sz w:val="24"/>
          <w:szCs w:val="24"/>
          <w:rtl/>
        </w:rPr>
        <w:t xml:space="preserve"> </w:t>
      </w:r>
      <w:r>
        <w:rPr>
          <w:sz w:val="24"/>
          <w:szCs w:val="24"/>
          <w:rtl/>
        </w:rPr>
        <w:t>–</w:t>
      </w:r>
      <w:r>
        <w:rPr>
          <w:rFonts w:hint="cs"/>
          <w:sz w:val="24"/>
          <w:szCs w:val="24"/>
          <w:rtl/>
        </w:rPr>
        <w:t xml:space="preserve"> א</w:t>
      </w:r>
      <w:r w:rsidR="00777CEF" w:rsidRPr="00BF0022">
        <w:rPr>
          <w:sz w:val="24"/>
          <w:szCs w:val="24"/>
          <w:rtl/>
        </w:rPr>
        <w:t>רבע תשובות</w:t>
      </w:r>
    </w:p>
    <w:p w:rsidR="00777CEF" w:rsidRPr="00BF0022" w:rsidRDefault="00777CEF" w:rsidP="00EB5473">
      <w:pPr>
        <w:rPr>
          <w:sz w:val="24"/>
          <w:szCs w:val="24"/>
          <w:rtl/>
        </w:rPr>
      </w:pPr>
      <w:r w:rsidRPr="00BF0022">
        <w:rPr>
          <w:sz w:val="24"/>
          <w:szCs w:val="24"/>
          <w:rtl/>
        </w:rPr>
        <w:t>שני מסרים לענייני חינוך נוב</w:t>
      </w:r>
      <w:r w:rsidR="00EB5473">
        <w:rPr>
          <w:sz w:val="24"/>
          <w:szCs w:val="24"/>
          <w:rtl/>
        </w:rPr>
        <w:t>עים מדברי התורה ומדברי חז"ל ב</w:t>
      </w:r>
      <w:r w:rsidR="00EB5473">
        <w:rPr>
          <w:rFonts w:hint="cs"/>
          <w:sz w:val="24"/>
          <w:szCs w:val="24"/>
          <w:rtl/>
        </w:rPr>
        <w:t>עניין זה</w:t>
      </w:r>
      <w:r w:rsidRPr="00BF0022">
        <w:rPr>
          <w:sz w:val="24"/>
          <w:szCs w:val="24"/>
          <w:rtl/>
        </w:rPr>
        <w:t xml:space="preserve">. הראשון הוא הצורך בדיפרנציאציה בחינוך ובהסברה. יש להכיר בכך שאין תשובה אחת ויחידה לכל השואלים. ישנם </w:t>
      </w:r>
      <w:r w:rsidR="00EB5473">
        <w:rPr>
          <w:sz w:val="24"/>
          <w:szCs w:val="24"/>
          <w:rtl/>
        </w:rPr>
        <w:t>המנסים להגיד שישנה תשובה אחת –</w:t>
      </w:r>
      <w:r w:rsidR="00EB5473">
        <w:rPr>
          <w:rFonts w:hint="cs"/>
          <w:sz w:val="24"/>
          <w:szCs w:val="24"/>
          <w:rtl/>
        </w:rPr>
        <w:t xml:space="preserve"> ת</w:t>
      </w:r>
      <w:r w:rsidRPr="00BF0022">
        <w:rPr>
          <w:sz w:val="24"/>
          <w:szCs w:val="24"/>
          <w:rtl/>
        </w:rPr>
        <w:t xml:space="preserve">שובה נצחית וניצחת. אך כאן באה התורה ללמדנו, שלכל דור, לכל מצב חברתי ולכל </w:t>
      </w:r>
      <w:r w:rsidRPr="00BF0022">
        <w:rPr>
          <w:sz w:val="24"/>
          <w:szCs w:val="24"/>
          <w:rtl/>
        </w:rPr>
        <w:lastRenderedPageBreak/>
        <w:t xml:space="preserve">השפעה תרבותית </w:t>
      </w:r>
      <w:r w:rsidR="00EB5473">
        <w:rPr>
          <w:sz w:val="24"/>
          <w:szCs w:val="24"/>
          <w:rtl/>
        </w:rPr>
        <w:t>–</w:t>
      </w:r>
      <w:r w:rsidR="00EB5473">
        <w:rPr>
          <w:rFonts w:hint="cs"/>
          <w:sz w:val="24"/>
          <w:szCs w:val="24"/>
          <w:rtl/>
        </w:rPr>
        <w:t xml:space="preserve"> ת</w:t>
      </w:r>
      <w:r w:rsidRPr="00BF0022">
        <w:rPr>
          <w:sz w:val="24"/>
          <w:szCs w:val="24"/>
          <w:rtl/>
        </w:rPr>
        <w:t>שובה אחרת. אין אפשרות לענות תשובה אחת לכולם.</w:t>
      </w:r>
    </w:p>
    <w:p w:rsidR="00777CEF" w:rsidRPr="00BF0022" w:rsidRDefault="00777CEF" w:rsidP="00777CEF">
      <w:pPr>
        <w:rPr>
          <w:sz w:val="24"/>
          <w:szCs w:val="24"/>
          <w:rtl/>
        </w:rPr>
      </w:pPr>
      <w:r w:rsidRPr="00BF0022">
        <w:rPr>
          <w:sz w:val="24"/>
          <w:szCs w:val="24"/>
          <w:rtl/>
        </w:rPr>
        <w:t>המסר השני הוא שיש להכי</w:t>
      </w:r>
      <w:r w:rsidR="00EB5473">
        <w:rPr>
          <w:sz w:val="24"/>
          <w:szCs w:val="24"/>
          <w:rtl/>
        </w:rPr>
        <w:t>ן מראש תשובה לבעיות הדור. "והיה כי</w:t>
      </w:r>
      <w:r w:rsidRPr="00BF0022">
        <w:rPr>
          <w:sz w:val="24"/>
          <w:szCs w:val="24"/>
          <w:rtl/>
        </w:rPr>
        <w:t xml:space="preserve"> ישאלך בנך מחר" - בין אם נבין את המלה "כי" בלשון "אם" ובין בלשון "כאשר", התורה באה ללמדנו שאין להסתפק בתשובה לבעיות העכשוויות, אלא יש לחשוב מה יהיו בעיות המחר, וכיצד יש לפתור אותן. יש לראות את הנולד, לצפות את ההתפתחויות ולהכין תשובות לשאלות העתיד. ההתדרדרות שחלה בעולם היהודי מסוף המאה השמונה-עשרה נבעה בחלקה מתוך חוסר הכנה לעתיד ואי ראיית הנולד. תופעה זו, אמנם, הייתה בלתי נמנעת, מתוך חוסר ההכרה של העולם הסובב ושל ההתפתחויות שחלו בתרבות-המערב באותו זמן. עד ימינו אלה סובל הציבור הדתי מאי-ראיית הנולד, ואנו רואים שמקבלים בהפתעה גמורה התפתחויות פוליטיות ואידיאולוגיות שניתן היה לצפותן מראש ולהכין להן את התשובות הראויות.</w:t>
      </w:r>
    </w:p>
    <w:p w:rsidR="00777CEF" w:rsidRPr="00BF0022" w:rsidRDefault="00777CEF" w:rsidP="00777CEF">
      <w:pPr>
        <w:rPr>
          <w:sz w:val="24"/>
          <w:szCs w:val="24"/>
          <w:rtl/>
        </w:rPr>
      </w:pPr>
      <w:r w:rsidRPr="00BF0022">
        <w:rPr>
          <w:sz w:val="24"/>
          <w:szCs w:val="24"/>
          <w:rtl/>
        </w:rPr>
        <w:t>בציבור הכללי ישנם מן טיפוס התם, שאינם יודעים שמץ של יהדות, בורים גמורים, שאיתם צריך להתחיל מאל"ף-בי"ת. אך ישנם גם "רשעים", המכירים את התורה לפרטיה ודקדוקיה, אך מתנגדים לה אי</w:t>
      </w:r>
      <w:r w:rsidR="00EB5473">
        <w:rPr>
          <w:sz w:val="24"/>
          <w:szCs w:val="24"/>
          <w:rtl/>
        </w:rPr>
        <w:t>דיאולוגית: אם משמאל ואם מימין</w:t>
      </w:r>
      <w:r w:rsidR="00EB5473">
        <w:rPr>
          <w:rFonts w:hint="cs"/>
          <w:sz w:val="24"/>
          <w:szCs w:val="24"/>
          <w:rtl/>
        </w:rPr>
        <w:t>.</w:t>
      </w:r>
      <w:r w:rsidRPr="00BF0022">
        <w:rPr>
          <w:sz w:val="24"/>
          <w:szCs w:val="24"/>
          <w:rtl/>
        </w:rPr>
        <w:t xml:space="preserve"> התנגדות לתורה מפני שהיא גורמת להסחת הדעת מבעיות אנושיות</w:t>
      </w:r>
      <w:r w:rsidR="00EB5473">
        <w:rPr>
          <w:sz w:val="24"/>
          <w:szCs w:val="24"/>
          <w:rtl/>
        </w:rPr>
        <w:t xml:space="preserve"> לאומיות וחברתיות –</w:t>
      </w:r>
      <w:r w:rsidR="00EB5473">
        <w:rPr>
          <w:rFonts w:hint="cs"/>
          <w:sz w:val="24"/>
          <w:szCs w:val="24"/>
          <w:rtl/>
        </w:rPr>
        <w:t xml:space="preserve"> </w:t>
      </w:r>
      <w:r w:rsidR="00EB5473">
        <w:rPr>
          <w:sz w:val="24"/>
          <w:szCs w:val="24"/>
          <w:rtl/>
        </w:rPr>
        <w:t xml:space="preserve">מה העבודה הזאת לכם? </w:t>
      </w:r>
      <w:r w:rsidRPr="00BF0022">
        <w:rPr>
          <w:sz w:val="24"/>
          <w:szCs w:val="24"/>
          <w:rtl/>
        </w:rPr>
        <w:t>אתם עובדים בדברים שאינם עיקריים היום. בנוסף</w:t>
      </w:r>
      <w:r w:rsidR="00EB5473">
        <w:rPr>
          <w:rFonts w:hint="cs"/>
          <w:sz w:val="24"/>
          <w:szCs w:val="24"/>
          <w:rtl/>
        </w:rPr>
        <w:t>,</w:t>
      </w:r>
      <w:r w:rsidRPr="00BF0022">
        <w:rPr>
          <w:sz w:val="24"/>
          <w:szCs w:val="24"/>
          <w:rtl/>
        </w:rPr>
        <w:t xml:space="preserve"> ישנה אצלם התנגדות לתורה מתוך התנגדות לגלותיות שהיא מסמלת עבורם.</w:t>
      </w:r>
    </w:p>
    <w:p w:rsidR="00777CEF" w:rsidRPr="00BF0022" w:rsidRDefault="00777CEF" w:rsidP="00134C7B">
      <w:pPr>
        <w:rPr>
          <w:sz w:val="24"/>
          <w:szCs w:val="24"/>
          <w:rtl/>
        </w:rPr>
      </w:pPr>
      <w:r w:rsidRPr="00BF0022">
        <w:rPr>
          <w:sz w:val="24"/>
          <w:szCs w:val="24"/>
          <w:rtl/>
        </w:rPr>
        <w:t>ישנם המנסים להשפיע על רשעים אלו מתוך גישה, שגם בהם קיימת "הנקודה היהודית", אלא שמכסות אותה "קליפות". אך זו אינה דרכנו. אנו סוברים שיש</w:t>
      </w:r>
      <w:r w:rsidR="00134C7B">
        <w:rPr>
          <w:sz w:val="24"/>
          <w:szCs w:val="24"/>
          <w:rtl/>
        </w:rPr>
        <w:t xml:space="preserve"> להתעמת איתם ולהתנגד להם בתוקף</w:t>
      </w:r>
      <w:r w:rsidR="00134C7B">
        <w:rPr>
          <w:rFonts w:hint="cs"/>
          <w:sz w:val="24"/>
          <w:szCs w:val="24"/>
          <w:rtl/>
        </w:rPr>
        <w:t xml:space="preserve"> </w:t>
      </w:r>
      <w:r w:rsidR="00134C7B">
        <w:rPr>
          <w:sz w:val="24"/>
          <w:szCs w:val="24"/>
          <w:rtl/>
        </w:rPr>
        <w:t>–</w:t>
      </w:r>
      <w:r w:rsidR="00134C7B">
        <w:rPr>
          <w:rFonts w:hint="cs"/>
          <w:sz w:val="24"/>
          <w:szCs w:val="24"/>
          <w:rtl/>
        </w:rPr>
        <w:t xml:space="preserve"> "</w:t>
      </w:r>
      <w:r w:rsidRPr="00BF0022">
        <w:rPr>
          <w:sz w:val="24"/>
          <w:szCs w:val="24"/>
          <w:rtl/>
        </w:rPr>
        <w:t>אף אתה הקהה את שיניו". אסור לנו להיכנס למסגרת שלהם, לקבל את הנחות-היסוד ואת הגישות העקרוניות שלהם, ומתוך כך לנהל איתם ויכוח. אנו צריכים לבטל את הנחותיהם, ולהעביר את הו</w:t>
      </w:r>
      <w:r w:rsidR="00134C7B">
        <w:rPr>
          <w:rFonts w:hint="cs"/>
          <w:sz w:val="24"/>
          <w:szCs w:val="24"/>
          <w:rtl/>
        </w:rPr>
        <w:t>ו</w:t>
      </w:r>
      <w:r w:rsidRPr="00BF0022">
        <w:rPr>
          <w:sz w:val="24"/>
          <w:szCs w:val="24"/>
          <w:rtl/>
        </w:rPr>
        <w:t>יכוח מהמגרש שלהם למגרש שלנו. התשובה לרשע "בעבור זה עשה ה' לי בצאתי ממצרים" אינה כתובה בפרשה, שבה כתובה שאלתו. היא מיובאת מפרשה אחרת. חז"ל מעבירים את ה</w:t>
      </w:r>
      <w:r w:rsidR="00134C7B">
        <w:rPr>
          <w:rFonts w:hint="cs"/>
          <w:sz w:val="24"/>
          <w:szCs w:val="24"/>
          <w:rtl/>
        </w:rPr>
        <w:t>ו</w:t>
      </w:r>
      <w:r w:rsidRPr="00BF0022">
        <w:rPr>
          <w:sz w:val="24"/>
          <w:szCs w:val="24"/>
          <w:rtl/>
        </w:rPr>
        <w:t>ויכוח איתו למגרש אחר, לפרשה אחרת, להנחות ולעקרונות אחרים.</w:t>
      </w:r>
    </w:p>
    <w:p w:rsidR="00777CEF" w:rsidRPr="00BF0022" w:rsidRDefault="00777CEF" w:rsidP="00777CEF">
      <w:pPr>
        <w:rPr>
          <w:sz w:val="24"/>
          <w:szCs w:val="24"/>
          <w:rtl/>
        </w:rPr>
      </w:pPr>
      <w:r w:rsidRPr="00BF0022">
        <w:rPr>
          <w:sz w:val="24"/>
          <w:szCs w:val="24"/>
          <w:rtl/>
        </w:rPr>
        <w:t>בניגוד למגוון הבנים, קיים בתורה רק משיב אחד. שאיפתה של התורה היא שאדם אחד הוא שיוכל לענות על כל הש</w:t>
      </w:r>
      <w:r w:rsidR="00134C7B">
        <w:rPr>
          <w:sz w:val="24"/>
          <w:szCs w:val="24"/>
          <w:rtl/>
        </w:rPr>
        <w:t>אלות, לכל השואלים ולכל הדורות</w:t>
      </w:r>
      <w:r w:rsidR="00134C7B">
        <w:rPr>
          <w:rFonts w:hint="cs"/>
          <w:sz w:val="24"/>
          <w:szCs w:val="24"/>
          <w:rtl/>
        </w:rPr>
        <w:t xml:space="preserve"> </w:t>
      </w:r>
      <w:r w:rsidR="00134C7B">
        <w:rPr>
          <w:sz w:val="24"/>
          <w:szCs w:val="24"/>
          <w:rtl/>
        </w:rPr>
        <w:t>–</w:t>
      </w:r>
      <w:r w:rsidR="00134C7B">
        <w:rPr>
          <w:rFonts w:hint="cs"/>
          <w:sz w:val="24"/>
          <w:szCs w:val="24"/>
          <w:rtl/>
        </w:rPr>
        <w:t xml:space="preserve"> </w:t>
      </w:r>
      <w:r w:rsidRPr="00BF0022">
        <w:rPr>
          <w:sz w:val="24"/>
          <w:szCs w:val="24"/>
          <w:rtl/>
        </w:rPr>
        <w:t>לחכם, השואל לפרטי פרטים, אך גם לרשע, המתעמת והתוקף, לתם, שאינו יודע ושואל, ולזה שאינו יודע אפילו לשאול.</w:t>
      </w:r>
    </w:p>
    <w:p w:rsidR="00777CEF" w:rsidRDefault="00777CEF"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p w:rsidR="00134C7B" w:rsidRDefault="00134C7B" w:rsidP="00777CEF">
      <w:pPr>
        <w:pStyle w:val="ad"/>
        <w:rPr>
          <w:rFonts w:ascii="Arial" w:hAnsi="Arial"/>
          <w:sz w:val="24"/>
          <w:rtl/>
        </w:rPr>
      </w:pPr>
    </w:p>
    <w:tbl>
      <w:tblPr>
        <w:bidiVisual/>
        <w:tblW w:w="4678" w:type="dxa"/>
        <w:tblInd w:w="192" w:type="dxa"/>
        <w:tblLayout w:type="fixed"/>
        <w:tblLook w:val="0000" w:firstRow="0" w:lastRow="0" w:firstColumn="0" w:lastColumn="0" w:noHBand="0" w:noVBand="0"/>
      </w:tblPr>
      <w:tblGrid>
        <w:gridCol w:w="283"/>
        <w:gridCol w:w="4111"/>
        <w:gridCol w:w="284"/>
      </w:tblGrid>
      <w:tr w:rsidR="00134C7B" w:rsidTr="00E55EC2">
        <w:tc>
          <w:tcPr>
            <w:tcW w:w="283" w:type="dxa"/>
            <w:tcBorders>
              <w:top w:val="nil"/>
              <w:left w:val="nil"/>
              <w:bottom w:val="nil"/>
              <w:right w:val="nil"/>
            </w:tcBorders>
          </w:tcPr>
          <w:p w:rsidR="00134C7B" w:rsidRDefault="00134C7B" w:rsidP="00E55EC2">
            <w:pPr>
              <w:pStyle w:val="ae"/>
              <w:rPr>
                <w:noProof w:val="0"/>
                <w:rtl/>
              </w:rPr>
            </w:pPr>
            <w:r>
              <w:rPr>
                <w:noProof w:val="0"/>
                <w:rtl/>
              </w:rPr>
              <w:t>*</w:t>
            </w:r>
          </w:p>
        </w:tc>
        <w:tc>
          <w:tcPr>
            <w:tcW w:w="4111" w:type="dxa"/>
            <w:tcBorders>
              <w:top w:val="nil"/>
              <w:left w:val="nil"/>
              <w:bottom w:val="nil"/>
              <w:right w:val="nil"/>
            </w:tcBorders>
          </w:tcPr>
          <w:p w:rsidR="00134C7B" w:rsidRDefault="00134C7B" w:rsidP="00E55EC2">
            <w:pPr>
              <w:pStyle w:val="ae"/>
              <w:ind w:left="-170" w:right="-170"/>
              <w:rPr>
                <w:noProof w:val="0"/>
                <w:rtl/>
              </w:rPr>
            </w:pPr>
            <w:r>
              <w:rPr>
                <w:noProof w:val="0"/>
                <w:rtl/>
              </w:rPr>
              <w:t>***************************************************************</w:t>
            </w:r>
          </w:p>
        </w:tc>
        <w:tc>
          <w:tcPr>
            <w:tcW w:w="284" w:type="dxa"/>
            <w:tcBorders>
              <w:top w:val="nil"/>
              <w:left w:val="nil"/>
              <w:bottom w:val="nil"/>
              <w:right w:val="nil"/>
            </w:tcBorders>
          </w:tcPr>
          <w:p w:rsidR="00134C7B" w:rsidRDefault="00134C7B" w:rsidP="00E55EC2">
            <w:pPr>
              <w:pStyle w:val="ae"/>
              <w:rPr>
                <w:noProof w:val="0"/>
                <w:rtl/>
              </w:rPr>
            </w:pPr>
            <w:r>
              <w:rPr>
                <w:noProof w:val="0"/>
                <w:rtl/>
              </w:rPr>
              <w:t>*</w:t>
            </w:r>
          </w:p>
        </w:tc>
      </w:tr>
      <w:tr w:rsidR="00134C7B" w:rsidTr="00E55EC2">
        <w:tc>
          <w:tcPr>
            <w:tcW w:w="283" w:type="dxa"/>
            <w:tcBorders>
              <w:top w:val="nil"/>
              <w:left w:val="nil"/>
              <w:bottom w:val="nil"/>
              <w:right w:val="nil"/>
            </w:tcBorders>
          </w:tcPr>
          <w:p w:rsidR="00134C7B" w:rsidRDefault="00134C7B" w:rsidP="00E55EC2">
            <w:pPr>
              <w:pStyle w:val="ae"/>
              <w:rPr>
                <w:noProof w:val="0"/>
                <w:rtl/>
              </w:rPr>
            </w:pPr>
            <w:r>
              <w:rPr>
                <w:noProof w:val="0"/>
                <w:rtl/>
              </w:rPr>
              <w:t>* * * * * * * * * *</w:t>
            </w:r>
          </w:p>
        </w:tc>
        <w:tc>
          <w:tcPr>
            <w:tcW w:w="4111" w:type="dxa"/>
            <w:tcBorders>
              <w:top w:val="nil"/>
              <w:left w:val="nil"/>
              <w:bottom w:val="nil"/>
              <w:right w:val="nil"/>
            </w:tcBorders>
          </w:tcPr>
          <w:p w:rsidR="00134C7B" w:rsidRDefault="00134C7B" w:rsidP="00E55EC2">
            <w:pPr>
              <w:pStyle w:val="ae"/>
              <w:rPr>
                <w:noProof w:val="0"/>
                <w:rtl/>
              </w:rPr>
            </w:pPr>
            <w:r>
              <w:rPr>
                <w:noProof w:val="0"/>
                <w:rtl/>
              </w:rPr>
              <w:t>כל הזכויות שמורות לישיבת הר עציון</w:t>
            </w:r>
            <w:r>
              <w:rPr>
                <w:rFonts w:hint="cs"/>
                <w:noProof w:val="0"/>
                <w:rtl/>
              </w:rPr>
              <w:t xml:space="preserve"> ולרב אהרן ליכטנשטיין זצ"ל</w:t>
            </w:r>
          </w:p>
          <w:p w:rsidR="00134C7B" w:rsidRDefault="00134C7B" w:rsidP="00E55EC2">
            <w:pPr>
              <w:pStyle w:val="ae"/>
              <w:rPr>
                <w:noProof w:val="0"/>
                <w:rtl/>
              </w:rPr>
            </w:pPr>
            <w:r>
              <w:rPr>
                <w:noProof w:val="0"/>
                <w:rtl/>
              </w:rPr>
              <w:t xml:space="preserve">עורך: </w:t>
            </w:r>
            <w:r>
              <w:rPr>
                <w:rFonts w:hint="cs"/>
                <w:noProof w:val="0"/>
                <w:rtl/>
              </w:rPr>
              <w:t>אלישע אורון, תשע"ז</w:t>
            </w:r>
          </w:p>
          <w:p w:rsidR="00134C7B" w:rsidRDefault="00134C7B" w:rsidP="00E55EC2">
            <w:pPr>
              <w:pStyle w:val="ae"/>
              <w:rPr>
                <w:noProof w:val="0"/>
                <w:rtl/>
              </w:rPr>
            </w:pPr>
            <w:r>
              <w:rPr>
                <w:noProof w:val="0"/>
                <w:rtl/>
              </w:rPr>
              <w:t>*******************************************************</w:t>
            </w:r>
          </w:p>
          <w:p w:rsidR="00134C7B" w:rsidRDefault="00134C7B" w:rsidP="00E55EC2">
            <w:pPr>
              <w:pStyle w:val="ae"/>
              <w:rPr>
                <w:noProof w:val="0"/>
                <w:rtl/>
              </w:rPr>
            </w:pPr>
          </w:p>
          <w:p w:rsidR="00134C7B" w:rsidRDefault="00134C7B" w:rsidP="00E55EC2">
            <w:pPr>
              <w:pStyle w:val="ae"/>
              <w:rPr>
                <w:noProof w:val="0"/>
                <w:rtl/>
              </w:rPr>
            </w:pPr>
            <w:r>
              <w:rPr>
                <w:noProof w:val="0"/>
                <w:rtl/>
              </w:rPr>
              <w:t>בית המדרש הוירטואלי שליד ישיבת הר עציון</w:t>
            </w:r>
          </w:p>
          <w:p w:rsidR="00134C7B" w:rsidRDefault="00134C7B" w:rsidP="00E55EC2">
            <w:pPr>
              <w:pStyle w:val="ae"/>
              <w:rPr>
                <w:noProof w:val="0"/>
                <w:rtl/>
              </w:rPr>
            </w:pPr>
            <w:r>
              <w:rPr>
                <w:noProof w:val="0"/>
                <w:rtl/>
              </w:rPr>
              <w:t>האתר בעברית:</w:t>
            </w:r>
            <w:r>
              <w:rPr>
                <w:noProof w:val="0"/>
                <w:rtl/>
              </w:rPr>
              <w:tab/>
            </w:r>
            <w:hyperlink r:id="rId6" w:history="1">
              <w:r>
                <w:rPr>
                  <w:rStyle w:val="Hyperlink"/>
                </w:rPr>
                <w:t>http://www.etzion.org.il/vbm</w:t>
              </w:r>
            </w:hyperlink>
          </w:p>
          <w:p w:rsidR="00134C7B" w:rsidRDefault="00134C7B" w:rsidP="00E55EC2">
            <w:pPr>
              <w:pStyle w:val="ae"/>
              <w:rPr>
                <w:noProof w:val="0"/>
                <w:rtl/>
              </w:rPr>
            </w:pPr>
            <w:r>
              <w:rPr>
                <w:noProof w:val="0"/>
                <w:rtl/>
              </w:rPr>
              <w:t>האתר באנגלית:</w:t>
            </w:r>
            <w:r>
              <w:rPr>
                <w:noProof w:val="0"/>
                <w:rtl/>
              </w:rPr>
              <w:tab/>
            </w:r>
            <w:hyperlink r:id="rId7" w:history="1">
              <w:r>
                <w:rPr>
                  <w:rStyle w:val="Hyperlink"/>
                </w:rPr>
                <w:t>http://www.vbm-torah.org</w:t>
              </w:r>
            </w:hyperlink>
          </w:p>
          <w:p w:rsidR="00134C7B" w:rsidRDefault="00134C7B" w:rsidP="00E55EC2">
            <w:pPr>
              <w:pStyle w:val="ae"/>
              <w:rPr>
                <w:noProof w:val="0"/>
                <w:rtl/>
              </w:rPr>
            </w:pPr>
          </w:p>
          <w:p w:rsidR="00134C7B" w:rsidRDefault="00134C7B" w:rsidP="00E55EC2">
            <w:pPr>
              <w:pStyle w:val="ae"/>
              <w:rPr>
                <w:noProof w:val="0"/>
                <w:rtl/>
              </w:rPr>
            </w:pPr>
            <w:r>
              <w:rPr>
                <w:noProof w:val="0"/>
                <w:rtl/>
              </w:rPr>
              <w:t xml:space="preserve">משרדי בית המדרש הוירטואלי: 02-9931456 שלוחה 5 </w:t>
            </w:r>
          </w:p>
          <w:p w:rsidR="00134C7B" w:rsidRDefault="00134C7B" w:rsidP="00E55EC2">
            <w:pPr>
              <w:pStyle w:val="ae"/>
              <w:rPr>
                <w:noProof w:val="0"/>
                <w:rtl/>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134C7B" w:rsidRDefault="00134C7B" w:rsidP="00E55EC2">
            <w:pPr>
              <w:pStyle w:val="ae"/>
              <w:rPr>
                <w:noProof w:val="0"/>
                <w:rtl/>
              </w:rPr>
            </w:pPr>
            <w:r>
              <w:rPr>
                <w:noProof w:val="0"/>
                <w:rtl/>
              </w:rPr>
              <w:t xml:space="preserve">* * * * * * * * * * </w:t>
            </w:r>
          </w:p>
        </w:tc>
      </w:tr>
      <w:tr w:rsidR="00134C7B" w:rsidTr="00E55EC2">
        <w:tc>
          <w:tcPr>
            <w:tcW w:w="283" w:type="dxa"/>
            <w:tcBorders>
              <w:top w:val="nil"/>
              <w:left w:val="nil"/>
              <w:bottom w:val="nil"/>
              <w:right w:val="nil"/>
            </w:tcBorders>
          </w:tcPr>
          <w:p w:rsidR="00134C7B" w:rsidRDefault="00134C7B" w:rsidP="00E55EC2">
            <w:pPr>
              <w:pStyle w:val="ae"/>
              <w:rPr>
                <w:noProof w:val="0"/>
                <w:rtl/>
              </w:rPr>
            </w:pPr>
            <w:r>
              <w:rPr>
                <w:noProof w:val="0"/>
                <w:rtl/>
              </w:rPr>
              <w:t>*</w:t>
            </w:r>
          </w:p>
        </w:tc>
        <w:tc>
          <w:tcPr>
            <w:tcW w:w="4111" w:type="dxa"/>
            <w:tcBorders>
              <w:top w:val="nil"/>
              <w:left w:val="nil"/>
              <w:bottom w:val="nil"/>
              <w:right w:val="nil"/>
            </w:tcBorders>
          </w:tcPr>
          <w:p w:rsidR="00134C7B" w:rsidRDefault="00134C7B" w:rsidP="00E55EC2">
            <w:pPr>
              <w:pStyle w:val="ae"/>
              <w:ind w:left="-227" w:right="-227"/>
              <w:rPr>
                <w:noProof w:val="0"/>
                <w:rtl/>
              </w:rPr>
            </w:pPr>
            <w:r>
              <w:rPr>
                <w:noProof w:val="0"/>
                <w:rtl/>
              </w:rPr>
              <w:t>***************************************************************</w:t>
            </w:r>
          </w:p>
        </w:tc>
        <w:tc>
          <w:tcPr>
            <w:tcW w:w="284" w:type="dxa"/>
            <w:tcBorders>
              <w:top w:val="nil"/>
              <w:left w:val="nil"/>
              <w:bottom w:val="nil"/>
              <w:right w:val="nil"/>
            </w:tcBorders>
          </w:tcPr>
          <w:p w:rsidR="00134C7B" w:rsidRDefault="00134C7B" w:rsidP="00E55EC2">
            <w:pPr>
              <w:pStyle w:val="ae"/>
              <w:rPr>
                <w:noProof w:val="0"/>
                <w:rtl/>
              </w:rPr>
            </w:pPr>
            <w:r>
              <w:rPr>
                <w:noProof w:val="0"/>
                <w:rtl/>
              </w:rPr>
              <w:t>*</w:t>
            </w:r>
          </w:p>
        </w:tc>
      </w:tr>
    </w:tbl>
    <w:p w:rsidR="00134C7B" w:rsidRPr="00BF0022" w:rsidRDefault="00134C7B" w:rsidP="00777CEF">
      <w:pPr>
        <w:pStyle w:val="ad"/>
        <w:rPr>
          <w:rFonts w:ascii="Arial" w:hAnsi="Arial"/>
          <w:sz w:val="24"/>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77CEF" w:rsidTr="00134C7B">
        <w:tblPrEx>
          <w:tblCellMar>
            <w:top w:w="0" w:type="dxa"/>
            <w:bottom w:w="0" w:type="dxa"/>
          </w:tblCellMar>
        </w:tblPrEx>
        <w:tc>
          <w:tcPr>
            <w:tcW w:w="283" w:type="dxa"/>
            <w:tcBorders>
              <w:top w:val="nil"/>
              <w:left w:val="nil"/>
              <w:bottom w:val="nil"/>
              <w:right w:val="nil"/>
            </w:tcBorders>
          </w:tcPr>
          <w:p w:rsidR="00777CEF" w:rsidRDefault="00777CEF" w:rsidP="00E55EC2">
            <w:pPr>
              <w:pStyle w:val="ae"/>
            </w:pPr>
          </w:p>
        </w:tc>
        <w:tc>
          <w:tcPr>
            <w:tcW w:w="4111" w:type="dxa"/>
            <w:tcBorders>
              <w:top w:val="nil"/>
              <w:left w:val="nil"/>
              <w:bottom w:val="nil"/>
              <w:right w:val="nil"/>
            </w:tcBorders>
          </w:tcPr>
          <w:p w:rsidR="00777CEF" w:rsidRDefault="00777CEF" w:rsidP="00E55EC2">
            <w:pPr>
              <w:pStyle w:val="ae"/>
            </w:pPr>
          </w:p>
        </w:tc>
        <w:tc>
          <w:tcPr>
            <w:tcW w:w="284" w:type="dxa"/>
            <w:tcBorders>
              <w:top w:val="nil"/>
              <w:left w:val="nil"/>
              <w:bottom w:val="nil"/>
              <w:right w:val="nil"/>
            </w:tcBorders>
          </w:tcPr>
          <w:p w:rsidR="00777CEF" w:rsidRDefault="00777CEF" w:rsidP="00E55EC2">
            <w:pPr>
              <w:pStyle w:val="ae"/>
              <w:rPr>
                <w:noProof w:val="0"/>
              </w:rPr>
            </w:pPr>
          </w:p>
        </w:tc>
      </w:tr>
      <w:tr w:rsidR="00777CEF" w:rsidTr="00134C7B">
        <w:tblPrEx>
          <w:tblCellMar>
            <w:top w:w="0" w:type="dxa"/>
            <w:bottom w:w="0" w:type="dxa"/>
          </w:tblCellMar>
        </w:tblPrEx>
        <w:tc>
          <w:tcPr>
            <w:tcW w:w="283" w:type="dxa"/>
            <w:tcBorders>
              <w:top w:val="nil"/>
              <w:left w:val="nil"/>
              <w:bottom w:val="nil"/>
              <w:right w:val="nil"/>
            </w:tcBorders>
          </w:tcPr>
          <w:p w:rsidR="00777CEF" w:rsidRDefault="00777CEF" w:rsidP="00E55EC2">
            <w:pPr>
              <w:pStyle w:val="ae"/>
            </w:pPr>
          </w:p>
        </w:tc>
        <w:tc>
          <w:tcPr>
            <w:tcW w:w="4111" w:type="dxa"/>
            <w:tcBorders>
              <w:top w:val="nil"/>
              <w:left w:val="nil"/>
              <w:bottom w:val="nil"/>
              <w:right w:val="nil"/>
            </w:tcBorders>
          </w:tcPr>
          <w:p w:rsidR="00777CEF" w:rsidRDefault="00777CEF" w:rsidP="00E55EC2">
            <w:pPr>
              <w:pStyle w:val="ae"/>
              <w:rPr>
                <w:noProof w:val="0"/>
              </w:rPr>
            </w:pPr>
          </w:p>
        </w:tc>
        <w:tc>
          <w:tcPr>
            <w:tcW w:w="284" w:type="dxa"/>
            <w:tcBorders>
              <w:top w:val="nil"/>
              <w:left w:val="nil"/>
              <w:bottom w:val="nil"/>
              <w:right w:val="nil"/>
            </w:tcBorders>
          </w:tcPr>
          <w:p w:rsidR="00777CEF" w:rsidRDefault="00777CEF" w:rsidP="00E55EC2">
            <w:pPr>
              <w:pStyle w:val="ae"/>
              <w:rPr>
                <w:noProof w:val="0"/>
              </w:rPr>
            </w:pPr>
          </w:p>
        </w:tc>
      </w:tr>
      <w:tr w:rsidR="00777CEF" w:rsidTr="00134C7B">
        <w:tblPrEx>
          <w:tblCellMar>
            <w:top w:w="0" w:type="dxa"/>
            <w:bottom w:w="0" w:type="dxa"/>
          </w:tblCellMar>
        </w:tblPrEx>
        <w:tc>
          <w:tcPr>
            <w:tcW w:w="283" w:type="dxa"/>
            <w:tcBorders>
              <w:top w:val="nil"/>
              <w:left w:val="nil"/>
              <w:bottom w:val="nil"/>
              <w:right w:val="nil"/>
            </w:tcBorders>
          </w:tcPr>
          <w:p w:rsidR="00777CEF" w:rsidRDefault="00777CEF" w:rsidP="00E55EC2">
            <w:pPr>
              <w:pStyle w:val="ae"/>
            </w:pPr>
          </w:p>
        </w:tc>
        <w:tc>
          <w:tcPr>
            <w:tcW w:w="4111" w:type="dxa"/>
            <w:tcBorders>
              <w:top w:val="nil"/>
              <w:left w:val="nil"/>
              <w:bottom w:val="nil"/>
              <w:right w:val="nil"/>
            </w:tcBorders>
          </w:tcPr>
          <w:p w:rsidR="00777CEF" w:rsidRDefault="00777CEF" w:rsidP="00E55EC2">
            <w:pPr>
              <w:pStyle w:val="ae"/>
            </w:pPr>
          </w:p>
        </w:tc>
        <w:tc>
          <w:tcPr>
            <w:tcW w:w="284" w:type="dxa"/>
            <w:tcBorders>
              <w:top w:val="nil"/>
              <w:left w:val="nil"/>
              <w:bottom w:val="nil"/>
              <w:right w:val="nil"/>
            </w:tcBorders>
          </w:tcPr>
          <w:p w:rsidR="00777CEF" w:rsidRDefault="00777CEF" w:rsidP="00E55EC2">
            <w:pPr>
              <w:pStyle w:val="ae"/>
              <w:rPr>
                <w:noProof w:val="0"/>
              </w:rPr>
            </w:pPr>
          </w:p>
        </w:tc>
      </w:tr>
    </w:tbl>
    <w:p w:rsidR="00777CEF" w:rsidRDefault="00777CEF" w:rsidP="00777CEF">
      <w:pPr>
        <w:rPr>
          <w:rFonts w:hint="cs"/>
        </w:rPr>
      </w:pPr>
    </w:p>
    <w:p w:rsidR="004D0239" w:rsidRPr="00777CEF" w:rsidRDefault="004D0239" w:rsidP="00777CEF"/>
    <w:sectPr w:rsidR="004D0239" w:rsidRPr="00777CEF"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CA" w:rsidRDefault="001466CA" w:rsidP="005F7985">
      <w:pPr>
        <w:spacing w:after="0" w:line="240" w:lineRule="auto"/>
      </w:pPr>
      <w:r>
        <w:separator/>
      </w:r>
    </w:p>
  </w:endnote>
  <w:endnote w:type="continuationSeparator" w:id="0">
    <w:p w:rsidR="001466CA" w:rsidRDefault="001466C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CA" w:rsidRDefault="001466CA" w:rsidP="005F7985">
      <w:pPr>
        <w:spacing w:after="0" w:line="240" w:lineRule="auto"/>
      </w:pPr>
      <w:r>
        <w:separator/>
      </w:r>
    </w:p>
  </w:footnote>
  <w:footnote w:type="continuationSeparator" w:id="0">
    <w:p w:rsidR="001466CA" w:rsidRDefault="001466CA" w:rsidP="005F7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77060">
      <w:rPr>
        <w:b/>
        <w:bCs/>
        <w:noProof/>
        <w:sz w:val="21"/>
        <w:rtl/>
      </w:rPr>
      <w:t>3</w:t>
    </w:r>
    <w:r>
      <w:rPr>
        <w:b/>
        <w:bCs/>
        <w:sz w:val="21"/>
        <w:rtl/>
      </w:rPr>
      <w:fldChar w:fldCharType="end"/>
    </w:r>
    <w:r>
      <w:rPr>
        <w:b/>
        <w:bCs/>
        <w:sz w:val="21"/>
        <w:rtl/>
      </w:rPr>
      <w:t xml:space="preserve"> -</w:t>
    </w:r>
  </w:p>
  <w:p w:rsidR="00C05872" w:rsidRDefault="001466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1466CA">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7B74"/>
    <w:rsid w:val="00134C7B"/>
    <w:rsid w:val="001466CA"/>
    <w:rsid w:val="001502DB"/>
    <w:rsid w:val="001A2419"/>
    <w:rsid w:val="001C0398"/>
    <w:rsid w:val="001C08DD"/>
    <w:rsid w:val="001F137C"/>
    <w:rsid w:val="00272817"/>
    <w:rsid w:val="00277060"/>
    <w:rsid w:val="0028771E"/>
    <w:rsid w:val="002A394A"/>
    <w:rsid w:val="002D3217"/>
    <w:rsid w:val="00315192"/>
    <w:rsid w:val="0033127E"/>
    <w:rsid w:val="00345D27"/>
    <w:rsid w:val="00380328"/>
    <w:rsid w:val="003D7721"/>
    <w:rsid w:val="003E768B"/>
    <w:rsid w:val="003F7890"/>
    <w:rsid w:val="00402C36"/>
    <w:rsid w:val="00420F26"/>
    <w:rsid w:val="00425BEB"/>
    <w:rsid w:val="004360C9"/>
    <w:rsid w:val="00455395"/>
    <w:rsid w:val="004829C8"/>
    <w:rsid w:val="004D0239"/>
    <w:rsid w:val="005149C3"/>
    <w:rsid w:val="00520FA0"/>
    <w:rsid w:val="00543BFF"/>
    <w:rsid w:val="00544704"/>
    <w:rsid w:val="005647CD"/>
    <w:rsid w:val="005B76C2"/>
    <w:rsid w:val="005E44BA"/>
    <w:rsid w:val="005E51B5"/>
    <w:rsid w:val="005F7985"/>
    <w:rsid w:val="006064E4"/>
    <w:rsid w:val="0061649C"/>
    <w:rsid w:val="006400C8"/>
    <w:rsid w:val="00683AD6"/>
    <w:rsid w:val="006B1EF3"/>
    <w:rsid w:val="006B332C"/>
    <w:rsid w:val="006E5896"/>
    <w:rsid w:val="0070000E"/>
    <w:rsid w:val="00707A86"/>
    <w:rsid w:val="007176D1"/>
    <w:rsid w:val="0077090A"/>
    <w:rsid w:val="00773F69"/>
    <w:rsid w:val="00777CEF"/>
    <w:rsid w:val="007873C0"/>
    <w:rsid w:val="007A6AB1"/>
    <w:rsid w:val="007B0711"/>
    <w:rsid w:val="007C5FA6"/>
    <w:rsid w:val="007E507C"/>
    <w:rsid w:val="007E7500"/>
    <w:rsid w:val="00835345"/>
    <w:rsid w:val="0086008D"/>
    <w:rsid w:val="00865437"/>
    <w:rsid w:val="00875FBB"/>
    <w:rsid w:val="0087729D"/>
    <w:rsid w:val="0088360E"/>
    <w:rsid w:val="008B3A6B"/>
    <w:rsid w:val="008C5B82"/>
    <w:rsid w:val="008D309C"/>
    <w:rsid w:val="009002A5"/>
    <w:rsid w:val="009120C5"/>
    <w:rsid w:val="009215D9"/>
    <w:rsid w:val="0093798A"/>
    <w:rsid w:val="009724A7"/>
    <w:rsid w:val="0098126F"/>
    <w:rsid w:val="009B70F2"/>
    <w:rsid w:val="009C6505"/>
    <w:rsid w:val="009C6C3A"/>
    <w:rsid w:val="009F1F91"/>
    <w:rsid w:val="009F301F"/>
    <w:rsid w:val="009F32DA"/>
    <w:rsid w:val="00A14F22"/>
    <w:rsid w:val="00A17CC0"/>
    <w:rsid w:val="00A67BCC"/>
    <w:rsid w:val="00AC4207"/>
    <w:rsid w:val="00AE1BD0"/>
    <w:rsid w:val="00B103A1"/>
    <w:rsid w:val="00B2236F"/>
    <w:rsid w:val="00B243F4"/>
    <w:rsid w:val="00B65D5E"/>
    <w:rsid w:val="00B7243D"/>
    <w:rsid w:val="00B86A06"/>
    <w:rsid w:val="00BC7C5F"/>
    <w:rsid w:val="00BD32A3"/>
    <w:rsid w:val="00BD38AD"/>
    <w:rsid w:val="00BE1240"/>
    <w:rsid w:val="00BF0022"/>
    <w:rsid w:val="00C25383"/>
    <w:rsid w:val="00C416DD"/>
    <w:rsid w:val="00CA3B41"/>
    <w:rsid w:val="00CB11E4"/>
    <w:rsid w:val="00CB73CC"/>
    <w:rsid w:val="00CC778C"/>
    <w:rsid w:val="00CF363C"/>
    <w:rsid w:val="00D606D4"/>
    <w:rsid w:val="00D70DEE"/>
    <w:rsid w:val="00DB0EBF"/>
    <w:rsid w:val="00DC24EA"/>
    <w:rsid w:val="00E43529"/>
    <w:rsid w:val="00E526E4"/>
    <w:rsid w:val="00E66D5D"/>
    <w:rsid w:val="00E82DA9"/>
    <w:rsid w:val="00EA205A"/>
    <w:rsid w:val="00EA261D"/>
    <w:rsid w:val="00EA3490"/>
    <w:rsid w:val="00EB5473"/>
    <w:rsid w:val="00EC4407"/>
    <w:rsid w:val="00ED4AE0"/>
    <w:rsid w:val="00F325DB"/>
    <w:rsid w:val="00F95556"/>
    <w:rsid w:val="00F9705F"/>
    <w:rsid w:val="00FA6FEC"/>
    <w:rsid w:val="00FF479F"/>
    <w:rsid w:val="00FF5E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4EA"/>
    <w:pPr>
      <w:autoSpaceDE w:val="0"/>
      <w:autoSpaceDN w:val="0"/>
      <w:bidi/>
      <w:spacing w:after="120" w:line="280" w:lineRule="exact"/>
      <w:jc w:val="both"/>
    </w:pPr>
    <w:rPr>
      <w:rFonts w:ascii="Times New Roman" w:hAnsi="Times New Roman" w:cs="Narkisim"/>
      <w:sz w:val="20"/>
    </w:rPr>
  </w:style>
  <w:style w:type="paragraph" w:styleId="1">
    <w:name w:val="heading 1"/>
    <w:basedOn w:val="a"/>
    <w:next w:val="a"/>
    <w:link w:val="10"/>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line="360" w:lineRule="auto"/>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5E51B5"/>
    <w:pPr>
      <w:spacing w:before="120" w:line="360" w:lineRule="auto"/>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spacing w:line="360" w:lineRule="auto"/>
      <w:ind w:left="794"/>
    </w:pPr>
    <w:rPr>
      <w:rFonts w:asciiTheme="minorHAnsi" w:hAnsiTheme="minorHAnsi"/>
      <w:sz w:val="22"/>
      <w:szCs w:val="24"/>
    </w:rPr>
  </w:style>
  <w:style w:type="paragraph" w:styleId="a4">
    <w:name w:val="Quote"/>
    <w:basedOn w:val="a"/>
    <w:link w:val="a5"/>
    <w:autoRedefine/>
    <w:uiPriority w:val="99"/>
    <w:qFormat/>
    <w:rsid w:val="007E507C"/>
    <w:pPr>
      <w:tabs>
        <w:tab w:val="right" w:pos="4620"/>
      </w:tabs>
      <w:spacing w:before="240" w:line="360" w:lineRule="auto"/>
      <w:ind w:left="567"/>
    </w:pPr>
    <w:rPr>
      <w:rFonts w:asciiTheme="minorHAnsi" w:hAnsiTheme="minorHAnsi"/>
      <w:sz w:val="22"/>
      <w:szCs w:val="24"/>
    </w:rPr>
  </w:style>
  <w:style w:type="character" w:customStyle="1" w:styleId="a5">
    <w:name w:val="ציטוט תו"/>
    <w:link w:val="a4"/>
    <w:uiPriority w:val="99"/>
    <w:rsid w:val="007E507C"/>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5E51B5"/>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spacing w:line="360" w:lineRule="auto"/>
    </w:pPr>
    <w:rPr>
      <w:szCs w:val="24"/>
    </w:r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879</Words>
  <Characters>4396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2017-04-09T12:18:00Z</dcterms:created>
  <dcterms:modified xsi:type="dcterms:W3CDTF">2017-04-09T12:37:00Z</dcterms:modified>
</cp:coreProperties>
</file>