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4ABC67F" w14:textId="77777777" w:rsidR="00173013" w:rsidRPr="00655036" w:rsidRDefault="00173013" w:rsidP="00655036">
      <w:pPr>
        <w:shd w:val="clear" w:color="auto" w:fill="FFFFFF"/>
        <w:tabs>
          <w:tab w:val="left" w:pos="720"/>
        </w:tabs>
        <w:spacing w:line="240" w:lineRule="auto"/>
        <w:jc w:val="center"/>
        <w:rPr>
          <w:rFonts w:asciiTheme="minorBidi" w:eastAsia="Times New Roman" w:hAnsiTheme="minorBidi" w:cstheme="minorBidi"/>
          <w:color w:val="222222"/>
          <w:sz w:val="24"/>
          <w:szCs w:val="24"/>
          <w:lang w:bidi="he-IL"/>
        </w:rPr>
      </w:pPr>
      <w:r w:rsidRPr="00655036">
        <w:rPr>
          <w:rFonts w:asciiTheme="minorBidi" w:eastAsia="Times New Roman" w:hAnsiTheme="minorBidi" w:cstheme="minorBidi"/>
          <w:caps/>
          <w:color w:val="222222"/>
          <w:sz w:val="24"/>
          <w:szCs w:val="24"/>
          <w:lang w:val="en-GB" w:bidi="he-IL"/>
        </w:rPr>
        <w:t>YESHIVAT HAR ETZION</w:t>
      </w:r>
    </w:p>
    <w:p w14:paraId="7CEAFCA1" w14:textId="77777777" w:rsidR="00173013" w:rsidRPr="00655036" w:rsidRDefault="00173013" w:rsidP="00655036">
      <w:pPr>
        <w:shd w:val="clear" w:color="auto" w:fill="FFFFFF"/>
        <w:tabs>
          <w:tab w:val="left" w:pos="720"/>
        </w:tabs>
        <w:spacing w:line="240" w:lineRule="auto"/>
        <w:jc w:val="center"/>
        <w:rPr>
          <w:rFonts w:asciiTheme="minorBidi" w:eastAsia="Times New Roman" w:hAnsiTheme="minorBidi" w:cstheme="minorBidi"/>
          <w:color w:val="222222"/>
          <w:sz w:val="24"/>
          <w:szCs w:val="24"/>
          <w:lang w:bidi="he-IL"/>
        </w:rPr>
      </w:pPr>
      <w:r w:rsidRPr="00655036">
        <w:rPr>
          <w:rFonts w:asciiTheme="minorBidi" w:eastAsia="Times New Roman" w:hAnsiTheme="minorBidi" w:cstheme="minorBidi"/>
          <w:caps/>
          <w:color w:val="222222"/>
          <w:sz w:val="24"/>
          <w:szCs w:val="24"/>
          <w:lang w:val="en-GB" w:bidi="he-IL"/>
        </w:rPr>
        <w:t>ISRAEL KOSCHITZKY VIRTUAL BEIT MIDRASH (VBM)</w:t>
      </w:r>
    </w:p>
    <w:p w14:paraId="5DEAAE7D" w14:textId="77777777" w:rsidR="00173013" w:rsidRPr="00655036" w:rsidRDefault="00173013" w:rsidP="00655036">
      <w:pPr>
        <w:shd w:val="clear" w:color="auto" w:fill="FFFFFF"/>
        <w:tabs>
          <w:tab w:val="left" w:pos="720"/>
        </w:tabs>
        <w:spacing w:line="240" w:lineRule="auto"/>
        <w:jc w:val="center"/>
        <w:rPr>
          <w:rFonts w:asciiTheme="minorBidi" w:eastAsia="Times New Roman" w:hAnsiTheme="minorBidi" w:cstheme="minorBidi"/>
          <w:color w:val="222222"/>
          <w:sz w:val="24"/>
          <w:szCs w:val="24"/>
          <w:lang w:bidi="he-IL"/>
        </w:rPr>
      </w:pPr>
      <w:r w:rsidRPr="00655036">
        <w:rPr>
          <w:rFonts w:asciiTheme="minorBidi" w:eastAsia="Times New Roman" w:hAnsiTheme="minorBidi" w:cstheme="minorBidi"/>
          <w:caps/>
          <w:color w:val="222222"/>
          <w:sz w:val="24"/>
          <w:szCs w:val="24"/>
          <w:lang w:val="en-GB" w:bidi="he-IL"/>
        </w:rPr>
        <w:t>*********************************************************</w:t>
      </w:r>
    </w:p>
    <w:p w14:paraId="0F34D0F2" w14:textId="77777777" w:rsidR="00173013" w:rsidRPr="00655036" w:rsidRDefault="00173013" w:rsidP="00655036">
      <w:pPr>
        <w:shd w:val="clear" w:color="auto" w:fill="FFFFFF"/>
        <w:tabs>
          <w:tab w:val="left" w:pos="720"/>
        </w:tabs>
        <w:spacing w:line="240" w:lineRule="auto"/>
        <w:jc w:val="center"/>
        <w:rPr>
          <w:rFonts w:asciiTheme="minorBidi" w:eastAsia="Times New Roman" w:hAnsiTheme="minorBidi" w:cstheme="minorBidi"/>
          <w:color w:val="222222"/>
          <w:sz w:val="24"/>
          <w:szCs w:val="24"/>
          <w:lang w:bidi="he-IL"/>
        </w:rPr>
      </w:pPr>
    </w:p>
    <w:p w14:paraId="78409E17" w14:textId="77777777" w:rsidR="00173013" w:rsidRPr="00655036" w:rsidRDefault="00173013" w:rsidP="00655036">
      <w:pPr>
        <w:shd w:val="clear" w:color="auto" w:fill="FFFFFF"/>
        <w:tabs>
          <w:tab w:val="left" w:pos="720"/>
        </w:tabs>
        <w:spacing w:line="240" w:lineRule="auto"/>
        <w:jc w:val="center"/>
        <w:rPr>
          <w:rFonts w:asciiTheme="minorBidi" w:eastAsia="Times New Roman" w:hAnsiTheme="minorBidi" w:cstheme="minorBidi"/>
          <w:color w:val="222222"/>
          <w:sz w:val="24"/>
          <w:szCs w:val="24"/>
          <w:lang w:bidi="he-IL"/>
        </w:rPr>
      </w:pPr>
      <w:r w:rsidRPr="00655036">
        <w:rPr>
          <w:rFonts w:asciiTheme="minorBidi" w:eastAsia="Times New Roman" w:hAnsiTheme="minorBidi" w:cstheme="minorBidi"/>
          <w:b/>
          <w:bCs/>
          <w:i/>
          <w:iCs/>
          <w:caps/>
          <w:color w:val="222222"/>
          <w:sz w:val="24"/>
          <w:szCs w:val="24"/>
          <w:lang w:bidi="he-IL"/>
        </w:rPr>
        <w:t>SHIVAT TZION</w:t>
      </w:r>
      <w:r w:rsidRPr="00655036">
        <w:rPr>
          <w:rFonts w:asciiTheme="minorBidi" w:eastAsia="Times New Roman" w:hAnsiTheme="minorBidi" w:cstheme="minorBidi"/>
          <w:b/>
          <w:bCs/>
          <w:caps/>
          <w:color w:val="222222"/>
          <w:sz w:val="24"/>
          <w:szCs w:val="24"/>
          <w:lang w:bidi="he-IL"/>
        </w:rPr>
        <w:t>:</w:t>
      </w:r>
    </w:p>
    <w:p w14:paraId="61FDD1D0" w14:textId="77777777" w:rsidR="00173013" w:rsidRPr="00655036" w:rsidRDefault="00173013" w:rsidP="00655036">
      <w:pPr>
        <w:shd w:val="clear" w:color="auto" w:fill="FFFFFF"/>
        <w:tabs>
          <w:tab w:val="left" w:pos="720"/>
        </w:tabs>
        <w:spacing w:line="240" w:lineRule="auto"/>
        <w:jc w:val="center"/>
        <w:rPr>
          <w:rFonts w:asciiTheme="minorBidi" w:eastAsia="Times New Roman" w:hAnsiTheme="minorBidi" w:cstheme="minorBidi"/>
          <w:color w:val="222222"/>
          <w:sz w:val="24"/>
          <w:szCs w:val="24"/>
          <w:lang w:bidi="he-IL"/>
        </w:rPr>
      </w:pPr>
      <w:r w:rsidRPr="00655036">
        <w:rPr>
          <w:rFonts w:asciiTheme="minorBidi" w:eastAsia="Times New Roman" w:hAnsiTheme="minorBidi" w:cstheme="minorBidi"/>
          <w:b/>
          <w:bCs/>
          <w:caps/>
          <w:color w:val="222222"/>
          <w:sz w:val="24"/>
          <w:szCs w:val="24"/>
          <w:lang w:bidi="he-IL"/>
        </w:rPr>
        <w:t>INTRODUCTION TO THE PROPHETS OF THE RETURN TO ZION</w:t>
      </w:r>
    </w:p>
    <w:p w14:paraId="61670355" w14:textId="77777777" w:rsidR="00173013" w:rsidRPr="00655036" w:rsidRDefault="00173013" w:rsidP="00655036">
      <w:pPr>
        <w:shd w:val="clear" w:color="auto" w:fill="FFFFFF"/>
        <w:tabs>
          <w:tab w:val="left" w:pos="720"/>
        </w:tabs>
        <w:spacing w:line="240" w:lineRule="auto"/>
        <w:jc w:val="center"/>
        <w:rPr>
          <w:rFonts w:asciiTheme="minorBidi" w:eastAsia="Times New Roman" w:hAnsiTheme="minorBidi" w:cstheme="minorBidi"/>
          <w:b/>
          <w:bCs/>
          <w:color w:val="222222"/>
          <w:sz w:val="24"/>
          <w:szCs w:val="24"/>
          <w:lang w:bidi="he-IL"/>
        </w:rPr>
      </w:pPr>
      <w:r w:rsidRPr="00655036">
        <w:rPr>
          <w:rFonts w:asciiTheme="minorBidi" w:eastAsia="Times New Roman" w:hAnsiTheme="minorBidi" w:cstheme="minorBidi"/>
          <w:b/>
          <w:bCs/>
          <w:color w:val="222222"/>
          <w:sz w:val="24"/>
          <w:szCs w:val="24"/>
          <w:lang w:bidi="he-IL"/>
        </w:rPr>
        <w:t>By Rav Tzvi Sinensky</w:t>
      </w:r>
    </w:p>
    <w:p w14:paraId="47F7CDDD" w14:textId="77777777" w:rsidR="00173013" w:rsidRPr="00655036" w:rsidRDefault="00173013" w:rsidP="00655036">
      <w:pPr>
        <w:pStyle w:val="Normal1"/>
        <w:tabs>
          <w:tab w:val="left" w:pos="720"/>
        </w:tabs>
        <w:spacing w:line="240" w:lineRule="auto"/>
        <w:jc w:val="center"/>
        <w:rPr>
          <w:rFonts w:asciiTheme="minorBidi" w:hAnsiTheme="minorBidi" w:cstheme="minorBidi"/>
          <w:b/>
          <w:sz w:val="24"/>
          <w:szCs w:val="24"/>
        </w:rPr>
      </w:pPr>
    </w:p>
    <w:p w14:paraId="7F3A2509" w14:textId="77777777" w:rsidR="00173013" w:rsidRPr="00655036" w:rsidRDefault="00173013" w:rsidP="00655036">
      <w:pPr>
        <w:pStyle w:val="Normal1"/>
        <w:spacing w:line="240" w:lineRule="auto"/>
        <w:jc w:val="center"/>
        <w:rPr>
          <w:rFonts w:asciiTheme="minorBidi" w:hAnsiTheme="minorBidi" w:cstheme="minorBidi"/>
          <w:b/>
          <w:sz w:val="24"/>
          <w:szCs w:val="24"/>
        </w:rPr>
      </w:pPr>
    </w:p>
    <w:p w14:paraId="42E84452" w14:textId="37ED53C2" w:rsidR="00D15C15" w:rsidRPr="00655036" w:rsidRDefault="00173013" w:rsidP="00655036">
      <w:pPr>
        <w:pStyle w:val="Normal1"/>
        <w:spacing w:line="240" w:lineRule="auto"/>
        <w:jc w:val="center"/>
        <w:rPr>
          <w:rFonts w:asciiTheme="minorBidi" w:hAnsiTheme="minorBidi" w:cstheme="minorBidi"/>
          <w:b/>
          <w:sz w:val="24"/>
          <w:szCs w:val="24"/>
        </w:rPr>
      </w:pPr>
      <w:r w:rsidRPr="00655036">
        <w:rPr>
          <w:rFonts w:asciiTheme="minorBidi" w:hAnsiTheme="minorBidi" w:cstheme="minorBidi"/>
          <w:b/>
          <w:sz w:val="24"/>
          <w:szCs w:val="24"/>
        </w:rPr>
        <w:t xml:space="preserve">Shiur #27: </w:t>
      </w:r>
      <w:r w:rsidR="00D15C15" w:rsidRPr="00655036">
        <w:rPr>
          <w:rFonts w:asciiTheme="minorBidi" w:hAnsiTheme="minorBidi" w:cstheme="minorBidi"/>
          <w:b/>
          <w:sz w:val="24"/>
          <w:szCs w:val="24"/>
        </w:rPr>
        <w:t>Malakhi’s Opening Chapter</w:t>
      </w:r>
    </w:p>
    <w:p w14:paraId="6391D9B9" w14:textId="77777777" w:rsidR="00D15C15" w:rsidRPr="00655036" w:rsidRDefault="00D15C15" w:rsidP="00655036">
      <w:pPr>
        <w:pStyle w:val="Normal1"/>
        <w:spacing w:line="240" w:lineRule="auto"/>
        <w:jc w:val="both"/>
        <w:rPr>
          <w:rFonts w:asciiTheme="minorBidi" w:hAnsiTheme="minorBidi" w:cstheme="minorBidi"/>
          <w:b/>
          <w:sz w:val="24"/>
          <w:szCs w:val="24"/>
          <w:u w:val="single"/>
        </w:rPr>
      </w:pPr>
    </w:p>
    <w:p w14:paraId="26B303CF" w14:textId="77777777" w:rsidR="00173013" w:rsidRPr="00655036" w:rsidRDefault="00173013" w:rsidP="00655036">
      <w:pPr>
        <w:pStyle w:val="Normal1"/>
        <w:spacing w:line="240" w:lineRule="auto"/>
        <w:jc w:val="both"/>
        <w:rPr>
          <w:rFonts w:asciiTheme="minorBidi" w:hAnsiTheme="minorBidi" w:cstheme="minorBidi"/>
          <w:b/>
          <w:sz w:val="24"/>
          <w:szCs w:val="24"/>
          <w:u w:val="single"/>
        </w:rPr>
      </w:pPr>
    </w:p>
    <w:p w14:paraId="6FB2709F" w14:textId="2B9780AB" w:rsidR="00655036" w:rsidRPr="00655036" w:rsidRDefault="002F6FF2" w:rsidP="00655036">
      <w:pPr>
        <w:pStyle w:val="Normal1"/>
        <w:spacing w:line="240" w:lineRule="auto"/>
        <w:jc w:val="both"/>
        <w:rPr>
          <w:rFonts w:asciiTheme="minorBidi" w:hAnsiTheme="minorBidi" w:cstheme="minorBidi"/>
        </w:rPr>
      </w:pPr>
      <w:r w:rsidRPr="00655036">
        <w:rPr>
          <w:rFonts w:asciiTheme="minorBidi" w:hAnsiTheme="minorBidi" w:cstheme="minorBidi"/>
          <w:b/>
          <w:sz w:val="24"/>
          <w:szCs w:val="24"/>
        </w:rPr>
        <w:t>Malakhi: An Introduction</w:t>
      </w:r>
    </w:p>
    <w:p w14:paraId="6BEA3DAC" w14:textId="7FCB69D0" w:rsidR="003B2D82" w:rsidRPr="00655036" w:rsidRDefault="002F6FF2" w:rsidP="00655036">
      <w:pPr>
        <w:pStyle w:val="Normal1"/>
        <w:spacing w:line="240" w:lineRule="auto"/>
        <w:ind w:firstLine="720"/>
        <w:jc w:val="both"/>
        <w:rPr>
          <w:rFonts w:asciiTheme="minorBidi" w:hAnsiTheme="minorBidi" w:cstheme="minorBidi"/>
        </w:rPr>
      </w:pPr>
      <w:r w:rsidRPr="00655036">
        <w:rPr>
          <w:rFonts w:asciiTheme="minorBidi" w:hAnsiTheme="minorBidi" w:cstheme="minorBidi"/>
          <w:sz w:val="24"/>
          <w:szCs w:val="24"/>
        </w:rPr>
        <w:t xml:space="preserve">As an epilogue to our study of the period of </w:t>
      </w:r>
      <w:r w:rsidR="0092644C" w:rsidRPr="00655036">
        <w:rPr>
          <w:rFonts w:asciiTheme="minorBidi" w:hAnsiTheme="minorBidi" w:cstheme="minorBidi"/>
          <w:i/>
          <w:sz w:val="24"/>
          <w:szCs w:val="24"/>
        </w:rPr>
        <w:t>Shivat Tzi</w:t>
      </w:r>
      <w:r w:rsidRPr="00655036">
        <w:rPr>
          <w:rFonts w:asciiTheme="minorBidi" w:hAnsiTheme="minorBidi" w:cstheme="minorBidi"/>
          <w:i/>
          <w:sz w:val="24"/>
          <w:szCs w:val="24"/>
        </w:rPr>
        <w:t>on</w:t>
      </w:r>
      <w:r w:rsidRPr="00655036">
        <w:rPr>
          <w:rFonts w:asciiTheme="minorBidi" w:hAnsiTheme="minorBidi" w:cstheme="minorBidi"/>
          <w:sz w:val="24"/>
          <w:szCs w:val="24"/>
        </w:rPr>
        <w:t xml:space="preserve">, we now turn to the book of </w:t>
      </w:r>
      <w:r w:rsidRPr="00655036">
        <w:rPr>
          <w:rFonts w:asciiTheme="minorBidi" w:hAnsiTheme="minorBidi" w:cstheme="minorBidi"/>
          <w:i/>
          <w:sz w:val="24"/>
          <w:szCs w:val="24"/>
        </w:rPr>
        <w:t>Malakhi</w:t>
      </w:r>
      <w:r w:rsidRPr="00655036">
        <w:rPr>
          <w:rFonts w:asciiTheme="minorBidi" w:hAnsiTheme="minorBidi" w:cstheme="minorBidi"/>
          <w:sz w:val="24"/>
          <w:szCs w:val="24"/>
        </w:rPr>
        <w:t>. As Ibn Ezra (1:1) and Rad</w:t>
      </w:r>
      <w:r w:rsidR="007471F8" w:rsidRPr="00655036">
        <w:rPr>
          <w:rFonts w:asciiTheme="minorBidi" w:hAnsiTheme="minorBidi" w:cstheme="minorBidi"/>
          <w:sz w:val="24"/>
          <w:szCs w:val="24"/>
        </w:rPr>
        <w:t xml:space="preserve">ak (ibid.) argue, although the </w:t>
      </w:r>
      <w:r w:rsidR="007471F8" w:rsidRPr="00655036">
        <w:rPr>
          <w:rFonts w:asciiTheme="minorBidi" w:hAnsiTheme="minorBidi" w:cstheme="minorBidi"/>
          <w:i/>
          <w:iCs/>
          <w:sz w:val="24"/>
          <w:szCs w:val="24"/>
        </w:rPr>
        <w:t>g</w:t>
      </w:r>
      <w:r w:rsidRPr="00655036">
        <w:rPr>
          <w:rFonts w:asciiTheme="minorBidi" w:hAnsiTheme="minorBidi" w:cstheme="minorBidi"/>
          <w:i/>
          <w:iCs/>
          <w:sz w:val="24"/>
          <w:szCs w:val="24"/>
        </w:rPr>
        <w:t>emara</w:t>
      </w:r>
      <w:r w:rsidRPr="00655036">
        <w:rPr>
          <w:rFonts w:asciiTheme="minorBidi" w:hAnsiTheme="minorBidi" w:cstheme="minorBidi"/>
          <w:sz w:val="24"/>
          <w:szCs w:val="24"/>
        </w:rPr>
        <w:t xml:space="preserve"> does suggest in one place (</w:t>
      </w:r>
      <w:r w:rsidRPr="00655036">
        <w:rPr>
          <w:rFonts w:asciiTheme="minorBidi" w:hAnsiTheme="minorBidi" w:cstheme="minorBidi"/>
          <w:i/>
          <w:sz w:val="24"/>
          <w:szCs w:val="24"/>
        </w:rPr>
        <w:t>Megilla</w:t>
      </w:r>
      <w:r w:rsidRPr="00655036">
        <w:rPr>
          <w:rFonts w:asciiTheme="minorBidi" w:hAnsiTheme="minorBidi" w:cstheme="minorBidi"/>
          <w:sz w:val="24"/>
          <w:szCs w:val="24"/>
        </w:rPr>
        <w:t xml:space="preserve"> 15a) that Malakhi is Ezra, there is good reason to believe that Malakhi prophesied shortly after the period in which Ezra and Nechemia were active. Accordingly, Malakhi represents the final recorded </w:t>
      </w:r>
      <w:r w:rsidR="00173013" w:rsidRPr="00655036">
        <w:rPr>
          <w:rFonts w:asciiTheme="minorBidi" w:hAnsiTheme="minorBidi" w:cstheme="minorBidi"/>
          <w:i/>
          <w:sz w:val="24"/>
          <w:szCs w:val="24"/>
        </w:rPr>
        <w:t>nevu’a</w:t>
      </w:r>
      <w:r w:rsidRPr="00655036">
        <w:rPr>
          <w:rFonts w:asciiTheme="minorBidi" w:hAnsiTheme="minorBidi" w:cstheme="minorBidi"/>
          <w:sz w:val="24"/>
          <w:szCs w:val="24"/>
        </w:rPr>
        <w:t xml:space="preserve"> in </w:t>
      </w:r>
      <w:r w:rsidRPr="00655036">
        <w:rPr>
          <w:rFonts w:asciiTheme="minorBidi" w:hAnsiTheme="minorBidi" w:cstheme="minorBidi"/>
          <w:i/>
          <w:iCs/>
          <w:sz w:val="24"/>
          <w:szCs w:val="24"/>
        </w:rPr>
        <w:t>Tanakh</w:t>
      </w:r>
      <w:r w:rsidRPr="00655036">
        <w:rPr>
          <w:rFonts w:asciiTheme="minorBidi" w:hAnsiTheme="minorBidi" w:cstheme="minorBidi"/>
          <w:sz w:val="24"/>
          <w:szCs w:val="24"/>
        </w:rPr>
        <w:t xml:space="preserve">, concluding the era of </w:t>
      </w:r>
      <w:r w:rsidR="0092644C" w:rsidRPr="00655036">
        <w:rPr>
          <w:rFonts w:asciiTheme="minorBidi" w:hAnsiTheme="minorBidi" w:cstheme="minorBidi"/>
          <w:i/>
          <w:sz w:val="24"/>
          <w:szCs w:val="24"/>
        </w:rPr>
        <w:t>Shivat Tzi</w:t>
      </w:r>
      <w:r w:rsidRPr="00655036">
        <w:rPr>
          <w:rFonts w:asciiTheme="minorBidi" w:hAnsiTheme="minorBidi" w:cstheme="minorBidi"/>
          <w:i/>
          <w:sz w:val="24"/>
          <w:szCs w:val="24"/>
        </w:rPr>
        <w:t xml:space="preserve">on </w:t>
      </w:r>
      <w:r w:rsidRPr="00655036">
        <w:rPr>
          <w:rFonts w:asciiTheme="minorBidi" w:hAnsiTheme="minorBidi" w:cstheme="minorBidi"/>
          <w:sz w:val="24"/>
          <w:szCs w:val="24"/>
        </w:rPr>
        <w:t xml:space="preserve">in particular and prophecy </w:t>
      </w:r>
      <w:r w:rsidR="007471F8" w:rsidRPr="00655036">
        <w:rPr>
          <w:rFonts w:asciiTheme="minorBidi" w:hAnsiTheme="minorBidi" w:cstheme="minorBidi"/>
          <w:sz w:val="24"/>
          <w:szCs w:val="24"/>
        </w:rPr>
        <w:t>in general</w:t>
      </w:r>
      <w:r w:rsidRPr="00655036">
        <w:rPr>
          <w:rFonts w:asciiTheme="minorBidi" w:hAnsiTheme="minorBidi" w:cstheme="minorBidi"/>
          <w:sz w:val="24"/>
          <w:szCs w:val="24"/>
        </w:rPr>
        <w:t xml:space="preserve">. As we will see, there are numerous overlaps between the </w:t>
      </w:r>
      <w:r w:rsidRPr="00655036">
        <w:rPr>
          <w:rFonts w:asciiTheme="minorBidi" w:hAnsiTheme="minorBidi" w:cstheme="minorBidi"/>
          <w:i/>
          <w:sz w:val="24"/>
          <w:szCs w:val="24"/>
        </w:rPr>
        <w:t>sefer</w:t>
      </w:r>
      <w:r w:rsidRPr="00655036">
        <w:rPr>
          <w:rFonts w:asciiTheme="minorBidi" w:hAnsiTheme="minorBidi" w:cstheme="minorBidi"/>
          <w:sz w:val="24"/>
          <w:szCs w:val="24"/>
        </w:rPr>
        <w:t xml:space="preserve"> and the themes we have developed throughout the course of our series.</w:t>
      </w:r>
    </w:p>
    <w:p w14:paraId="144CF17D" w14:textId="77777777" w:rsidR="003B2D82" w:rsidRPr="00655036" w:rsidRDefault="002F6FF2" w:rsidP="00655036">
      <w:pPr>
        <w:pStyle w:val="Normal1"/>
        <w:spacing w:line="240" w:lineRule="auto"/>
        <w:jc w:val="both"/>
        <w:rPr>
          <w:rFonts w:asciiTheme="minorBidi" w:hAnsiTheme="minorBidi" w:cstheme="minorBidi"/>
        </w:rPr>
      </w:pPr>
      <w:r w:rsidRPr="00655036">
        <w:rPr>
          <w:rFonts w:asciiTheme="minorBidi" w:hAnsiTheme="minorBidi" w:cstheme="minorBidi"/>
          <w:sz w:val="24"/>
          <w:szCs w:val="24"/>
        </w:rPr>
        <w:t xml:space="preserve"> </w:t>
      </w:r>
    </w:p>
    <w:p w14:paraId="66D90194" w14:textId="64844D7F" w:rsidR="003B2D82" w:rsidRPr="00655036" w:rsidRDefault="002F6FF2" w:rsidP="00655036">
      <w:pPr>
        <w:pStyle w:val="Normal1"/>
        <w:spacing w:line="240" w:lineRule="auto"/>
        <w:ind w:firstLine="720"/>
        <w:jc w:val="both"/>
        <w:rPr>
          <w:rFonts w:asciiTheme="minorBidi" w:hAnsiTheme="minorBidi" w:cstheme="minorBidi"/>
        </w:rPr>
      </w:pPr>
      <w:r w:rsidRPr="00655036">
        <w:rPr>
          <w:rFonts w:asciiTheme="minorBidi" w:hAnsiTheme="minorBidi" w:cstheme="minorBidi"/>
          <w:sz w:val="24"/>
          <w:szCs w:val="24"/>
        </w:rPr>
        <w:t xml:space="preserve">Beyond the chronology, there are a number of points worth </w:t>
      </w:r>
      <w:r w:rsidR="007471F8" w:rsidRPr="00655036">
        <w:rPr>
          <w:rFonts w:asciiTheme="minorBidi" w:hAnsiTheme="minorBidi" w:cstheme="minorBidi"/>
          <w:sz w:val="24"/>
          <w:szCs w:val="24"/>
        </w:rPr>
        <w:t>noting</w:t>
      </w:r>
      <w:r w:rsidRPr="00655036">
        <w:rPr>
          <w:rFonts w:asciiTheme="minorBidi" w:hAnsiTheme="minorBidi" w:cstheme="minorBidi"/>
          <w:sz w:val="24"/>
          <w:szCs w:val="24"/>
        </w:rPr>
        <w:t xml:space="preserve"> at the outset. In contrast to </w:t>
      </w:r>
      <w:r w:rsidRPr="00655036">
        <w:rPr>
          <w:rFonts w:asciiTheme="minorBidi" w:hAnsiTheme="minorBidi" w:cstheme="minorBidi"/>
          <w:i/>
          <w:sz w:val="24"/>
          <w:szCs w:val="24"/>
        </w:rPr>
        <w:t>Chagai</w:t>
      </w:r>
      <w:r w:rsidRPr="00655036">
        <w:rPr>
          <w:rFonts w:asciiTheme="minorBidi" w:hAnsiTheme="minorBidi" w:cstheme="minorBidi"/>
          <w:sz w:val="24"/>
          <w:szCs w:val="24"/>
        </w:rPr>
        <w:t>,</w:t>
      </w:r>
      <w:r w:rsidRPr="00655036">
        <w:rPr>
          <w:rFonts w:asciiTheme="minorBidi" w:hAnsiTheme="minorBidi" w:cstheme="minorBidi"/>
          <w:i/>
          <w:sz w:val="24"/>
          <w:szCs w:val="24"/>
        </w:rPr>
        <w:t xml:space="preserve"> Zekharia</w:t>
      </w:r>
      <w:r w:rsidRPr="00655036">
        <w:rPr>
          <w:rFonts w:asciiTheme="minorBidi" w:hAnsiTheme="minorBidi" w:cstheme="minorBidi"/>
          <w:sz w:val="24"/>
          <w:szCs w:val="24"/>
        </w:rPr>
        <w:t xml:space="preserve">, and the majority of </w:t>
      </w:r>
      <w:r w:rsidRPr="00655036">
        <w:rPr>
          <w:rFonts w:asciiTheme="minorBidi" w:hAnsiTheme="minorBidi" w:cstheme="minorBidi"/>
          <w:i/>
          <w:sz w:val="24"/>
          <w:szCs w:val="24"/>
        </w:rPr>
        <w:t>Nevi’im</w:t>
      </w:r>
      <w:r w:rsidRPr="00655036">
        <w:rPr>
          <w:rFonts w:asciiTheme="minorBidi" w:hAnsiTheme="minorBidi" w:cstheme="minorBidi"/>
          <w:sz w:val="24"/>
          <w:szCs w:val="24"/>
        </w:rPr>
        <w:t xml:space="preserve">, no dates are mentioned at any point in the work. This unusual feature supports Abravanel’s cogent position that the entirety of </w:t>
      </w:r>
      <w:r w:rsidRPr="00655036">
        <w:rPr>
          <w:rFonts w:asciiTheme="minorBidi" w:hAnsiTheme="minorBidi" w:cstheme="minorBidi"/>
          <w:i/>
          <w:sz w:val="24"/>
          <w:szCs w:val="24"/>
        </w:rPr>
        <w:t xml:space="preserve">Malakhi </w:t>
      </w:r>
      <w:r w:rsidRPr="00655036">
        <w:rPr>
          <w:rFonts w:asciiTheme="minorBidi" w:hAnsiTheme="minorBidi" w:cstheme="minorBidi"/>
          <w:sz w:val="24"/>
          <w:szCs w:val="24"/>
        </w:rPr>
        <w:t>constitutes a single prophecy. Also noteworthy is the absence of any visions in Malakhi’s recorded prophecies. In this respect, Malakhi resembles Chagai and is unlike Zekharia.</w:t>
      </w:r>
    </w:p>
    <w:p w14:paraId="2E1E7B4F" w14:textId="77777777" w:rsidR="003B2D82" w:rsidRPr="00655036" w:rsidRDefault="002F6FF2" w:rsidP="00655036">
      <w:pPr>
        <w:pStyle w:val="Normal1"/>
        <w:spacing w:line="240" w:lineRule="auto"/>
        <w:jc w:val="both"/>
        <w:rPr>
          <w:rFonts w:asciiTheme="minorBidi" w:hAnsiTheme="minorBidi" w:cstheme="minorBidi"/>
        </w:rPr>
      </w:pPr>
      <w:r w:rsidRPr="00655036">
        <w:rPr>
          <w:rFonts w:asciiTheme="minorBidi" w:hAnsiTheme="minorBidi" w:cstheme="minorBidi"/>
          <w:sz w:val="24"/>
          <w:szCs w:val="24"/>
        </w:rPr>
        <w:t xml:space="preserve"> </w:t>
      </w:r>
      <w:bookmarkStart w:id="0" w:name="_GoBack"/>
      <w:bookmarkEnd w:id="0"/>
    </w:p>
    <w:p w14:paraId="626D58CB" w14:textId="2178D503" w:rsidR="003B2D82" w:rsidRPr="00655036" w:rsidRDefault="002F6FF2" w:rsidP="00655036">
      <w:pPr>
        <w:pStyle w:val="Normal1"/>
        <w:spacing w:line="240" w:lineRule="auto"/>
        <w:ind w:firstLine="720"/>
        <w:jc w:val="both"/>
        <w:rPr>
          <w:rFonts w:asciiTheme="minorBidi" w:hAnsiTheme="minorBidi" w:cstheme="minorBidi"/>
        </w:rPr>
      </w:pPr>
      <w:r w:rsidRPr="00655036">
        <w:rPr>
          <w:rFonts w:asciiTheme="minorBidi" w:hAnsiTheme="minorBidi" w:cstheme="minorBidi"/>
          <w:sz w:val="24"/>
          <w:szCs w:val="24"/>
        </w:rPr>
        <w:t xml:space="preserve">Perhaps most intriguing is </w:t>
      </w:r>
      <w:r w:rsidR="007471F8" w:rsidRPr="00655036">
        <w:rPr>
          <w:rFonts w:asciiTheme="minorBidi" w:hAnsiTheme="minorBidi" w:cstheme="minorBidi"/>
          <w:sz w:val="24"/>
          <w:szCs w:val="24"/>
        </w:rPr>
        <w:t>the book’s literary arrangement.</w:t>
      </w:r>
      <w:r w:rsidRPr="00655036">
        <w:rPr>
          <w:rFonts w:asciiTheme="minorBidi" w:hAnsiTheme="minorBidi" w:cstheme="minorBidi"/>
          <w:sz w:val="24"/>
          <w:szCs w:val="24"/>
        </w:rPr>
        <w:t xml:space="preserve"> Malakhi structures his </w:t>
      </w:r>
      <w:r w:rsidRPr="00655036">
        <w:rPr>
          <w:rFonts w:asciiTheme="minorBidi" w:hAnsiTheme="minorBidi" w:cstheme="minorBidi"/>
          <w:i/>
          <w:sz w:val="24"/>
          <w:szCs w:val="24"/>
        </w:rPr>
        <w:t>nevu</w:t>
      </w:r>
      <w:r w:rsidR="00173013" w:rsidRPr="00655036">
        <w:rPr>
          <w:rFonts w:asciiTheme="minorBidi" w:hAnsiTheme="minorBidi" w:cstheme="minorBidi"/>
          <w:i/>
          <w:sz w:val="24"/>
          <w:szCs w:val="24"/>
        </w:rPr>
        <w:t>’a</w:t>
      </w:r>
      <w:r w:rsidRPr="00655036">
        <w:rPr>
          <w:rFonts w:asciiTheme="minorBidi" w:hAnsiTheme="minorBidi" w:cstheme="minorBidi"/>
          <w:i/>
          <w:sz w:val="24"/>
          <w:szCs w:val="24"/>
        </w:rPr>
        <w:t xml:space="preserve"> </w:t>
      </w:r>
      <w:r w:rsidRPr="00655036">
        <w:rPr>
          <w:rFonts w:asciiTheme="minorBidi" w:hAnsiTheme="minorBidi" w:cstheme="minorBidi"/>
          <w:sz w:val="24"/>
          <w:szCs w:val="24"/>
        </w:rPr>
        <w:t xml:space="preserve">as an ongoing series of dialogues between God and the </w:t>
      </w:r>
      <w:r w:rsidR="007471F8" w:rsidRPr="00655036">
        <w:rPr>
          <w:rFonts w:asciiTheme="minorBidi" w:hAnsiTheme="minorBidi" w:cstheme="minorBidi"/>
          <w:sz w:val="24"/>
          <w:szCs w:val="24"/>
        </w:rPr>
        <w:t>Jewish P</w:t>
      </w:r>
      <w:r w:rsidRPr="00655036">
        <w:rPr>
          <w:rFonts w:asciiTheme="minorBidi" w:hAnsiTheme="minorBidi" w:cstheme="minorBidi"/>
          <w:sz w:val="24"/>
          <w:szCs w:val="24"/>
        </w:rPr>
        <w:t xml:space="preserve">eople. </w:t>
      </w:r>
      <w:r w:rsidR="00AF5437" w:rsidRPr="00655036">
        <w:rPr>
          <w:rFonts w:asciiTheme="minorBidi" w:hAnsiTheme="minorBidi" w:cstheme="minorBidi"/>
          <w:sz w:val="24"/>
          <w:szCs w:val="24"/>
        </w:rPr>
        <w:t>T</w:t>
      </w:r>
      <w:r w:rsidRPr="00655036">
        <w:rPr>
          <w:rFonts w:asciiTheme="minorBidi" w:hAnsiTheme="minorBidi" w:cstheme="minorBidi"/>
          <w:sz w:val="24"/>
          <w:szCs w:val="24"/>
        </w:rPr>
        <w:t xml:space="preserve">hese conversations appear a total of seven times, forming the </w:t>
      </w:r>
      <w:r w:rsidRPr="00655036">
        <w:rPr>
          <w:rFonts w:asciiTheme="minorBidi" w:hAnsiTheme="minorBidi" w:cstheme="minorBidi"/>
          <w:i/>
          <w:sz w:val="24"/>
          <w:szCs w:val="24"/>
        </w:rPr>
        <w:t>sefer</w:t>
      </w:r>
      <w:r w:rsidRPr="00655036">
        <w:rPr>
          <w:rFonts w:asciiTheme="minorBidi" w:hAnsiTheme="minorBidi" w:cstheme="minorBidi"/>
          <w:sz w:val="24"/>
          <w:szCs w:val="24"/>
        </w:rPr>
        <w:t>’s backbone and</w:t>
      </w:r>
      <w:r w:rsidR="00AF5437" w:rsidRPr="00655036">
        <w:rPr>
          <w:rFonts w:asciiTheme="minorBidi" w:hAnsiTheme="minorBidi" w:cstheme="minorBidi"/>
          <w:sz w:val="24"/>
          <w:szCs w:val="24"/>
        </w:rPr>
        <w:t>, as we will argue later,</w:t>
      </w:r>
      <w:r w:rsidRPr="00655036">
        <w:rPr>
          <w:rFonts w:asciiTheme="minorBidi" w:hAnsiTheme="minorBidi" w:cstheme="minorBidi"/>
          <w:sz w:val="24"/>
          <w:szCs w:val="24"/>
        </w:rPr>
        <w:t xml:space="preserve"> representing its central motif. </w:t>
      </w:r>
    </w:p>
    <w:p w14:paraId="17F44E72" w14:textId="77777777" w:rsidR="003B2D82" w:rsidRPr="00655036" w:rsidRDefault="002F6FF2" w:rsidP="00655036">
      <w:pPr>
        <w:pStyle w:val="Normal1"/>
        <w:spacing w:line="240" w:lineRule="auto"/>
        <w:jc w:val="both"/>
        <w:rPr>
          <w:rFonts w:asciiTheme="minorBidi" w:hAnsiTheme="minorBidi" w:cstheme="minorBidi"/>
        </w:rPr>
      </w:pPr>
      <w:r w:rsidRPr="00655036">
        <w:rPr>
          <w:rFonts w:asciiTheme="minorBidi" w:hAnsiTheme="minorBidi" w:cstheme="minorBidi"/>
          <w:sz w:val="24"/>
          <w:szCs w:val="24"/>
        </w:rPr>
        <w:t xml:space="preserve"> </w:t>
      </w:r>
    </w:p>
    <w:p w14:paraId="12723812" w14:textId="17B967CC" w:rsidR="003B2D82" w:rsidRPr="00655036" w:rsidRDefault="002F6FF2" w:rsidP="00655036">
      <w:pPr>
        <w:pStyle w:val="Normal1"/>
        <w:spacing w:line="240" w:lineRule="auto"/>
        <w:ind w:firstLine="720"/>
        <w:jc w:val="both"/>
        <w:rPr>
          <w:rFonts w:asciiTheme="minorBidi" w:hAnsiTheme="minorBidi" w:cstheme="minorBidi"/>
        </w:rPr>
      </w:pPr>
      <w:r w:rsidRPr="00655036">
        <w:rPr>
          <w:rFonts w:asciiTheme="minorBidi" w:hAnsiTheme="minorBidi" w:cstheme="minorBidi"/>
          <w:sz w:val="24"/>
          <w:szCs w:val="24"/>
        </w:rPr>
        <w:t xml:space="preserve">The name Malakhi is also laden with significance. As in the case of Chagai, the commentaries dispute whether Malakhi was the </w:t>
      </w:r>
      <w:r w:rsidRPr="00655036">
        <w:rPr>
          <w:rFonts w:asciiTheme="minorBidi" w:hAnsiTheme="minorBidi" w:cstheme="minorBidi"/>
          <w:i/>
          <w:sz w:val="24"/>
          <w:szCs w:val="24"/>
        </w:rPr>
        <w:t>navi</w:t>
      </w:r>
      <w:r w:rsidRPr="00655036">
        <w:rPr>
          <w:rFonts w:asciiTheme="minorBidi" w:hAnsiTheme="minorBidi" w:cstheme="minorBidi"/>
          <w:sz w:val="24"/>
          <w:szCs w:val="24"/>
        </w:rPr>
        <w:t>’s given name or a later appellation. The Talmud</w:t>
      </w:r>
      <w:r w:rsidR="00AF5437" w:rsidRPr="00655036">
        <w:rPr>
          <w:rFonts w:asciiTheme="minorBidi" w:hAnsiTheme="minorBidi" w:cstheme="minorBidi"/>
          <w:sz w:val="24"/>
          <w:szCs w:val="24"/>
        </w:rPr>
        <w:t>ic</w:t>
      </w:r>
      <w:r w:rsidRPr="00655036">
        <w:rPr>
          <w:rFonts w:asciiTheme="minorBidi" w:hAnsiTheme="minorBidi" w:cstheme="minorBidi"/>
          <w:sz w:val="24"/>
          <w:szCs w:val="24"/>
        </w:rPr>
        <w:t xml:space="preserve"> view that identifies Malakhi with Ezra likely maintains that Malakhi was not the prophet’s birth name. Others, including</w:t>
      </w:r>
      <w:r w:rsidR="00BA7278" w:rsidRPr="00655036">
        <w:rPr>
          <w:rFonts w:asciiTheme="minorBidi" w:hAnsiTheme="minorBidi" w:cstheme="minorBidi"/>
          <w:sz w:val="24"/>
          <w:szCs w:val="24"/>
        </w:rPr>
        <w:t xml:space="preserve"> positions</w:t>
      </w:r>
      <w:r w:rsidRPr="00655036">
        <w:rPr>
          <w:rFonts w:asciiTheme="minorBidi" w:hAnsiTheme="minorBidi" w:cstheme="minorBidi"/>
          <w:sz w:val="24"/>
          <w:szCs w:val="24"/>
        </w:rPr>
        <w:t xml:space="preserve"> cited in the Talmud (ibid.), Ibn Ezra (ibid.) and Radak (ibid.), maintain that Malakhi was the prophet’s birth name. Be that as it may, the term </w:t>
      </w:r>
      <w:r w:rsidRPr="00655036">
        <w:rPr>
          <w:rFonts w:asciiTheme="minorBidi" w:hAnsiTheme="minorBidi" w:cstheme="minorBidi"/>
          <w:i/>
          <w:sz w:val="24"/>
          <w:szCs w:val="24"/>
        </w:rPr>
        <w:t>malakh</w:t>
      </w:r>
      <w:r w:rsidRPr="00655036">
        <w:rPr>
          <w:rFonts w:asciiTheme="minorBidi" w:hAnsiTheme="minorBidi" w:cstheme="minorBidi"/>
          <w:sz w:val="24"/>
          <w:szCs w:val="24"/>
        </w:rPr>
        <w:t xml:space="preserve"> takes on an outsized role as the book develops. In chapter </w:t>
      </w:r>
      <w:r w:rsidR="007471F8" w:rsidRPr="00655036">
        <w:rPr>
          <w:rFonts w:asciiTheme="minorBidi" w:hAnsiTheme="minorBidi" w:cstheme="minorBidi"/>
          <w:sz w:val="24"/>
          <w:szCs w:val="24"/>
        </w:rPr>
        <w:t>2,</w:t>
      </w:r>
      <w:r w:rsidRPr="00655036">
        <w:rPr>
          <w:rFonts w:asciiTheme="minorBidi" w:hAnsiTheme="minorBidi" w:cstheme="minorBidi"/>
          <w:sz w:val="24"/>
          <w:szCs w:val="24"/>
        </w:rPr>
        <w:t xml:space="preserve"> we will learn that the priest, who teaches Torah, must resemble a “</w:t>
      </w:r>
      <w:r w:rsidRPr="00655036">
        <w:rPr>
          <w:rFonts w:asciiTheme="minorBidi" w:hAnsiTheme="minorBidi" w:cstheme="minorBidi"/>
          <w:i/>
          <w:sz w:val="24"/>
          <w:szCs w:val="24"/>
        </w:rPr>
        <w:t>malakh Hashem tzevakot</w:t>
      </w:r>
      <w:r w:rsidRPr="00655036">
        <w:rPr>
          <w:rFonts w:asciiTheme="minorBidi" w:hAnsiTheme="minorBidi" w:cstheme="minorBidi"/>
          <w:sz w:val="24"/>
          <w:szCs w:val="24"/>
        </w:rPr>
        <w:t>,</w:t>
      </w:r>
      <w:r w:rsidR="007471F8" w:rsidRPr="00655036">
        <w:rPr>
          <w:rFonts w:asciiTheme="minorBidi" w:hAnsiTheme="minorBidi" w:cstheme="minorBidi"/>
          <w:sz w:val="24"/>
          <w:szCs w:val="24"/>
        </w:rPr>
        <w:t>”</w:t>
      </w:r>
      <w:r w:rsidRPr="00655036">
        <w:rPr>
          <w:rFonts w:asciiTheme="minorBidi" w:hAnsiTheme="minorBidi" w:cstheme="minorBidi"/>
          <w:sz w:val="24"/>
          <w:szCs w:val="24"/>
        </w:rPr>
        <w:t xml:space="preserve"> </w:t>
      </w:r>
      <w:r w:rsidR="007471F8" w:rsidRPr="00655036">
        <w:rPr>
          <w:rFonts w:asciiTheme="minorBidi" w:hAnsiTheme="minorBidi" w:cstheme="minorBidi"/>
          <w:sz w:val="24"/>
          <w:szCs w:val="24"/>
        </w:rPr>
        <w:t>“</w:t>
      </w:r>
      <w:r w:rsidRPr="00655036">
        <w:rPr>
          <w:rFonts w:asciiTheme="minorBidi" w:hAnsiTheme="minorBidi" w:cstheme="minorBidi"/>
          <w:sz w:val="24"/>
          <w:szCs w:val="24"/>
        </w:rPr>
        <w:t>an angel of the Lord of hosts” (2:6). The third chapter opens with God’s declaration that He will send “[His] messenger” to exact vengeance upon sinners. In a sense, the prophet becomes a character in his own prophetic work, acting as one of the messengers that God sends to carry out His will. As we will see, Malakhi consistently sees the world through the lenses of the intimate relations</w:t>
      </w:r>
      <w:r w:rsidR="007471F8" w:rsidRPr="00655036">
        <w:rPr>
          <w:rFonts w:asciiTheme="minorBidi" w:hAnsiTheme="minorBidi" w:cstheme="minorBidi"/>
          <w:sz w:val="24"/>
          <w:szCs w:val="24"/>
        </w:rPr>
        <w:t xml:space="preserve">hip </w:t>
      </w:r>
      <w:r w:rsidR="007471F8" w:rsidRPr="00655036">
        <w:rPr>
          <w:rFonts w:asciiTheme="minorBidi" w:hAnsiTheme="minorBidi" w:cstheme="minorBidi"/>
          <w:sz w:val="24"/>
          <w:szCs w:val="24"/>
        </w:rPr>
        <w:lastRenderedPageBreak/>
        <w:t>between God and the Jewish P</w:t>
      </w:r>
      <w:r w:rsidRPr="00655036">
        <w:rPr>
          <w:rFonts w:asciiTheme="minorBidi" w:hAnsiTheme="minorBidi" w:cstheme="minorBidi"/>
          <w:sz w:val="24"/>
          <w:szCs w:val="24"/>
        </w:rPr>
        <w:t xml:space="preserve">eople. In this sense, he is fittingly named </w:t>
      </w:r>
      <w:r w:rsidR="007471F8" w:rsidRPr="00655036">
        <w:rPr>
          <w:rFonts w:asciiTheme="minorBidi" w:hAnsiTheme="minorBidi" w:cstheme="minorBidi"/>
          <w:sz w:val="24"/>
          <w:szCs w:val="24"/>
        </w:rPr>
        <w:t>“</w:t>
      </w:r>
      <w:r w:rsidRPr="00655036">
        <w:rPr>
          <w:rFonts w:asciiTheme="minorBidi" w:hAnsiTheme="minorBidi" w:cstheme="minorBidi"/>
          <w:i/>
          <w:sz w:val="24"/>
          <w:szCs w:val="24"/>
        </w:rPr>
        <w:t xml:space="preserve">my </w:t>
      </w:r>
      <w:r w:rsidRPr="00655036">
        <w:rPr>
          <w:rFonts w:asciiTheme="minorBidi" w:hAnsiTheme="minorBidi" w:cstheme="minorBidi"/>
          <w:sz w:val="24"/>
          <w:szCs w:val="24"/>
        </w:rPr>
        <w:t>messenger,</w:t>
      </w:r>
      <w:r w:rsidR="007471F8" w:rsidRPr="00655036">
        <w:rPr>
          <w:rFonts w:asciiTheme="minorBidi" w:hAnsiTheme="minorBidi" w:cstheme="minorBidi"/>
          <w:sz w:val="24"/>
          <w:szCs w:val="24"/>
        </w:rPr>
        <w:t>”</w:t>
      </w:r>
      <w:r w:rsidRPr="00655036">
        <w:rPr>
          <w:rFonts w:asciiTheme="minorBidi" w:hAnsiTheme="minorBidi" w:cstheme="minorBidi"/>
          <w:sz w:val="24"/>
          <w:szCs w:val="24"/>
        </w:rPr>
        <w:t xml:space="preserve"> emphasizing the immediacy of the connection between God and His people.</w:t>
      </w:r>
    </w:p>
    <w:p w14:paraId="42DDB70C" w14:textId="77777777" w:rsidR="003B2D82" w:rsidRPr="00655036" w:rsidRDefault="002F6FF2" w:rsidP="00655036">
      <w:pPr>
        <w:pStyle w:val="Normal1"/>
        <w:spacing w:line="240" w:lineRule="auto"/>
        <w:jc w:val="both"/>
        <w:rPr>
          <w:rFonts w:asciiTheme="minorBidi" w:hAnsiTheme="minorBidi" w:cstheme="minorBidi"/>
        </w:rPr>
      </w:pPr>
      <w:r w:rsidRPr="00655036">
        <w:rPr>
          <w:rFonts w:asciiTheme="minorBidi" w:hAnsiTheme="minorBidi" w:cstheme="minorBidi"/>
          <w:sz w:val="24"/>
          <w:szCs w:val="24"/>
        </w:rPr>
        <w:t xml:space="preserve"> </w:t>
      </w:r>
    </w:p>
    <w:p w14:paraId="4EC41D27" w14:textId="77777777" w:rsidR="003B2D82" w:rsidRPr="00655036" w:rsidRDefault="002F6FF2" w:rsidP="00655036">
      <w:pPr>
        <w:pStyle w:val="Normal1"/>
        <w:spacing w:line="240" w:lineRule="auto"/>
        <w:jc w:val="both"/>
        <w:rPr>
          <w:rFonts w:asciiTheme="minorBidi" w:hAnsiTheme="minorBidi" w:cstheme="minorBidi"/>
        </w:rPr>
      </w:pPr>
      <w:r w:rsidRPr="00655036">
        <w:rPr>
          <w:rFonts w:asciiTheme="minorBidi" w:hAnsiTheme="minorBidi" w:cstheme="minorBidi"/>
          <w:b/>
          <w:sz w:val="24"/>
          <w:szCs w:val="24"/>
        </w:rPr>
        <w:t>The Opening Section (1:1-5)</w:t>
      </w:r>
    </w:p>
    <w:p w14:paraId="549F3A2F" w14:textId="01390D8F" w:rsidR="003B2D82" w:rsidRPr="00655036" w:rsidRDefault="002F6FF2" w:rsidP="00655036">
      <w:pPr>
        <w:pStyle w:val="Normal1"/>
        <w:spacing w:line="240" w:lineRule="auto"/>
        <w:ind w:firstLine="720"/>
        <w:jc w:val="both"/>
        <w:rPr>
          <w:rFonts w:asciiTheme="minorBidi" w:hAnsiTheme="minorBidi" w:cstheme="minorBidi"/>
        </w:rPr>
      </w:pPr>
      <w:r w:rsidRPr="00655036">
        <w:rPr>
          <w:rFonts w:asciiTheme="minorBidi" w:hAnsiTheme="minorBidi" w:cstheme="minorBidi"/>
          <w:sz w:val="24"/>
          <w:szCs w:val="24"/>
        </w:rPr>
        <w:t xml:space="preserve">Turning to the beginning of the </w:t>
      </w:r>
      <w:r w:rsidRPr="00655036">
        <w:rPr>
          <w:rFonts w:asciiTheme="minorBidi" w:hAnsiTheme="minorBidi" w:cstheme="minorBidi"/>
          <w:i/>
          <w:sz w:val="24"/>
          <w:szCs w:val="24"/>
        </w:rPr>
        <w:t>sefer</w:t>
      </w:r>
      <w:r w:rsidRPr="00655036">
        <w:rPr>
          <w:rFonts w:asciiTheme="minorBidi" w:hAnsiTheme="minorBidi" w:cstheme="minorBidi"/>
          <w:sz w:val="24"/>
          <w:szCs w:val="24"/>
        </w:rPr>
        <w:t xml:space="preserve">, the first verse introduces Malakhi’s </w:t>
      </w:r>
      <w:r w:rsidR="007471F8" w:rsidRPr="00655036">
        <w:rPr>
          <w:rFonts w:asciiTheme="minorBidi" w:hAnsiTheme="minorBidi" w:cstheme="minorBidi"/>
          <w:i/>
          <w:sz w:val="24"/>
          <w:szCs w:val="24"/>
        </w:rPr>
        <w:t>nevua</w:t>
      </w:r>
      <w:r w:rsidRPr="00655036">
        <w:rPr>
          <w:rFonts w:asciiTheme="minorBidi" w:hAnsiTheme="minorBidi" w:cstheme="minorBidi"/>
          <w:i/>
          <w:sz w:val="24"/>
          <w:szCs w:val="24"/>
        </w:rPr>
        <w:t xml:space="preserve"> </w:t>
      </w:r>
      <w:r w:rsidRPr="00655036">
        <w:rPr>
          <w:rFonts w:asciiTheme="minorBidi" w:hAnsiTheme="minorBidi" w:cstheme="minorBidi"/>
          <w:sz w:val="24"/>
          <w:szCs w:val="24"/>
        </w:rPr>
        <w:t>as having been delivered “</w:t>
      </w:r>
      <w:r w:rsidRPr="00655036">
        <w:rPr>
          <w:rFonts w:asciiTheme="minorBidi" w:hAnsiTheme="minorBidi" w:cstheme="minorBidi"/>
          <w:i/>
          <w:sz w:val="24"/>
          <w:szCs w:val="24"/>
        </w:rPr>
        <w:t>be-yad Malakhi</w:t>
      </w:r>
      <w:r w:rsidRPr="00655036">
        <w:rPr>
          <w:rFonts w:asciiTheme="minorBidi" w:hAnsiTheme="minorBidi" w:cstheme="minorBidi"/>
          <w:sz w:val="24"/>
          <w:szCs w:val="24"/>
        </w:rPr>
        <w:t>,</w:t>
      </w:r>
      <w:r w:rsidR="007471F8" w:rsidRPr="00655036">
        <w:rPr>
          <w:rFonts w:asciiTheme="minorBidi" w:hAnsiTheme="minorBidi" w:cstheme="minorBidi"/>
          <w:sz w:val="24"/>
          <w:szCs w:val="24"/>
        </w:rPr>
        <w:t>”</w:t>
      </w:r>
      <w:r w:rsidRPr="00655036">
        <w:rPr>
          <w:rFonts w:asciiTheme="minorBidi" w:hAnsiTheme="minorBidi" w:cstheme="minorBidi"/>
          <w:sz w:val="24"/>
          <w:szCs w:val="24"/>
        </w:rPr>
        <w:t xml:space="preserve"> </w:t>
      </w:r>
      <w:r w:rsidR="007471F8" w:rsidRPr="00655036">
        <w:rPr>
          <w:rFonts w:asciiTheme="minorBidi" w:hAnsiTheme="minorBidi" w:cstheme="minorBidi"/>
          <w:sz w:val="24"/>
          <w:szCs w:val="24"/>
        </w:rPr>
        <w:t>“</w:t>
      </w:r>
      <w:r w:rsidRPr="00655036">
        <w:rPr>
          <w:rFonts w:asciiTheme="minorBidi" w:hAnsiTheme="minorBidi" w:cstheme="minorBidi"/>
          <w:sz w:val="24"/>
          <w:szCs w:val="24"/>
        </w:rPr>
        <w:t xml:space="preserve">in Malakhi’s hand.” This is the second parallel </w:t>
      </w:r>
      <w:r w:rsidR="00BA7278" w:rsidRPr="00655036">
        <w:rPr>
          <w:rFonts w:asciiTheme="minorBidi" w:hAnsiTheme="minorBidi" w:cstheme="minorBidi"/>
          <w:sz w:val="24"/>
          <w:szCs w:val="24"/>
        </w:rPr>
        <w:t>with Chagai we have observed</w:t>
      </w:r>
      <w:r w:rsidRPr="00655036">
        <w:rPr>
          <w:rFonts w:asciiTheme="minorBidi" w:hAnsiTheme="minorBidi" w:cstheme="minorBidi"/>
          <w:sz w:val="24"/>
          <w:szCs w:val="24"/>
        </w:rPr>
        <w:t>, whose prophecy is described in similar terms.</w:t>
      </w:r>
    </w:p>
    <w:p w14:paraId="7B87EED1" w14:textId="77777777" w:rsidR="003B2D82" w:rsidRPr="00655036" w:rsidRDefault="002F6FF2" w:rsidP="00655036">
      <w:pPr>
        <w:pStyle w:val="Normal1"/>
        <w:spacing w:line="240" w:lineRule="auto"/>
        <w:jc w:val="both"/>
        <w:rPr>
          <w:rFonts w:asciiTheme="minorBidi" w:hAnsiTheme="minorBidi" w:cstheme="minorBidi"/>
        </w:rPr>
      </w:pPr>
      <w:r w:rsidRPr="00655036">
        <w:rPr>
          <w:rFonts w:asciiTheme="minorBidi" w:hAnsiTheme="minorBidi" w:cstheme="minorBidi"/>
          <w:sz w:val="24"/>
          <w:szCs w:val="24"/>
        </w:rPr>
        <w:t xml:space="preserve"> </w:t>
      </w:r>
    </w:p>
    <w:p w14:paraId="28E1CEA6" w14:textId="4DBF256D" w:rsidR="003B2D82" w:rsidRPr="00655036" w:rsidRDefault="002F6FF2" w:rsidP="00655036">
      <w:pPr>
        <w:pStyle w:val="Normal1"/>
        <w:spacing w:line="240" w:lineRule="auto"/>
        <w:ind w:firstLine="720"/>
        <w:jc w:val="both"/>
        <w:rPr>
          <w:rFonts w:asciiTheme="minorBidi" w:hAnsiTheme="minorBidi" w:cstheme="minorBidi"/>
        </w:rPr>
      </w:pPr>
      <w:r w:rsidRPr="00655036">
        <w:rPr>
          <w:rFonts w:asciiTheme="minorBidi" w:hAnsiTheme="minorBidi" w:cstheme="minorBidi"/>
          <w:sz w:val="24"/>
          <w:szCs w:val="24"/>
        </w:rPr>
        <w:t xml:space="preserve">The </w:t>
      </w:r>
      <w:r w:rsidRPr="00655036">
        <w:rPr>
          <w:rFonts w:asciiTheme="minorBidi" w:hAnsiTheme="minorBidi" w:cstheme="minorBidi"/>
          <w:i/>
          <w:sz w:val="24"/>
          <w:szCs w:val="24"/>
        </w:rPr>
        <w:t xml:space="preserve">navi </w:t>
      </w:r>
      <w:r w:rsidRPr="00655036">
        <w:rPr>
          <w:rFonts w:asciiTheme="minorBidi" w:hAnsiTheme="minorBidi" w:cstheme="minorBidi"/>
          <w:sz w:val="24"/>
          <w:szCs w:val="24"/>
        </w:rPr>
        <w:t>goes on to decry the hypocrisy of the people. They ask, “</w:t>
      </w:r>
      <w:r w:rsidR="007471F8" w:rsidRPr="00655036">
        <w:rPr>
          <w:rFonts w:asciiTheme="minorBidi" w:hAnsiTheme="minorBidi" w:cstheme="minorBidi"/>
          <w:sz w:val="24"/>
          <w:szCs w:val="24"/>
        </w:rPr>
        <w:t>I</w:t>
      </w:r>
      <w:r w:rsidRPr="00655036">
        <w:rPr>
          <w:rFonts w:asciiTheme="minorBidi" w:hAnsiTheme="minorBidi" w:cstheme="minorBidi"/>
          <w:sz w:val="24"/>
          <w:szCs w:val="24"/>
        </w:rPr>
        <w:t xml:space="preserve">n what manner have You loved us?” (1:2). God responds by reminding them that Yaakov and Esav were brothers, yet God will destroy only Edom, which will be known as “the border of wickedness, and the nation forever despised by God” (1:4). The emphasis on familial relations is particularly interesting. As we will see throughout the </w:t>
      </w:r>
      <w:r w:rsidRPr="00655036">
        <w:rPr>
          <w:rFonts w:asciiTheme="minorBidi" w:hAnsiTheme="minorBidi" w:cstheme="minorBidi"/>
          <w:i/>
          <w:sz w:val="24"/>
          <w:szCs w:val="24"/>
        </w:rPr>
        <w:t>sefer</w:t>
      </w:r>
      <w:r w:rsidRPr="00655036">
        <w:rPr>
          <w:rFonts w:asciiTheme="minorBidi" w:hAnsiTheme="minorBidi" w:cstheme="minorBidi"/>
          <w:sz w:val="24"/>
          <w:szCs w:val="24"/>
        </w:rPr>
        <w:t xml:space="preserve">, Malakhi places great emphasis on the centrality of family relations to our responsibilities </w:t>
      </w:r>
      <w:r w:rsidR="00BA7278" w:rsidRPr="00655036">
        <w:rPr>
          <w:rFonts w:asciiTheme="minorBidi" w:hAnsiTheme="minorBidi" w:cstheme="minorBidi"/>
          <w:sz w:val="24"/>
          <w:szCs w:val="24"/>
        </w:rPr>
        <w:t xml:space="preserve">not only </w:t>
      </w:r>
      <w:r w:rsidRPr="00655036">
        <w:rPr>
          <w:rFonts w:asciiTheme="minorBidi" w:hAnsiTheme="minorBidi" w:cstheme="minorBidi"/>
          <w:sz w:val="24"/>
          <w:szCs w:val="24"/>
        </w:rPr>
        <w:t xml:space="preserve">toward God, </w:t>
      </w:r>
      <w:r w:rsidR="00BA7278" w:rsidRPr="00655036">
        <w:rPr>
          <w:rFonts w:asciiTheme="minorBidi" w:hAnsiTheme="minorBidi" w:cstheme="minorBidi"/>
          <w:sz w:val="24"/>
          <w:szCs w:val="24"/>
        </w:rPr>
        <w:t xml:space="preserve">but also </w:t>
      </w:r>
      <w:r w:rsidRPr="00655036">
        <w:rPr>
          <w:rFonts w:asciiTheme="minorBidi" w:hAnsiTheme="minorBidi" w:cstheme="minorBidi"/>
          <w:sz w:val="24"/>
          <w:szCs w:val="24"/>
        </w:rPr>
        <w:t>our fellow Jews and humanity.</w:t>
      </w:r>
    </w:p>
    <w:p w14:paraId="79C1808E" w14:textId="77777777" w:rsidR="003B2D82" w:rsidRPr="00655036" w:rsidRDefault="003B2D82" w:rsidP="00655036">
      <w:pPr>
        <w:pStyle w:val="Normal1"/>
        <w:spacing w:line="240" w:lineRule="auto"/>
        <w:jc w:val="both"/>
        <w:rPr>
          <w:rFonts w:asciiTheme="minorBidi" w:hAnsiTheme="minorBidi" w:cstheme="minorBidi"/>
        </w:rPr>
      </w:pPr>
    </w:p>
    <w:p w14:paraId="0F6DC804" w14:textId="77777777" w:rsidR="003B2D82" w:rsidRPr="00655036" w:rsidRDefault="002F6FF2" w:rsidP="00655036">
      <w:pPr>
        <w:pStyle w:val="Normal1"/>
        <w:spacing w:line="240" w:lineRule="auto"/>
        <w:jc w:val="both"/>
        <w:rPr>
          <w:rFonts w:asciiTheme="minorBidi" w:hAnsiTheme="minorBidi" w:cstheme="minorBidi"/>
        </w:rPr>
      </w:pPr>
      <w:r w:rsidRPr="00655036">
        <w:rPr>
          <w:rFonts w:asciiTheme="minorBidi" w:hAnsiTheme="minorBidi" w:cstheme="minorBidi"/>
          <w:b/>
          <w:sz w:val="24"/>
          <w:szCs w:val="24"/>
        </w:rPr>
        <w:t>Defiling the Relationship</w:t>
      </w:r>
      <w:r w:rsidRPr="00655036">
        <w:rPr>
          <w:rFonts w:asciiTheme="minorBidi" w:hAnsiTheme="minorBidi" w:cstheme="minorBidi"/>
          <w:sz w:val="24"/>
          <w:szCs w:val="24"/>
        </w:rPr>
        <w:t xml:space="preserve"> </w:t>
      </w:r>
      <w:r w:rsidRPr="00655036">
        <w:rPr>
          <w:rFonts w:asciiTheme="minorBidi" w:hAnsiTheme="minorBidi" w:cstheme="minorBidi"/>
          <w:b/>
          <w:sz w:val="24"/>
          <w:szCs w:val="24"/>
        </w:rPr>
        <w:t>(1:6-11)</w:t>
      </w:r>
    </w:p>
    <w:p w14:paraId="019F01D2" w14:textId="204FB65E" w:rsidR="003B2D82" w:rsidRPr="00655036" w:rsidRDefault="002F6FF2" w:rsidP="00655036">
      <w:pPr>
        <w:pStyle w:val="Normal1"/>
        <w:spacing w:line="240" w:lineRule="auto"/>
        <w:ind w:firstLine="720"/>
        <w:jc w:val="both"/>
        <w:rPr>
          <w:rFonts w:asciiTheme="minorBidi" w:hAnsiTheme="minorBidi" w:cstheme="minorBidi"/>
        </w:rPr>
      </w:pPr>
      <w:r w:rsidRPr="00655036">
        <w:rPr>
          <w:rFonts w:asciiTheme="minorBidi" w:hAnsiTheme="minorBidi" w:cstheme="minorBidi"/>
          <w:sz w:val="24"/>
          <w:szCs w:val="24"/>
        </w:rPr>
        <w:t xml:space="preserve">In the chapter’s next section, beginning in verse </w:t>
      </w:r>
      <w:r w:rsidR="007471F8" w:rsidRPr="00655036">
        <w:rPr>
          <w:rFonts w:asciiTheme="minorBidi" w:hAnsiTheme="minorBidi" w:cstheme="minorBidi"/>
          <w:sz w:val="24"/>
          <w:szCs w:val="24"/>
        </w:rPr>
        <w:t>6</w:t>
      </w:r>
      <w:r w:rsidRPr="00655036">
        <w:rPr>
          <w:rFonts w:asciiTheme="minorBidi" w:hAnsiTheme="minorBidi" w:cstheme="minorBidi"/>
          <w:sz w:val="24"/>
          <w:szCs w:val="24"/>
        </w:rPr>
        <w:t>, Malakhi offers two plausible metaphors for our relationship with God: father or master. Either way we have fallen short: “Now if I am a father, where is the honor due me? And if I am a master, where is the reverence due me</w:t>
      </w:r>
      <w:r w:rsidR="007471F8" w:rsidRPr="00655036">
        <w:rPr>
          <w:rFonts w:asciiTheme="minorBidi" w:hAnsiTheme="minorBidi" w:cstheme="minorBidi"/>
          <w:sz w:val="24"/>
          <w:szCs w:val="24"/>
        </w:rPr>
        <w:t>?</w:t>
      </w:r>
      <w:r w:rsidRPr="00655036">
        <w:rPr>
          <w:rFonts w:asciiTheme="minorBidi" w:hAnsiTheme="minorBidi" w:cstheme="minorBidi"/>
          <w:sz w:val="24"/>
          <w:szCs w:val="24"/>
        </w:rPr>
        <w:t>” (</w:t>
      </w:r>
      <w:r w:rsidR="007471F8" w:rsidRPr="00655036">
        <w:rPr>
          <w:rFonts w:asciiTheme="minorBidi" w:hAnsiTheme="minorBidi" w:cstheme="minorBidi"/>
          <w:sz w:val="24"/>
          <w:szCs w:val="24"/>
        </w:rPr>
        <w:t>1:6).</w:t>
      </w:r>
      <w:r w:rsidR="00671683" w:rsidRPr="00655036">
        <w:rPr>
          <w:rFonts w:asciiTheme="minorBidi" w:hAnsiTheme="minorBidi" w:cstheme="minorBidi"/>
          <w:sz w:val="24"/>
          <w:szCs w:val="24"/>
        </w:rPr>
        <w:t xml:space="preserve"> He especially levels these</w:t>
      </w:r>
      <w:r w:rsidRPr="00655036">
        <w:rPr>
          <w:rFonts w:asciiTheme="minorBidi" w:hAnsiTheme="minorBidi" w:cstheme="minorBidi"/>
          <w:sz w:val="24"/>
          <w:szCs w:val="24"/>
        </w:rPr>
        <w:t xml:space="preserve"> charge</w:t>
      </w:r>
      <w:r w:rsidR="00671683" w:rsidRPr="00655036">
        <w:rPr>
          <w:rFonts w:asciiTheme="minorBidi" w:hAnsiTheme="minorBidi" w:cstheme="minorBidi"/>
          <w:sz w:val="24"/>
          <w:szCs w:val="24"/>
        </w:rPr>
        <w:t>s</w:t>
      </w:r>
      <w:r w:rsidRPr="00655036">
        <w:rPr>
          <w:rFonts w:asciiTheme="minorBidi" w:hAnsiTheme="minorBidi" w:cstheme="minorBidi"/>
          <w:sz w:val="24"/>
          <w:szCs w:val="24"/>
        </w:rPr>
        <w:t xml:space="preserve"> against the priests, who scorn God by offering deficient animals upon the altar </w:t>
      </w:r>
      <w:r w:rsidR="00671683" w:rsidRPr="00655036">
        <w:rPr>
          <w:rFonts w:asciiTheme="minorBidi" w:hAnsiTheme="minorBidi" w:cstheme="minorBidi"/>
          <w:sz w:val="24"/>
          <w:szCs w:val="24"/>
        </w:rPr>
        <w:t xml:space="preserve">while </w:t>
      </w:r>
      <w:r w:rsidRPr="00655036">
        <w:rPr>
          <w:rFonts w:asciiTheme="minorBidi" w:hAnsiTheme="minorBidi" w:cstheme="minorBidi"/>
          <w:sz w:val="24"/>
          <w:szCs w:val="24"/>
        </w:rPr>
        <w:t>deny</w:t>
      </w:r>
      <w:r w:rsidR="00671683" w:rsidRPr="00655036">
        <w:rPr>
          <w:rFonts w:asciiTheme="minorBidi" w:hAnsiTheme="minorBidi" w:cstheme="minorBidi"/>
          <w:sz w:val="24"/>
          <w:szCs w:val="24"/>
        </w:rPr>
        <w:t>ing</w:t>
      </w:r>
      <w:r w:rsidRPr="00655036">
        <w:rPr>
          <w:rFonts w:asciiTheme="minorBidi" w:hAnsiTheme="minorBidi" w:cstheme="minorBidi"/>
          <w:sz w:val="24"/>
          <w:szCs w:val="24"/>
        </w:rPr>
        <w:t xml:space="preserve"> wrongdoing. Looking at the world through Malakhi’s lenses, the peopl</w:t>
      </w:r>
      <w:r w:rsidR="007471F8" w:rsidRPr="00655036">
        <w:rPr>
          <w:rFonts w:asciiTheme="minorBidi" w:hAnsiTheme="minorBidi" w:cstheme="minorBidi"/>
          <w:sz w:val="24"/>
          <w:szCs w:val="24"/>
        </w:rPr>
        <w:t>e’s hypocrisy is not just a sin;</w:t>
      </w:r>
      <w:r w:rsidRPr="00655036">
        <w:rPr>
          <w:rFonts w:asciiTheme="minorBidi" w:hAnsiTheme="minorBidi" w:cstheme="minorBidi"/>
          <w:sz w:val="24"/>
          <w:szCs w:val="24"/>
        </w:rPr>
        <w:t xml:space="preserve"> it undermines the fabric of the intimate relationship between God and His beloved.</w:t>
      </w:r>
    </w:p>
    <w:p w14:paraId="4C1589E3" w14:textId="77777777" w:rsidR="003B2D82" w:rsidRPr="00655036" w:rsidRDefault="002F6FF2" w:rsidP="00655036">
      <w:pPr>
        <w:pStyle w:val="Normal1"/>
        <w:spacing w:line="240" w:lineRule="auto"/>
        <w:jc w:val="both"/>
        <w:rPr>
          <w:rFonts w:asciiTheme="minorBidi" w:hAnsiTheme="minorBidi" w:cstheme="minorBidi"/>
        </w:rPr>
      </w:pPr>
      <w:r w:rsidRPr="00655036">
        <w:rPr>
          <w:rFonts w:asciiTheme="minorBidi" w:hAnsiTheme="minorBidi" w:cstheme="minorBidi"/>
          <w:sz w:val="24"/>
          <w:szCs w:val="24"/>
        </w:rPr>
        <w:t xml:space="preserve"> </w:t>
      </w:r>
    </w:p>
    <w:p w14:paraId="7157B6EF" w14:textId="286B7128" w:rsidR="003B2D82" w:rsidRPr="00655036" w:rsidRDefault="002F6FF2" w:rsidP="00655036">
      <w:pPr>
        <w:pStyle w:val="Normal1"/>
        <w:spacing w:line="240" w:lineRule="auto"/>
        <w:ind w:firstLine="720"/>
        <w:jc w:val="both"/>
        <w:rPr>
          <w:rFonts w:asciiTheme="minorBidi" w:hAnsiTheme="minorBidi" w:cstheme="minorBidi"/>
        </w:rPr>
      </w:pPr>
      <w:r w:rsidRPr="00655036">
        <w:rPr>
          <w:rFonts w:asciiTheme="minorBidi" w:hAnsiTheme="minorBidi" w:cstheme="minorBidi"/>
          <w:sz w:val="24"/>
          <w:szCs w:val="24"/>
        </w:rPr>
        <w:t xml:space="preserve">The term honor, </w:t>
      </w:r>
      <w:r w:rsidRPr="00655036">
        <w:rPr>
          <w:rFonts w:asciiTheme="minorBidi" w:hAnsiTheme="minorBidi" w:cstheme="minorBidi"/>
          <w:i/>
          <w:sz w:val="24"/>
          <w:szCs w:val="24"/>
        </w:rPr>
        <w:t>kavod</w:t>
      </w:r>
      <w:r w:rsidRPr="00655036">
        <w:rPr>
          <w:rFonts w:asciiTheme="minorBidi" w:hAnsiTheme="minorBidi" w:cstheme="minorBidi"/>
          <w:sz w:val="24"/>
          <w:szCs w:val="24"/>
        </w:rPr>
        <w:t xml:space="preserve">, represents yet another overlap with Chagai, who emphasizes that the honor of the Second Temple will eventually exceed that of the First. This particular parallel offers insight into the significance of the multiple connections we have noted between </w:t>
      </w:r>
      <w:r w:rsidRPr="00655036">
        <w:rPr>
          <w:rFonts w:asciiTheme="minorBidi" w:hAnsiTheme="minorBidi" w:cstheme="minorBidi"/>
          <w:i/>
          <w:sz w:val="24"/>
          <w:szCs w:val="24"/>
        </w:rPr>
        <w:t>Chagai</w:t>
      </w:r>
      <w:r w:rsidRPr="00655036">
        <w:rPr>
          <w:rFonts w:asciiTheme="minorBidi" w:hAnsiTheme="minorBidi" w:cstheme="minorBidi"/>
          <w:sz w:val="24"/>
          <w:szCs w:val="24"/>
        </w:rPr>
        <w:t xml:space="preserve"> and</w:t>
      </w:r>
      <w:r w:rsidRPr="00655036">
        <w:rPr>
          <w:rFonts w:asciiTheme="minorBidi" w:hAnsiTheme="minorBidi" w:cstheme="minorBidi"/>
          <w:i/>
          <w:sz w:val="24"/>
          <w:szCs w:val="24"/>
        </w:rPr>
        <w:t xml:space="preserve"> Malakhi</w:t>
      </w:r>
      <w:r w:rsidRPr="00655036">
        <w:rPr>
          <w:rFonts w:asciiTheme="minorBidi" w:hAnsiTheme="minorBidi" w:cstheme="minorBidi"/>
          <w:sz w:val="24"/>
          <w:szCs w:val="24"/>
        </w:rPr>
        <w:t xml:space="preserve">. God seems to </w:t>
      </w:r>
      <w:r w:rsidR="00671683" w:rsidRPr="00655036">
        <w:rPr>
          <w:rFonts w:asciiTheme="minorBidi" w:hAnsiTheme="minorBidi" w:cstheme="minorBidi"/>
          <w:sz w:val="24"/>
          <w:szCs w:val="24"/>
        </w:rPr>
        <w:t>say</w:t>
      </w:r>
      <w:r w:rsidRPr="00655036">
        <w:rPr>
          <w:rFonts w:asciiTheme="minorBidi" w:hAnsiTheme="minorBidi" w:cstheme="minorBidi"/>
          <w:sz w:val="24"/>
          <w:szCs w:val="24"/>
        </w:rPr>
        <w:t xml:space="preserve">: Although the Second Temple has not yet attained the honor described in Chagai’s prophecy, that is no excuse for relating dishonorably to the sacrificial service. </w:t>
      </w:r>
    </w:p>
    <w:p w14:paraId="4D11E297" w14:textId="77777777" w:rsidR="003B2D82" w:rsidRPr="00655036" w:rsidRDefault="003B2D82" w:rsidP="00655036">
      <w:pPr>
        <w:pStyle w:val="Normal1"/>
        <w:spacing w:line="240" w:lineRule="auto"/>
        <w:jc w:val="both"/>
        <w:rPr>
          <w:rFonts w:asciiTheme="minorBidi" w:hAnsiTheme="minorBidi" w:cstheme="minorBidi"/>
        </w:rPr>
      </w:pPr>
    </w:p>
    <w:p w14:paraId="0D4013CA" w14:textId="77777777" w:rsidR="007471F8" w:rsidRPr="00655036" w:rsidRDefault="002F6FF2" w:rsidP="00655036">
      <w:pPr>
        <w:pStyle w:val="Normal1"/>
        <w:spacing w:line="240" w:lineRule="auto"/>
        <w:ind w:firstLine="720"/>
        <w:jc w:val="both"/>
        <w:rPr>
          <w:rFonts w:asciiTheme="minorBidi" w:hAnsiTheme="minorBidi" w:cstheme="minorBidi"/>
          <w:sz w:val="24"/>
          <w:szCs w:val="24"/>
        </w:rPr>
      </w:pPr>
      <w:r w:rsidRPr="00655036">
        <w:rPr>
          <w:rFonts w:asciiTheme="minorBidi" w:hAnsiTheme="minorBidi" w:cstheme="minorBidi"/>
          <w:sz w:val="24"/>
          <w:szCs w:val="24"/>
        </w:rPr>
        <w:t>As if to confirm this reading of Malakhi’s rebuke</w:t>
      </w:r>
      <w:r w:rsidR="007471F8" w:rsidRPr="00655036">
        <w:rPr>
          <w:rFonts w:asciiTheme="minorBidi" w:hAnsiTheme="minorBidi" w:cstheme="minorBidi"/>
          <w:sz w:val="24"/>
          <w:szCs w:val="24"/>
        </w:rPr>
        <w:t>,</w:t>
      </w:r>
      <w:r w:rsidRPr="00655036">
        <w:rPr>
          <w:rFonts w:asciiTheme="minorBidi" w:hAnsiTheme="minorBidi" w:cstheme="minorBidi"/>
          <w:sz w:val="24"/>
          <w:szCs w:val="24"/>
        </w:rPr>
        <w:t xml:space="preserve"> the very next verse reads, “You say the table of the Lord can be treated with scorn.” Given the Temple’s relatively sorry state, the priests likely saw no reason to act reverentially toward the service. Moreover, although we do</w:t>
      </w:r>
      <w:r w:rsidR="007471F8" w:rsidRPr="00655036">
        <w:rPr>
          <w:rFonts w:asciiTheme="minorBidi" w:hAnsiTheme="minorBidi" w:cstheme="minorBidi"/>
          <w:sz w:val="24"/>
          <w:szCs w:val="24"/>
        </w:rPr>
        <w:t xml:space="preserve"> no</w:t>
      </w:r>
      <w:r w:rsidRPr="00655036">
        <w:rPr>
          <w:rFonts w:asciiTheme="minorBidi" w:hAnsiTheme="minorBidi" w:cstheme="minorBidi"/>
          <w:sz w:val="24"/>
          <w:szCs w:val="24"/>
        </w:rPr>
        <w:t>t know the exact date of Malakhi’s prophecy, we get the sense that the Temple had already been functioning for some time. A</w:t>
      </w:r>
      <w:r w:rsidR="00671683" w:rsidRPr="00655036">
        <w:rPr>
          <w:rFonts w:asciiTheme="minorBidi" w:hAnsiTheme="minorBidi" w:cstheme="minorBidi"/>
          <w:sz w:val="24"/>
          <w:szCs w:val="24"/>
        </w:rPr>
        <w:t>t</w:t>
      </w:r>
      <w:r w:rsidRPr="00655036">
        <w:rPr>
          <w:rFonts w:asciiTheme="minorBidi" w:hAnsiTheme="minorBidi" w:cstheme="minorBidi"/>
          <w:sz w:val="24"/>
          <w:szCs w:val="24"/>
        </w:rPr>
        <w:t xml:space="preserve"> this point, the Temple was likely no longer a novelty</w:t>
      </w:r>
      <w:r w:rsidR="007471F8" w:rsidRPr="00655036">
        <w:rPr>
          <w:rFonts w:asciiTheme="minorBidi" w:hAnsiTheme="minorBidi" w:cstheme="minorBidi"/>
          <w:sz w:val="24"/>
          <w:szCs w:val="24"/>
        </w:rPr>
        <w:t>,</w:t>
      </w:r>
      <w:r w:rsidRPr="00655036">
        <w:rPr>
          <w:rFonts w:asciiTheme="minorBidi" w:hAnsiTheme="minorBidi" w:cstheme="minorBidi"/>
          <w:sz w:val="24"/>
          <w:szCs w:val="24"/>
        </w:rPr>
        <w:t xml:space="preserve"> and quite possibly was taken for granted by the priests. </w:t>
      </w:r>
    </w:p>
    <w:p w14:paraId="3FCFAB7D" w14:textId="77777777" w:rsidR="007471F8" w:rsidRPr="00655036" w:rsidRDefault="007471F8" w:rsidP="00655036">
      <w:pPr>
        <w:pStyle w:val="Normal1"/>
        <w:spacing w:line="240" w:lineRule="auto"/>
        <w:ind w:firstLine="720"/>
        <w:jc w:val="both"/>
        <w:rPr>
          <w:rFonts w:asciiTheme="minorBidi" w:hAnsiTheme="minorBidi" w:cstheme="minorBidi"/>
          <w:sz w:val="24"/>
          <w:szCs w:val="24"/>
        </w:rPr>
      </w:pPr>
    </w:p>
    <w:p w14:paraId="422E86C2" w14:textId="68FEDF3C" w:rsidR="003B2D82" w:rsidRPr="00655036" w:rsidRDefault="002F6FF2" w:rsidP="00655036">
      <w:pPr>
        <w:pStyle w:val="Normal1"/>
        <w:spacing w:line="240" w:lineRule="auto"/>
        <w:ind w:firstLine="720"/>
        <w:jc w:val="both"/>
        <w:rPr>
          <w:rFonts w:asciiTheme="minorBidi" w:hAnsiTheme="minorBidi" w:cstheme="minorBidi"/>
        </w:rPr>
      </w:pPr>
      <w:r w:rsidRPr="00655036">
        <w:rPr>
          <w:rFonts w:asciiTheme="minorBidi" w:hAnsiTheme="minorBidi" w:cstheme="minorBidi"/>
          <w:sz w:val="24"/>
          <w:szCs w:val="24"/>
        </w:rPr>
        <w:t>Here, Malakhi anticipates one of the great cha</w:t>
      </w:r>
      <w:r w:rsidR="007471F8" w:rsidRPr="00655036">
        <w:rPr>
          <w:rFonts w:asciiTheme="minorBidi" w:hAnsiTheme="minorBidi" w:cstheme="minorBidi"/>
          <w:sz w:val="24"/>
          <w:szCs w:val="24"/>
        </w:rPr>
        <w:t>llenges to Zionism in our times.</w:t>
      </w:r>
      <w:r w:rsidRPr="00655036">
        <w:rPr>
          <w:rFonts w:asciiTheme="minorBidi" w:hAnsiTheme="minorBidi" w:cstheme="minorBidi"/>
          <w:sz w:val="24"/>
          <w:szCs w:val="24"/>
        </w:rPr>
        <w:t xml:space="preserve"> </w:t>
      </w:r>
      <w:r w:rsidR="007471F8" w:rsidRPr="00655036">
        <w:rPr>
          <w:rFonts w:asciiTheme="minorBidi" w:hAnsiTheme="minorBidi" w:cstheme="minorBidi"/>
          <w:sz w:val="24"/>
          <w:szCs w:val="24"/>
        </w:rPr>
        <w:t>M</w:t>
      </w:r>
      <w:r w:rsidRPr="00655036">
        <w:rPr>
          <w:rFonts w:asciiTheme="minorBidi" w:hAnsiTheme="minorBidi" w:cstheme="minorBidi"/>
          <w:sz w:val="24"/>
          <w:szCs w:val="24"/>
        </w:rPr>
        <w:t>any younger people take the existence of Israel for granted; they did not see the founding of the State or the miraculous victories in wars</w:t>
      </w:r>
      <w:r w:rsidR="007471F8" w:rsidRPr="00655036">
        <w:rPr>
          <w:rFonts w:asciiTheme="minorBidi" w:hAnsiTheme="minorBidi" w:cstheme="minorBidi"/>
          <w:sz w:val="24"/>
          <w:szCs w:val="24"/>
        </w:rPr>
        <w:t>,</w:t>
      </w:r>
      <w:r w:rsidRPr="00655036">
        <w:rPr>
          <w:rFonts w:asciiTheme="minorBidi" w:hAnsiTheme="minorBidi" w:cstheme="minorBidi"/>
          <w:sz w:val="24"/>
          <w:szCs w:val="24"/>
        </w:rPr>
        <w:t xml:space="preserve"> such as </w:t>
      </w:r>
      <w:r w:rsidR="007471F8" w:rsidRPr="00655036">
        <w:rPr>
          <w:rFonts w:asciiTheme="minorBidi" w:hAnsiTheme="minorBidi" w:cstheme="minorBidi"/>
          <w:sz w:val="24"/>
          <w:szCs w:val="24"/>
        </w:rPr>
        <w:t xml:space="preserve">in </w:t>
      </w:r>
      <w:r w:rsidRPr="00655036">
        <w:rPr>
          <w:rFonts w:asciiTheme="minorBidi" w:hAnsiTheme="minorBidi" w:cstheme="minorBidi"/>
          <w:sz w:val="24"/>
          <w:szCs w:val="24"/>
        </w:rPr>
        <w:t xml:space="preserve">1967. </w:t>
      </w:r>
      <w:r w:rsidRPr="00655036">
        <w:rPr>
          <w:rFonts w:asciiTheme="minorBidi" w:hAnsiTheme="minorBidi" w:cstheme="minorBidi"/>
          <w:sz w:val="24"/>
          <w:szCs w:val="24"/>
        </w:rPr>
        <w:lastRenderedPageBreak/>
        <w:t>The challenge of the current generation is not to fall into the trap that ensnared the pries</w:t>
      </w:r>
      <w:r w:rsidR="007471F8" w:rsidRPr="00655036">
        <w:rPr>
          <w:rFonts w:asciiTheme="minorBidi" w:hAnsiTheme="minorBidi" w:cstheme="minorBidi"/>
          <w:sz w:val="24"/>
          <w:szCs w:val="24"/>
        </w:rPr>
        <w:t>ts –</w:t>
      </w:r>
      <w:r w:rsidRPr="00655036">
        <w:rPr>
          <w:rFonts w:asciiTheme="minorBidi" w:hAnsiTheme="minorBidi" w:cstheme="minorBidi"/>
          <w:sz w:val="24"/>
          <w:szCs w:val="24"/>
        </w:rPr>
        <w:t xml:space="preserve"> to remain passionately committed to Jerusalem even when its restoration is no longer freshly imprinted upon our hearts. </w:t>
      </w:r>
    </w:p>
    <w:p w14:paraId="0DF49A65" w14:textId="77777777" w:rsidR="003B2D82" w:rsidRPr="00655036" w:rsidRDefault="002F6FF2" w:rsidP="00655036">
      <w:pPr>
        <w:pStyle w:val="Normal1"/>
        <w:spacing w:line="240" w:lineRule="auto"/>
        <w:jc w:val="both"/>
        <w:rPr>
          <w:rFonts w:asciiTheme="minorBidi" w:hAnsiTheme="minorBidi" w:cstheme="minorBidi"/>
        </w:rPr>
      </w:pPr>
      <w:r w:rsidRPr="00655036">
        <w:rPr>
          <w:rFonts w:asciiTheme="minorBidi" w:hAnsiTheme="minorBidi" w:cstheme="minorBidi"/>
          <w:sz w:val="24"/>
          <w:szCs w:val="24"/>
        </w:rPr>
        <w:t xml:space="preserve"> </w:t>
      </w:r>
    </w:p>
    <w:p w14:paraId="7BD3C6F7" w14:textId="205D968E" w:rsidR="00BF5480" w:rsidRPr="00655036" w:rsidRDefault="002F6FF2" w:rsidP="00655036">
      <w:pPr>
        <w:pStyle w:val="Normal1"/>
        <w:spacing w:line="240" w:lineRule="auto"/>
        <w:ind w:firstLine="720"/>
        <w:jc w:val="both"/>
        <w:rPr>
          <w:rFonts w:asciiTheme="minorBidi" w:hAnsiTheme="minorBidi" w:cstheme="minorBidi"/>
        </w:rPr>
      </w:pPr>
      <w:r w:rsidRPr="00655036">
        <w:rPr>
          <w:rFonts w:asciiTheme="minorBidi" w:hAnsiTheme="minorBidi" w:cstheme="minorBidi"/>
          <w:sz w:val="24"/>
          <w:szCs w:val="24"/>
        </w:rPr>
        <w:t>Continuing to rail against the priests’ hypocrisy, Malakhi adds, “</w:t>
      </w:r>
      <w:r w:rsidRPr="00655036">
        <w:rPr>
          <w:rFonts w:asciiTheme="minorBidi" w:hAnsiTheme="minorBidi" w:cstheme="minorBidi"/>
          <w:i/>
          <w:sz w:val="24"/>
          <w:szCs w:val="24"/>
        </w:rPr>
        <w:t>u-mincha lo ertze mi-yedkhem</w:t>
      </w:r>
      <w:r w:rsidRPr="00655036">
        <w:rPr>
          <w:rFonts w:asciiTheme="minorBidi" w:hAnsiTheme="minorBidi" w:cstheme="minorBidi"/>
          <w:sz w:val="24"/>
          <w:szCs w:val="24"/>
        </w:rPr>
        <w:t>,</w:t>
      </w:r>
      <w:r w:rsidR="007471F8" w:rsidRPr="00655036">
        <w:rPr>
          <w:rFonts w:asciiTheme="minorBidi" w:hAnsiTheme="minorBidi" w:cstheme="minorBidi"/>
          <w:sz w:val="24"/>
          <w:szCs w:val="24"/>
        </w:rPr>
        <w:t>”</w:t>
      </w:r>
      <w:r w:rsidRPr="00655036">
        <w:rPr>
          <w:rFonts w:asciiTheme="minorBidi" w:hAnsiTheme="minorBidi" w:cstheme="minorBidi"/>
          <w:sz w:val="24"/>
          <w:szCs w:val="24"/>
        </w:rPr>
        <w:t xml:space="preserve"> </w:t>
      </w:r>
      <w:r w:rsidR="007471F8" w:rsidRPr="00655036">
        <w:rPr>
          <w:rFonts w:asciiTheme="minorBidi" w:hAnsiTheme="minorBidi" w:cstheme="minorBidi"/>
          <w:sz w:val="24"/>
          <w:szCs w:val="24"/>
        </w:rPr>
        <w:t>“</w:t>
      </w:r>
      <w:r w:rsidRPr="00655036">
        <w:rPr>
          <w:rFonts w:asciiTheme="minorBidi" w:hAnsiTheme="minorBidi" w:cstheme="minorBidi"/>
          <w:sz w:val="24"/>
          <w:szCs w:val="24"/>
        </w:rPr>
        <w:t xml:space="preserve">I will accept no offering from you” (1:10). This phraseology is doubly important. First, the word </w:t>
      </w:r>
      <w:r w:rsidRPr="00655036">
        <w:rPr>
          <w:rFonts w:asciiTheme="minorBidi" w:hAnsiTheme="minorBidi" w:cstheme="minorBidi"/>
          <w:i/>
          <w:sz w:val="24"/>
          <w:szCs w:val="24"/>
        </w:rPr>
        <w:t xml:space="preserve">mincha </w:t>
      </w:r>
      <w:r w:rsidRPr="00655036">
        <w:rPr>
          <w:rFonts w:asciiTheme="minorBidi" w:hAnsiTheme="minorBidi" w:cstheme="minorBidi"/>
          <w:sz w:val="24"/>
          <w:szCs w:val="24"/>
        </w:rPr>
        <w:t xml:space="preserve">appears six times over the course of </w:t>
      </w:r>
      <w:r w:rsidRPr="00655036">
        <w:rPr>
          <w:rFonts w:asciiTheme="minorBidi" w:hAnsiTheme="minorBidi" w:cstheme="minorBidi"/>
          <w:i/>
          <w:sz w:val="24"/>
          <w:szCs w:val="24"/>
        </w:rPr>
        <w:t>Sefer Malakhi</w:t>
      </w:r>
      <w:r w:rsidRPr="00655036">
        <w:rPr>
          <w:rFonts w:asciiTheme="minorBidi" w:hAnsiTheme="minorBidi" w:cstheme="minorBidi"/>
          <w:sz w:val="24"/>
          <w:szCs w:val="24"/>
        </w:rPr>
        <w:t xml:space="preserve">. </w:t>
      </w:r>
      <w:r w:rsidRPr="00655036">
        <w:rPr>
          <w:rFonts w:asciiTheme="minorBidi" w:hAnsiTheme="minorBidi" w:cstheme="minorBidi"/>
          <w:i/>
          <w:sz w:val="24"/>
          <w:szCs w:val="24"/>
        </w:rPr>
        <w:t>Mincha</w:t>
      </w:r>
      <w:r w:rsidRPr="00655036">
        <w:rPr>
          <w:rFonts w:asciiTheme="minorBidi" w:hAnsiTheme="minorBidi" w:cstheme="minorBidi"/>
          <w:sz w:val="24"/>
          <w:szCs w:val="24"/>
        </w:rPr>
        <w:t xml:space="preserve"> denotes a gift born of a relationship. That is what God desires from His people, not their insincerity. In this way, </w:t>
      </w:r>
      <w:r w:rsidRPr="00655036">
        <w:rPr>
          <w:rFonts w:asciiTheme="minorBidi" w:hAnsiTheme="minorBidi" w:cstheme="minorBidi"/>
          <w:i/>
          <w:sz w:val="24"/>
          <w:szCs w:val="24"/>
        </w:rPr>
        <w:t>mincha</w:t>
      </w:r>
      <w:r w:rsidRPr="00655036">
        <w:rPr>
          <w:rFonts w:asciiTheme="minorBidi" w:hAnsiTheme="minorBidi" w:cstheme="minorBidi"/>
          <w:sz w:val="24"/>
          <w:szCs w:val="24"/>
        </w:rPr>
        <w:t xml:space="preserve"> is consistent with the theme of intimacy. Second, the term </w:t>
      </w:r>
      <w:r w:rsidRPr="00655036">
        <w:rPr>
          <w:rFonts w:asciiTheme="minorBidi" w:hAnsiTheme="minorBidi" w:cstheme="minorBidi"/>
          <w:i/>
          <w:sz w:val="24"/>
          <w:szCs w:val="24"/>
        </w:rPr>
        <w:t>ritzuy</w:t>
      </w:r>
      <w:r w:rsidRPr="00655036">
        <w:rPr>
          <w:rFonts w:asciiTheme="minorBidi" w:hAnsiTheme="minorBidi" w:cstheme="minorBidi"/>
          <w:sz w:val="24"/>
          <w:szCs w:val="24"/>
        </w:rPr>
        <w:t>, which emphasizes the personal relationship between the people and God, is particularly apt.</w:t>
      </w:r>
      <w:r w:rsidR="00BF5480" w:rsidRPr="00655036">
        <w:rPr>
          <w:rFonts w:asciiTheme="minorBidi" w:hAnsiTheme="minorBidi" w:cstheme="minorBidi"/>
          <w:sz w:val="24"/>
          <w:szCs w:val="24"/>
          <w:vertAlign w:val="superscript"/>
        </w:rPr>
        <w:footnoteReference w:id="1"/>
      </w:r>
      <w:r w:rsidR="00BF5480" w:rsidRPr="00655036">
        <w:rPr>
          <w:rFonts w:asciiTheme="minorBidi" w:hAnsiTheme="minorBidi" w:cstheme="minorBidi"/>
          <w:sz w:val="24"/>
          <w:szCs w:val="24"/>
        </w:rPr>
        <w:t xml:space="preserve"> </w:t>
      </w:r>
    </w:p>
    <w:p w14:paraId="0684ED5E" w14:textId="77777777" w:rsidR="00BF5480" w:rsidRPr="00655036" w:rsidRDefault="00BF5480" w:rsidP="00655036">
      <w:pPr>
        <w:pStyle w:val="Normal1"/>
        <w:spacing w:line="240" w:lineRule="auto"/>
        <w:jc w:val="both"/>
        <w:rPr>
          <w:rFonts w:asciiTheme="minorBidi" w:hAnsiTheme="minorBidi" w:cstheme="minorBidi"/>
        </w:rPr>
      </w:pPr>
    </w:p>
    <w:p w14:paraId="3492D789" w14:textId="281B42DA" w:rsidR="003B2D82" w:rsidRPr="00655036" w:rsidRDefault="00BF5480" w:rsidP="00655036">
      <w:pPr>
        <w:pStyle w:val="Normal1"/>
        <w:spacing w:line="240" w:lineRule="auto"/>
        <w:ind w:firstLine="720"/>
        <w:jc w:val="both"/>
        <w:rPr>
          <w:rFonts w:asciiTheme="minorBidi" w:hAnsiTheme="minorBidi" w:cstheme="minorBidi"/>
        </w:rPr>
      </w:pPr>
      <w:r w:rsidRPr="00655036">
        <w:rPr>
          <w:rFonts w:asciiTheme="minorBidi" w:hAnsiTheme="minorBidi" w:cstheme="minorBidi"/>
          <w:sz w:val="24"/>
          <w:szCs w:val="24"/>
        </w:rPr>
        <w:t xml:space="preserve">In verse </w:t>
      </w:r>
      <w:r w:rsidR="007471F8" w:rsidRPr="00655036">
        <w:rPr>
          <w:rFonts w:asciiTheme="minorBidi" w:hAnsiTheme="minorBidi" w:cstheme="minorBidi"/>
          <w:sz w:val="24"/>
          <w:szCs w:val="24"/>
        </w:rPr>
        <w:t>11</w:t>
      </w:r>
      <w:r w:rsidRPr="00655036">
        <w:rPr>
          <w:rFonts w:asciiTheme="minorBidi" w:hAnsiTheme="minorBidi" w:cstheme="minorBidi"/>
          <w:sz w:val="24"/>
          <w:szCs w:val="24"/>
        </w:rPr>
        <w:t xml:space="preserve">, drawing on the language of </w:t>
      </w:r>
      <w:r w:rsidRPr="00655036">
        <w:rPr>
          <w:rFonts w:asciiTheme="minorBidi" w:hAnsiTheme="minorBidi" w:cstheme="minorBidi"/>
          <w:i/>
          <w:sz w:val="24"/>
          <w:szCs w:val="24"/>
        </w:rPr>
        <w:t>Tehillim</w:t>
      </w:r>
      <w:r w:rsidRPr="00655036">
        <w:rPr>
          <w:rFonts w:asciiTheme="minorBidi" w:hAnsiTheme="minorBidi" w:cstheme="minorBidi"/>
          <w:sz w:val="24"/>
          <w:szCs w:val="24"/>
        </w:rPr>
        <w:t xml:space="preserve"> (113:3), Malakhi goes on to contrast the hypocrisy of Jewish worship with the authenticity of the gentiles: “From where the sun rises to where it sets, my name is honored among the nations, and everywhere incense and pure oblation are offered to My name.” This description, of course, seems perhaps overly fantastic</w:t>
      </w:r>
      <w:r w:rsidR="007471F8" w:rsidRPr="00655036">
        <w:rPr>
          <w:rFonts w:asciiTheme="minorBidi" w:hAnsiTheme="minorBidi" w:cstheme="minorBidi"/>
          <w:sz w:val="24"/>
          <w:szCs w:val="24"/>
        </w:rPr>
        <w:t>. W</w:t>
      </w:r>
      <w:r w:rsidRPr="00655036">
        <w:rPr>
          <w:rFonts w:asciiTheme="minorBidi" w:hAnsiTheme="minorBidi" w:cstheme="minorBidi"/>
          <w:sz w:val="24"/>
          <w:szCs w:val="24"/>
        </w:rPr>
        <w:t>hich nations at the time truly worshiped the God of the Bible with purity?</w:t>
      </w:r>
      <w:r w:rsidRPr="00655036">
        <w:rPr>
          <w:rStyle w:val="FootnoteReference"/>
          <w:rFonts w:asciiTheme="minorBidi" w:hAnsiTheme="minorBidi" w:cstheme="minorBidi"/>
          <w:sz w:val="24"/>
          <w:szCs w:val="24"/>
        </w:rPr>
        <w:footnoteReference w:id="2"/>
      </w:r>
      <w:r w:rsidRPr="00655036">
        <w:rPr>
          <w:rFonts w:asciiTheme="minorBidi" w:hAnsiTheme="minorBidi" w:cstheme="minorBidi"/>
          <w:sz w:val="24"/>
          <w:szCs w:val="24"/>
        </w:rPr>
        <w:t xml:space="preserve"> </w:t>
      </w:r>
      <w:r w:rsidR="002F6FF2" w:rsidRPr="00655036">
        <w:rPr>
          <w:rFonts w:asciiTheme="minorBidi" w:hAnsiTheme="minorBidi" w:cstheme="minorBidi"/>
          <w:sz w:val="24"/>
          <w:szCs w:val="24"/>
        </w:rPr>
        <w:t>But the point seems to fit nicely with the work</w:t>
      </w:r>
      <w:r w:rsidR="007471F8" w:rsidRPr="00655036">
        <w:rPr>
          <w:rFonts w:asciiTheme="minorBidi" w:hAnsiTheme="minorBidi" w:cstheme="minorBidi"/>
          <w:sz w:val="24"/>
          <w:szCs w:val="24"/>
        </w:rPr>
        <w:t>’s larger message to this point.</w:t>
      </w:r>
      <w:r w:rsidR="002F6FF2" w:rsidRPr="00655036">
        <w:rPr>
          <w:rFonts w:asciiTheme="minorBidi" w:hAnsiTheme="minorBidi" w:cstheme="minorBidi"/>
          <w:sz w:val="24"/>
          <w:szCs w:val="24"/>
        </w:rPr>
        <w:t xml:space="preserve"> </w:t>
      </w:r>
      <w:r w:rsidR="007471F8" w:rsidRPr="00655036">
        <w:rPr>
          <w:rFonts w:asciiTheme="minorBidi" w:hAnsiTheme="minorBidi" w:cstheme="minorBidi"/>
          <w:sz w:val="24"/>
          <w:szCs w:val="24"/>
        </w:rPr>
        <w:t>H</w:t>
      </w:r>
      <w:r w:rsidR="002F6FF2" w:rsidRPr="00655036">
        <w:rPr>
          <w:rFonts w:asciiTheme="minorBidi" w:hAnsiTheme="minorBidi" w:cstheme="minorBidi"/>
          <w:sz w:val="24"/>
          <w:szCs w:val="24"/>
        </w:rPr>
        <w:t xml:space="preserve">ow ironic it is that the </w:t>
      </w:r>
      <w:r w:rsidR="00FE3E8E" w:rsidRPr="00655036">
        <w:rPr>
          <w:rFonts w:asciiTheme="minorBidi" w:hAnsiTheme="minorBidi" w:cstheme="minorBidi"/>
          <w:sz w:val="24"/>
          <w:szCs w:val="24"/>
        </w:rPr>
        <w:t xml:space="preserve">immediate </w:t>
      </w:r>
      <w:r w:rsidR="002F6FF2" w:rsidRPr="00655036">
        <w:rPr>
          <w:rFonts w:asciiTheme="minorBidi" w:hAnsiTheme="minorBidi" w:cstheme="minorBidi"/>
          <w:sz w:val="24"/>
          <w:szCs w:val="24"/>
        </w:rPr>
        <w:t xml:space="preserve">family </w:t>
      </w:r>
      <w:r w:rsidR="00FE3E8E" w:rsidRPr="00655036">
        <w:rPr>
          <w:rFonts w:asciiTheme="minorBidi" w:hAnsiTheme="minorBidi" w:cstheme="minorBidi"/>
          <w:sz w:val="24"/>
          <w:szCs w:val="24"/>
        </w:rPr>
        <w:t>members scorn</w:t>
      </w:r>
      <w:r w:rsidR="002F6FF2" w:rsidRPr="00655036">
        <w:rPr>
          <w:rFonts w:asciiTheme="minorBidi" w:hAnsiTheme="minorBidi" w:cstheme="minorBidi"/>
          <w:sz w:val="24"/>
          <w:szCs w:val="24"/>
        </w:rPr>
        <w:t xml:space="preserve"> God, while the distant r</w:t>
      </w:r>
      <w:r w:rsidR="007471F8" w:rsidRPr="00655036">
        <w:rPr>
          <w:rFonts w:asciiTheme="minorBidi" w:hAnsiTheme="minorBidi" w:cstheme="minorBidi"/>
          <w:sz w:val="24"/>
          <w:szCs w:val="24"/>
        </w:rPr>
        <w:t>elatives worship wholeheartedly!</w:t>
      </w:r>
      <w:r w:rsidR="002F6FF2" w:rsidRPr="00655036">
        <w:rPr>
          <w:rFonts w:asciiTheme="minorBidi" w:hAnsiTheme="minorBidi" w:cstheme="minorBidi"/>
          <w:sz w:val="24"/>
          <w:szCs w:val="24"/>
        </w:rPr>
        <w:t xml:space="preserve"> Indeed, the chapter ends with the sarcastic words: “My name is revered among the nations.”</w:t>
      </w:r>
    </w:p>
    <w:p w14:paraId="006378F1" w14:textId="77777777" w:rsidR="003B2D82" w:rsidRPr="00655036" w:rsidRDefault="002F6FF2" w:rsidP="00655036">
      <w:pPr>
        <w:pStyle w:val="Normal1"/>
        <w:spacing w:line="240" w:lineRule="auto"/>
        <w:jc w:val="both"/>
        <w:rPr>
          <w:rFonts w:asciiTheme="minorBidi" w:hAnsiTheme="minorBidi" w:cstheme="minorBidi"/>
        </w:rPr>
      </w:pPr>
      <w:r w:rsidRPr="00655036">
        <w:rPr>
          <w:rFonts w:asciiTheme="minorBidi" w:hAnsiTheme="minorBidi" w:cstheme="minorBidi"/>
          <w:sz w:val="24"/>
          <w:szCs w:val="24"/>
        </w:rPr>
        <w:t xml:space="preserve"> </w:t>
      </w:r>
    </w:p>
    <w:p w14:paraId="032364AF" w14:textId="77777777" w:rsidR="003B2D82" w:rsidRPr="00655036" w:rsidRDefault="002F6FF2" w:rsidP="00655036">
      <w:pPr>
        <w:pStyle w:val="Normal1"/>
        <w:spacing w:line="240" w:lineRule="auto"/>
        <w:ind w:firstLine="720"/>
        <w:jc w:val="both"/>
        <w:rPr>
          <w:rFonts w:asciiTheme="minorBidi" w:hAnsiTheme="minorBidi" w:cstheme="minorBidi"/>
          <w:iCs/>
        </w:rPr>
      </w:pPr>
      <w:r w:rsidRPr="00655036">
        <w:rPr>
          <w:rFonts w:asciiTheme="minorBidi" w:hAnsiTheme="minorBidi" w:cstheme="minorBidi"/>
          <w:iCs/>
          <w:sz w:val="24"/>
          <w:szCs w:val="24"/>
        </w:rPr>
        <w:t xml:space="preserve">We will continue our discussion of </w:t>
      </w:r>
      <w:r w:rsidRPr="00655036">
        <w:rPr>
          <w:rFonts w:asciiTheme="minorBidi" w:hAnsiTheme="minorBidi" w:cstheme="minorBidi"/>
          <w:i/>
          <w:sz w:val="24"/>
          <w:szCs w:val="24"/>
        </w:rPr>
        <w:t>Sefer Malakhi</w:t>
      </w:r>
      <w:r w:rsidRPr="00655036">
        <w:rPr>
          <w:rFonts w:asciiTheme="minorBidi" w:hAnsiTheme="minorBidi" w:cstheme="minorBidi"/>
          <w:iCs/>
          <w:sz w:val="24"/>
          <w:szCs w:val="24"/>
        </w:rPr>
        <w:t xml:space="preserve"> next week.</w:t>
      </w:r>
    </w:p>
    <w:p w14:paraId="5F06E459" w14:textId="5CA8A9DE" w:rsidR="003B2D82" w:rsidRPr="00655036" w:rsidRDefault="002F6FF2" w:rsidP="00655036">
      <w:pPr>
        <w:pStyle w:val="Normal1"/>
        <w:spacing w:line="240" w:lineRule="auto"/>
        <w:jc w:val="both"/>
        <w:rPr>
          <w:rFonts w:asciiTheme="minorBidi" w:hAnsiTheme="minorBidi" w:cstheme="minorBidi"/>
        </w:rPr>
      </w:pPr>
      <w:r w:rsidRPr="00655036">
        <w:rPr>
          <w:rFonts w:asciiTheme="minorBidi" w:hAnsiTheme="minorBidi" w:cstheme="minorBidi"/>
          <w:sz w:val="24"/>
          <w:szCs w:val="24"/>
        </w:rPr>
        <w:t xml:space="preserve"> </w:t>
      </w:r>
    </w:p>
    <w:p w14:paraId="26731854" w14:textId="77777777" w:rsidR="003B2D82" w:rsidRPr="00655036" w:rsidRDefault="003B2D82" w:rsidP="00655036">
      <w:pPr>
        <w:pStyle w:val="Normal1"/>
        <w:spacing w:line="240" w:lineRule="auto"/>
        <w:jc w:val="both"/>
        <w:rPr>
          <w:rFonts w:asciiTheme="minorBidi" w:hAnsiTheme="minorBidi" w:cstheme="minorBidi"/>
        </w:rPr>
      </w:pPr>
    </w:p>
    <w:sectPr w:rsidR="003B2D82" w:rsidRPr="00655036" w:rsidSect="00173013">
      <w:footnotePr>
        <w:pos w:val="beneathText"/>
      </w:footnotePr>
      <w:pgSz w:w="12240" w:h="15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1C1A2A" w14:textId="77777777" w:rsidR="00BA7278" w:rsidRDefault="00BA7278">
      <w:pPr>
        <w:spacing w:line="240" w:lineRule="auto"/>
      </w:pPr>
      <w:r>
        <w:separator/>
      </w:r>
    </w:p>
  </w:endnote>
  <w:endnote w:type="continuationSeparator" w:id="0">
    <w:p w14:paraId="77157CAD" w14:textId="77777777" w:rsidR="00BA7278" w:rsidRDefault="00BA72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089402" w14:textId="77777777" w:rsidR="00BA7278" w:rsidRDefault="00BA7278">
      <w:pPr>
        <w:spacing w:line="240" w:lineRule="auto"/>
      </w:pPr>
      <w:r>
        <w:separator/>
      </w:r>
    </w:p>
  </w:footnote>
  <w:footnote w:type="continuationSeparator" w:id="0">
    <w:p w14:paraId="7D6AB8E0" w14:textId="77777777" w:rsidR="00BA7278" w:rsidRDefault="00BA7278">
      <w:pPr>
        <w:spacing w:line="240" w:lineRule="auto"/>
      </w:pPr>
      <w:r>
        <w:continuationSeparator/>
      </w:r>
    </w:p>
  </w:footnote>
  <w:footnote w:id="1">
    <w:p w14:paraId="14E61D5D" w14:textId="32A608AD" w:rsidR="00BF5480" w:rsidRDefault="00BF5480" w:rsidP="00173013">
      <w:pPr>
        <w:pStyle w:val="Normal1"/>
        <w:spacing w:line="240" w:lineRule="auto"/>
        <w:jc w:val="both"/>
      </w:pPr>
      <w:r>
        <w:rPr>
          <w:vertAlign w:val="superscript"/>
        </w:rPr>
        <w:footnoteRef/>
      </w:r>
      <w:r>
        <w:rPr>
          <w:sz w:val="20"/>
          <w:szCs w:val="20"/>
        </w:rPr>
        <w:t xml:space="preserve"> Ritva (</w:t>
      </w:r>
      <w:r>
        <w:rPr>
          <w:i/>
          <w:sz w:val="20"/>
          <w:szCs w:val="20"/>
        </w:rPr>
        <w:t>Sukka</w:t>
      </w:r>
      <w:r>
        <w:rPr>
          <w:sz w:val="20"/>
          <w:szCs w:val="20"/>
        </w:rPr>
        <w:t xml:space="preserve"> 9a s.v. </w:t>
      </w:r>
      <w:r>
        <w:rPr>
          <w:i/>
          <w:sz w:val="20"/>
          <w:szCs w:val="20"/>
        </w:rPr>
        <w:t>ha</w:t>
      </w:r>
      <w:r>
        <w:rPr>
          <w:sz w:val="20"/>
          <w:szCs w:val="20"/>
        </w:rPr>
        <w:t xml:space="preserve">) asserts that the law disqualifying a </w:t>
      </w:r>
      <w:r>
        <w:rPr>
          <w:i/>
          <w:sz w:val="20"/>
          <w:szCs w:val="20"/>
        </w:rPr>
        <w:t>mitzvah ha-ba’a ba’aveira</w:t>
      </w:r>
      <w:r>
        <w:rPr>
          <w:sz w:val="20"/>
          <w:szCs w:val="20"/>
        </w:rPr>
        <w:t xml:space="preserve">, a positive command facilitated by a sin, is limited to </w:t>
      </w:r>
      <w:r>
        <w:rPr>
          <w:i/>
          <w:sz w:val="20"/>
          <w:szCs w:val="20"/>
        </w:rPr>
        <w:t xml:space="preserve">mitzvot </w:t>
      </w:r>
      <w:r>
        <w:rPr>
          <w:sz w:val="20"/>
          <w:szCs w:val="20"/>
        </w:rPr>
        <w:t xml:space="preserve">whose purpose is to generate </w:t>
      </w:r>
      <w:r>
        <w:rPr>
          <w:i/>
          <w:sz w:val="20"/>
          <w:szCs w:val="20"/>
        </w:rPr>
        <w:t xml:space="preserve">ritzuy </w:t>
      </w:r>
      <w:r>
        <w:rPr>
          <w:sz w:val="20"/>
          <w:szCs w:val="20"/>
        </w:rPr>
        <w:t>between God and the individual. His ruling would appear to be rooted in our verse.</w:t>
      </w:r>
      <w:r>
        <w:rPr>
          <w:sz w:val="24"/>
          <w:szCs w:val="24"/>
        </w:rPr>
        <w:t xml:space="preserve"> </w:t>
      </w:r>
    </w:p>
  </w:footnote>
  <w:footnote w:id="2">
    <w:p w14:paraId="75923AE2" w14:textId="34A67820" w:rsidR="00BF5480" w:rsidRPr="00032F4A" w:rsidRDefault="00BF5480" w:rsidP="00173013">
      <w:pPr>
        <w:pStyle w:val="FootnoteText"/>
        <w:jc w:val="both"/>
        <w:rPr>
          <w:sz w:val="20"/>
          <w:szCs w:val="20"/>
        </w:rPr>
      </w:pPr>
      <w:r w:rsidRPr="00032F4A">
        <w:rPr>
          <w:rStyle w:val="FootnoteReference"/>
          <w:sz w:val="20"/>
          <w:szCs w:val="20"/>
        </w:rPr>
        <w:footnoteRef/>
      </w:r>
      <w:r w:rsidRPr="00032F4A">
        <w:rPr>
          <w:sz w:val="20"/>
          <w:szCs w:val="20"/>
        </w:rPr>
        <w:t xml:space="preserve"> For discussion on this point see Rashi, Ibn Ezra, Radak, Malbim and </w:t>
      </w:r>
      <w:r w:rsidRPr="00032F4A">
        <w:rPr>
          <w:i/>
          <w:sz w:val="20"/>
          <w:szCs w:val="20"/>
        </w:rPr>
        <w:t>Da’at Mikra</w:t>
      </w:r>
      <w:r w:rsidRPr="00032F4A">
        <w:rPr>
          <w:sz w:val="20"/>
          <w:szCs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
  <w:rsids>
    <w:rsidRoot w:val="003B2D82"/>
    <w:rsid w:val="00032F4A"/>
    <w:rsid w:val="00051398"/>
    <w:rsid w:val="00173013"/>
    <w:rsid w:val="002005A2"/>
    <w:rsid w:val="002F6FF2"/>
    <w:rsid w:val="003B2D82"/>
    <w:rsid w:val="00655036"/>
    <w:rsid w:val="00671683"/>
    <w:rsid w:val="006778E9"/>
    <w:rsid w:val="007471F8"/>
    <w:rsid w:val="0092644C"/>
    <w:rsid w:val="00AF5437"/>
    <w:rsid w:val="00BA7278"/>
    <w:rsid w:val="00BF5480"/>
    <w:rsid w:val="00D15C15"/>
    <w:rsid w:val="00FE3E8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A8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EndnoteText">
    <w:name w:val="endnote text"/>
    <w:basedOn w:val="Normal"/>
    <w:link w:val="EndnoteTextChar"/>
    <w:uiPriority w:val="99"/>
    <w:unhideWhenUsed/>
    <w:rsid w:val="00032F4A"/>
    <w:pPr>
      <w:spacing w:line="240" w:lineRule="auto"/>
    </w:pPr>
    <w:rPr>
      <w:sz w:val="24"/>
      <w:szCs w:val="24"/>
    </w:rPr>
  </w:style>
  <w:style w:type="character" w:customStyle="1" w:styleId="EndnoteTextChar">
    <w:name w:val="Endnote Text Char"/>
    <w:basedOn w:val="DefaultParagraphFont"/>
    <w:link w:val="EndnoteText"/>
    <w:uiPriority w:val="99"/>
    <w:rsid w:val="00032F4A"/>
    <w:rPr>
      <w:sz w:val="24"/>
      <w:szCs w:val="24"/>
    </w:rPr>
  </w:style>
  <w:style w:type="paragraph" w:styleId="FootnoteText">
    <w:name w:val="footnote text"/>
    <w:basedOn w:val="Normal"/>
    <w:link w:val="FootnoteTextChar"/>
    <w:uiPriority w:val="99"/>
    <w:semiHidden/>
    <w:unhideWhenUsed/>
    <w:rsid w:val="00032F4A"/>
    <w:pPr>
      <w:spacing w:line="240" w:lineRule="auto"/>
    </w:pPr>
    <w:rPr>
      <w:sz w:val="24"/>
      <w:szCs w:val="24"/>
    </w:rPr>
  </w:style>
  <w:style w:type="character" w:customStyle="1" w:styleId="FootnoteTextChar">
    <w:name w:val="Footnote Text Char"/>
    <w:basedOn w:val="DefaultParagraphFont"/>
    <w:link w:val="FootnoteText"/>
    <w:uiPriority w:val="99"/>
    <w:semiHidden/>
    <w:rsid w:val="00032F4A"/>
    <w:rPr>
      <w:sz w:val="24"/>
      <w:szCs w:val="24"/>
    </w:rPr>
  </w:style>
  <w:style w:type="character" w:styleId="EndnoteReference">
    <w:name w:val="endnote reference"/>
    <w:basedOn w:val="DefaultParagraphFont"/>
    <w:uiPriority w:val="99"/>
    <w:unhideWhenUsed/>
    <w:rsid w:val="00032F4A"/>
    <w:rPr>
      <w:vertAlign w:val="superscript"/>
    </w:rPr>
  </w:style>
  <w:style w:type="character" w:styleId="FootnoteReference">
    <w:name w:val="footnote reference"/>
    <w:basedOn w:val="DefaultParagraphFont"/>
    <w:uiPriority w:val="99"/>
    <w:semiHidden/>
    <w:unhideWhenUsed/>
    <w:rsid w:val="00032F4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EndnoteText">
    <w:name w:val="endnote text"/>
    <w:basedOn w:val="Normal"/>
    <w:link w:val="EndnoteTextChar"/>
    <w:uiPriority w:val="99"/>
    <w:unhideWhenUsed/>
    <w:rsid w:val="00032F4A"/>
    <w:pPr>
      <w:spacing w:line="240" w:lineRule="auto"/>
    </w:pPr>
    <w:rPr>
      <w:sz w:val="24"/>
      <w:szCs w:val="24"/>
    </w:rPr>
  </w:style>
  <w:style w:type="character" w:customStyle="1" w:styleId="EndnoteTextChar">
    <w:name w:val="Endnote Text Char"/>
    <w:basedOn w:val="DefaultParagraphFont"/>
    <w:link w:val="EndnoteText"/>
    <w:uiPriority w:val="99"/>
    <w:rsid w:val="00032F4A"/>
    <w:rPr>
      <w:sz w:val="24"/>
      <w:szCs w:val="24"/>
    </w:rPr>
  </w:style>
  <w:style w:type="paragraph" w:styleId="FootnoteText">
    <w:name w:val="footnote text"/>
    <w:basedOn w:val="Normal"/>
    <w:link w:val="FootnoteTextChar"/>
    <w:uiPriority w:val="99"/>
    <w:semiHidden/>
    <w:unhideWhenUsed/>
    <w:rsid w:val="00032F4A"/>
    <w:pPr>
      <w:spacing w:line="240" w:lineRule="auto"/>
    </w:pPr>
    <w:rPr>
      <w:sz w:val="24"/>
      <w:szCs w:val="24"/>
    </w:rPr>
  </w:style>
  <w:style w:type="character" w:customStyle="1" w:styleId="FootnoteTextChar">
    <w:name w:val="Footnote Text Char"/>
    <w:basedOn w:val="DefaultParagraphFont"/>
    <w:link w:val="FootnoteText"/>
    <w:uiPriority w:val="99"/>
    <w:semiHidden/>
    <w:rsid w:val="00032F4A"/>
    <w:rPr>
      <w:sz w:val="24"/>
      <w:szCs w:val="24"/>
    </w:rPr>
  </w:style>
  <w:style w:type="character" w:styleId="EndnoteReference">
    <w:name w:val="endnote reference"/>
    <w:basedOn w:val="DefaultParagraphFont"/>
    <w:uiPriority w:val="99"/>
    <w:unhideWhenUsed/>
    <w:rsid w:val="00032F4A"/>
    <w:rPr>
      <w:vertAlign w:val="superscript"/>
    </w:rPr>
  </w:style>
  <w:style w:type="character" w:styleId="FootnoteReference">
    <w:name w:val="footnote reference"/>
    <w:basedOn w:val="DefaultParagraphFont"/>
    <w:uiPriority w:val="99"/>
    <w:semiHidden/>
    <w:unhideWhenUsed/>
    <w:rsid w:val="00032F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94B39-C12C-4670-BC76-925556188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1058</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אנדי ריפקין</dc:creator>
  <cp:lastModifiedBy>tmpUser</cp:lastModifiedBy>
  <cp:revision>2</cp:revision>
  <dcterms:created xsi:type="dcterms:W3CDTF">2017-05-23T08:37:00Z</dcterms:created>
  <dcterms:modified xsi:type="dcterms:W3CDTF">2017-05-23T08:37:00Z</dcterms:modified>
</cp:coreProperties>
</file>