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3F" w:rsidRPr="00036B94" w:rsidRDefault="0008573F" w:rsidP="002943F5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YESHIVAT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HAR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ETZION</w:t>
      </w:r>
    </w:p>
    <w:p w:rsidR="0008573F" w:rsidRPr="00036B94" w:rsidRDefault="0008573F" w:rsidP="002943F5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ISRAEL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KOSCHITZKY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VIRTUAL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BEIT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MIDRASH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(VBM)</w:t>
      </w:r>
    </w:p>
    <w:p w:rsidR="0008573F" w:rsidRPr="00036B94" w:rsidRDefault="0008573F" w:rsidP="002943F5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036B94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08573F" w:rsidRPr="00036B94" w:rsidRDefault="0008573F" w:rsidP="002943F5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8573F" w:rsidRPr="00036B94" w:rsidRDefault="0008573F" w:rsidP="002943F5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LIFECYCLES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–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HILKHOT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noProof/>
          <w:sz w:val="24"/>
          <w:szCs w:val="24"/>
        </w:rPr>
        <w:t>ISHUT</w:t>
      </w:r>
    </w:p>
    <w:p w:rsidR="0008573F" w:rsidRPr="00036B94" w:rsidRDefault="0008573F" w:rsidP="002943F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6B94">
        <w:rPr>
          <w:rFonts w:asciiTheme="minorBidi" w:hAnsiTheme="minorBidi"/>
          <w:b/>
          <w:bCs/>
          <w:sz w:val="24"/>
          <w:szCs w:val="24"/>
        </w:rPr>
        <w:t>Rav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David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Brofsky</w:t>
      </w:r>
    </w:p>
    <w:p w:rsidR="0008573F" w:rsidRDefault="0008573F" w:rsidP="002943F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8573F" w:rsidRPr="00036B94" w:rsidRDefault="0008573F" w:rsidP="002943F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8573F" w:rsidRPr="00036B94" w:rsidRDefault="0008573F" w:rsidP="002943F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943F5">
        <w:rPr>
          <w:rFonts w:asciiTheme="minorBidi" w:hAnsiTheme="minorBidi"/>
          <w:b/>
          <w:bCs/>
          <w:sz w:val="24"/>
          <w:szCs w:val="24"/>
        </w:rPr>
        <w:t>Shiur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#2</w:t>
      </w:r>
      <w:r>
        <w:rPr>
          <w:rFonts w:asciiTheme="minorBidi" w:hAnsiTheme="minorBidi"/>
          <w:b/>
          <w:bCs/>
          <w:sz w:val="24"/>
          <w:szCs w:val="24"/>
        </w:rPr>
        <w:t>7</w:t>
      </w:r>
      <w:r w:rsidRPr="00036B94">
        <w:rPr>
          <w:rFonts w:asciiTheme="minorBidi" w:hAnsiTheme="minorBidi"/>
          <w:b/>
          <w:bCs/>
          <w:sz w:val="24"/>
          <w:szCs w:val="24"/>
        </w:rPr>
        <w:t>: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Laws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of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the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36B94">
        <w:rPr>
          <w:rFonts w:asciiTheme="minorBidi" w:hAnsiTheme="minorBidi"/>
          <w:b/>
          <w:bCs/>
          <w:sz w:val="24"/>
          <w:szCs w:val="24"/>
        </w:rPr>
        <w:t>Wedding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08573F" w:rsidRPr="00F1532F" w:rsidRDefault="0008573F" w:rsidP="002943F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F1532F">
        <w:rPr>
          <w:rFonts w:asciiTheme="minorBidi" w:hAnsiTheme="minorBidi"/>
          <w:b/>
          <w:bCs/>
          <w:i/>
          <w:iCs/>
          <w:sz w:val="24"/>
          <w:szCs w:val="24"/>
        </w:rPr>
        <w:t>Shana Rishona</w:t>
      </w:r>
      <w:r w:rsidRPr="00F1532F">
        <w:rPr>
          <w:rFonts w:asciiTheme="minorBidi" w:hAnsiTheme="minorBidi"/>
          <w:b/>
          <w:bCs/>
          <w:sz w:val="24"/>
          <w:szCs w:val="24"/>
        </w:rPr>
        <w:t>: The First Year</w:t>
      </w:r>
      <w:bookmarkStart w:id="0" w:name="_GoBack"/>
      <w:bookmarkEnd w:id="0"/>
      <w:r w:rsidRPr="00F1532F">
        <w:rPr>
          <w:rFonts w:asciiTheme="minorBidi" w:hAnsiTheme="minorBidi"/>
          <w:b/>
          <w:bCs/>
          <w:sz w:val="24"/>
          <w:szCs w:val="24"/>
        </w:rPr>
        <w:t xml:space="preserve"> of Marriage</w:t>
      </w:r>
    </w:p>
    <w:p w:rsidR="00E0681F" w:rsidRPr="00F1532F" w:rsidRDefault="00E0681F" w:rsidP="002943F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4385F" w:rsidRPr="00F1532F" w:rsidRDefault="0034385F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  <w:r w:rsidRPr="00F1532F">
        <w:rPr>
          <w:rStyle w:val="Strong"/>
          <w:rFonts w:asciiTheme="minorBidi" w:hAnsiTheme="minorBidi" w:cstheme="minorBidi"/>
          <w:color w:val="000000"/>
        </w:rPr>
        <w:t>The Prohibition of Going to War during the First Year of Marriage</w:t>
      </w: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</w:p>
    <w:p w:rsidR="0034385F" w:rsidRPr="00F1532F" w:rsidRDefault="0034385F" w:rsidP="002943F5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Regarding the first year of marriage, the Torah (</w:t>
      </w:r>
      <w:r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Devarim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24:5) teaches:</w:t>
      </w:r>
    </w:p>
    <w:p w:rsidR="0034385F" w:rsidRPr="00F1532F" w:rsidRDefault="0034385F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p w:rsidR="0034385F" w:rsidRPr="00F1532F" w:rsidRDefault="0034385F" w:rsidP="002943F5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When a man has taken a bride, he shall not go out with the army or be assigned to it for any purpose; he shall be exempt one year for the sake of his household, to give happiness to the woman he has married.</w:t>
      </w:r>
    </w:p>
    <w:p w:rsidR="0034385F" w:rsidRPr="00F1532F" w:rsidRDefault="0034385F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p w:rsidR="0034385F" w:rsidRPr="00F1532F" w:rsidRDefault="00A0047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  <w:r>
        <w:rPr>
          <w:rStyle w:val="Strong"/>
          <w:rFonts w:asciiTheme="minorBidi" w:hAnsiTheme="minorBidi" w:cstheme="minorBidi"/>
          <w:b w:val="0"/>
          <w:bCs w:val="0"/>
          <w:color w:val="000000"/>
        </w:rPr>
        <w:t>Unlike the others who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are permitted to return from battle, such as</w:t>
      </w:r>
      <w:r w:rsidR="0034385F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“one who has built a new house and has not dedicated it… one who has planted a vineyard and has never harvested it… [and] one who has betrothed a woman but has not yet married her” 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(</w:t>
      </w:r>
      <w:r w:rsidR="005A6AC9"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Devarim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20:5-7), </w:t>
      </w:r>
      <w:r w:rsidR="0034385F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a man who has just been married is completely exempt from participating in a </w:t>
      </w:r>
      <w:r w:rsidR="0034385F" w:rsidRPr="00F1532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milchemet reshut</w:t>
      </w:r>
      <w:r w:rsidR="0034385F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(a voluntary war).</w:t>
      </w:r>
    </w:p>
    <w:p w:rsidR="0034385F" w:rsidRPr="00F1532F" w:rsidRDefault="0034385F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p w:rsidR="0034385F" w:rsidRPr="00F1532F" w:rsidRDefault="0034385F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ab/>
        <w:t xml:space="preserve">The Talmud 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(</w:t>
      </w:r>
      <w:r w:rsidR="005A6AC9"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Sota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44a) 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notes that i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n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addition to what appears to be a positive commandment (“to give happiness to the woman he has married”), the Torah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mentions the prohibition twice: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“he shall not go out” an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d “neither shall he be charged.”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</w:t>
      </w:r>
    </w:p>
    <w:p w:rsidR="0034385F" w:rsidRPr="00F1532F" w:rsidRDefault="0034385F" w:rsidP="002943F5">
      <w:pPr>
        <w:autoSpaceDE w:val="0"/>
        <w:autoSpaceDN w:val="0"/>
        <w:adjustRightInd w:val="0"/>
        <w:spacing w:after="0" w:line="240" w:lineRule="auto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</w:p>
    <w:p w:rsidR="0034385F" w:rsidRPr="00F1532F" w:rsidRDefault="00A00479" w:rsidP="002943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The </w:t>
      </w:r>
      <w:r w:rsidRPr="00A00479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g</w:t>
      </w:r>
      <w:r w:rsidR="0034385F" w:rsidRPr="00A00479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emara</w:t>
      </w:r>
      <w:r w:rsidR="0034385F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asks: And since the Torah states: “Neither shall he be charged with any business,” why do I need to be taught: “He shall </w:t>
      </w:r>
      <w:r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not go out with the army”? The </w:t>
      </w:r>
      <w:r w:rsidRPr="00A00479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g</w:t>
      </w:r>
      <w:r w:rsidR="0034385F" w:rsidRPr="00A00479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emara</w:t>
      </w:r>
      <w:r w:rsidR="0034385F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answers: The Torah adds this clause so that he will violate two prohibitions. If he goes out to war: “He shall not go out with the army,” and: “Neither shall he be charged.”</w:t>
      </w:r>
    </w:p>
    <w:p w:rsidR="0034385F" w:rsidRPr="00F1532F" w:rsidRDefault="0034385F" w:rsidP="002943F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</w:p>
    <w:p w:rsidR="0034385F" w:rsidRPr="00F1532F" w:rsidRDefault="0034385F" w:rsidP="002943F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The </w:t>
      </w:r>
      <w:r w:rsidRPr="00A00479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gemara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concluded that the Torah repeats the prohibition in order to teach that if the </w:t>
      </w:r>
      <w:r w:rsidRPr="00F1532F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chatan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goes out to war, he violates two prohibitions.</w:t>
      </w:r>
    </w:p>
    <w:p w:rsidR="0034385F" w:rsidRPr="00F1532F" w:rsidRDefault="0034385F" w:rsidP="002943F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</w:p>
    <w:p w:rsidR="005A6AC9" w:rsidRPr="00F1532F" w:rsidRDefault="0034385F" w:rsidP="002943F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ab/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The </w:t>
      </w:r>
      <w:r w:rsidR="005A6AC9" w:rsidRPr="00A00479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Rishonim</w:t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disagree as to how to understand this. The Rambam (</w:t>
      </w:r>
      <w:r w:rsidR="005A6AC9" w:rsidRPr="00A00479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Sefer Ha-Mitzvot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,</w:t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neg. commandment</w:t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311), for example, 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lists only one prohibition</w:t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:</w:t>
      </w:r>
    </w:p>
    <w:p w:rsidR="005A6AC9" w:rsidRPr="00F1532F" w:rsidRDefault="005A6AC9" w:rsidP="002943F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</w:p>
    <w:p w:rsidR="005A6AC9" w:rsidRPr="00F1532F" w:rsidRDefault="005A6AC9" w:rsidP="002943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  <w:r w:rsidRPr="00F1532F">
        <w:rPr>
          <w:rStyle w:val="Strong"/>
          <w:rFonts w:asciiTheme="minorBidi" w:eastAsia="Times New Roman" w:hAnsiTheme="minorBidi"/>
          <w:b w:val="0"/>
          <w:bCs w:val="0"/>
          <w:sz w:val="24"/>
          <w:szCs w:val="24"/>
        </w:rPr>
        <w:t>For a groom not to be held liable for any type of public service</w:t>
      </w:r>
      <w:r w:rsidR="00A00479">
        <w:rPr>
          <w:rStyle w:val="Strong"/>
          <w:rFonts w:asciiTheme="minorBidi" w:eastAsia="Times New Roman" w:hAnsiTheme="minorBidi"/>
          <w:b w:val="0"/>
          <w:bCs w:val="0"/>
          <w:sz w:val="24"/>
          <w:szCs w:val="24"/>
        </w:rPr>
        <w:t xml:space="preserve"> – </w:t>
      </w:r>
      <w:r w:rsidRPr="00F1532F">
        <w:rPr>
          <w:rStyle w:val="Strong"/>
          <w:rFonts w:asciiTheme="minorBidi" w:eastAsia="Times New Roman" w:hAnsiTheme="minorBidi"/>
          <w:b w:val="0"/>
          <w:bCs w:val="0"/>
          <w:sz w:val="24"/>
          <w:szCs w:val="24"/>
        </w:rPr>
        <w:t>e.g., army, guarding the walls [of a city], and the like</w:t>
      </w:r>
      <w:r w:rsidR="00A00479">
        <w:rPr>
          <w:rStyle w:val="Strong"/>
          <w:rFonts w:asciiTheme="minorBidi" w:eastAsia="Times New Roman" w:hAnsiTheme="minorBidi"/>
          <w:b w:val="0"/>
          <w:bCs w:val="0"/>
          <w:sz w:val="24"/>
          <w:szCs w:val="24"/>
        </w:rPr>
        <w:t xml:space="preserve"> –</w:t>
      </w:r>
      <w:r w:rsidRPr="00F1532F">
        <w:rPr>
          <w:rStyle w:val="Strong"/>
          <w:rFonts w:asciiTheme="minorBidi" w:eastAsia="Times New Roman" w:hAnsiTheme="minorBidi"/>
          <w:b w:val="0"/>
          <w:bCs w:val="0"/>
          <w:sz w:val="24"/>
          <w:szCs w:val="24"/>
        </w:rPr>
        <w:t xml:space="preserve"> as</w:t>
      </w:r>
      <w:r w:rsidR="00A00479">
        <w:rPr>
          <w:rStyle w:val="Strong"/>
          <w:rFonts w:asciiTheme="minorBidi" w:eastAsia="Times New Roman" w:hAnsiTheme="minorBidi"/>
          <w:b w:val="0"/>
          <w:bCs w:val="0"/>
          <w:sz w:val="24"/>
          <w:szCs w:val="24"/>
        </w:rPr>
        <w:t xml:space="preserve"> the </w:t>
      </w:r>
      <w:r w:rsidR="00A00479">
        <w:rPr>
          <w:rStyle w:val="Strong"/>
          <w:rFonts w:asciiTheme="minorBidi" w:eastAsia="Times New Roman" w:hAnsiTheme="minorBidi"/>
          <w:b w:val="0"/>
          <w:bCs w:val="0"/>
          <w:i/>
          <w:iCs/>
          <w:sz w:val="24"/>
          <w:szCs w:val="24"/>
        </w:rPr>
        <w:t>pasuk</w:t>
      </w:r>
      <w:r w:rsidRPr="00F1532F">
        <w:rPr>
          <w:rStyle w:val="Strong"/>
          <w:rFonts w:asciiTheme="minorBidi" w:eastAsia="Times New Roman" w:hAnsiTheme="minorBidi"/>
          <w:b w:val="0"/>
          <w:bCs w:val="0"/>
          <w:sz w:val="24"/>
          <w:szCs w:val="24"/>
        </w:rPr>
        <w:t xml:space="preserve"> [</w:t>
      </w:r>
      <w:hyperlink r:id="rId8" w:anchor="v5" w:history="1">
        <w:r w:rsidRPr="00A00479">
          <w:rPr>
            <w:rStyle w:val="Strong"/>
            <w:rFonts w:asciiTheme="minorBidi" w:eastAsia="Times New Roman" w:hAnsiTheme="minorBidi"/>
            <w:b w:val="0"/>
            <w:bCs w:val="0"/>
            <w:i/>
            <w:iCs/>
            <w:color w:val="000000"/>
            <w:sz w:val="24"/>
            <w:szCs w:val="24"/>
          </w:rPr>
          <w:t>Devarim</w:t>
        </w:r>
        <w:r w:rsidRPr="00F1532F">
          <w:rPr>
            <w:rStyle w:val="Strong"/>
            <w:rFonts w:asciiTheme="minorBidi" w:eastAsia="Times New Roman" w:hAnsiTheme="minorBidi"/>
            <w:b w:val="0"/>
            <w:bCs w:val="0"/>
            <w:color w:val="000000"/>
            <w:sz w:val="24"/>
            <w:szCs w:val="24"/>
          </w:rPr>
          <w:t xml:space="preserve"> </w:t>
        </w:r>
        <w:r w:rsidRPr="00F1532F">
          <w:rPr>
            <w:rStyle w:val="Strong"/>
            <w:rFonts w:asciiTheme="minorBidi" w:eastAsia="Times New Roman" w:hAnsiTheme="minorBidi"/>
            <w:b w:val="0"/>
            <w:bCs w:val="0"/>
            <w:color w:val="000000"/>
            <w:sz w:val="24"/>
            <w:szCs w:val="24"/>
          </w:rPr>
          <w:lastRenderedPageBreak/>
          <w:t>24:5</w:t>
        </w:r>
      </w:hyperlink>
      <w:r w:rsidRPr="00F1532F">
        <w:rPr>
          <w:rStyle w:val="Strong"/>
          <w:rFonts w:asciiTheme="minorBidi" w:eastAsia="Times New Roman" w:hAnsiTheme="minorBidi"/>
          <w:b w:val="0"/>
          <w:bCs w:val="0"/>
          <w:sz w:val="24"/>
          <w:szCs w:val="24"/>
        </w:rPr>
        <w:t>] states: "He shall not go out to the army, nor be charged with any duties.</w:t>
      </w:r>
      <w:r w:rsidR="00A00479">
        <w:rPr>
          <w:rStyle w:val="Strong"/>
          <w:rFonts w:asciiTheme="minorBidi" w:eastAsia="Times New Roman" w:hAnsiTheme="minorBidi"/>
          <w:b w:val="0"/>
          <w:bCs w:val="0"/>
          <w:sz w:val="24"/>
          <w:szCs w:val="24"/>
        </w:rPr>
        <w:t>”</w:t>
      </w:r>
    </w:p>
    <w:p w:rsidR="005A6AC9" w:rsidRPr="00F1532F" w:rsidRDefault="005A6AC9" w:rsidP="002943F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</w:p>
    <w:p w:rsidR="005A6AC9" w:rsidRPr="00F1532F" w:rsidRDefault="005A6AC9" w:rsidP="002943F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The Sefer Ha</w:t>
      </w:r>
      <w:r w:rsidR="0008573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-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Chinukh 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similarly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lists one negative commandment. </w:t>
      </w:r>
    </w:p>
    <w:p w:rsidR="005A6AC9" w:rsidRPr="00F1532F" w:rsidRDefault="005A6AC9" w:rsidP="002943F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</w:p>
    <w:p w:rsidR="005A6AC9" w:rsidRPr="00F1532F" w:rsidRDefault="005A6AC9" w:rsidP="00294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The Ramban, however, 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disagrees 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in his comments to the Rambam’s </w:t>
      </w:r>
      <w:r w:rsidRPr="00A00479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Sefer Ha-Mitzvot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(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neg. comm.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311), 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insisting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that there are actually two negative commandments:</w:t>
      </w:r>
    </w:p>
    <w:p w:rsidR="005A6AC9" w:rsidRPr="00F1532F" w:rsidRDefault="005A6AC9" w:rsidP="002943F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</w:p>
    <w:p w:rsidR="005A6AC9" w:rsidRPr="00F1532F" w:rsidRDefault="005A6AC9" w:rsidP="002943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I maintain that there are actually two separate </w:t>
      </w:r>
      <w:r w:rsidR="00A00479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mitzvot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,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a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s one who sends a </w:t>
      </w:r>
      <w:r w:rsidRPr="0008573F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chatan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to perform any of the labors violates the </w:t>
      </w:r>
      <w:r w:rsidR="0008573F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negative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commandment of “he shall not be charged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,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” while one who sends him to war violates a different prohibition in addition to the first.</w:t>
      </w:r>
    </w:p>
    <w:p w:rsidR="005A6AC9" w:rsidRPr="00F1532F" w:rsidRDefault="005A6AC9" w:rsidP="00294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</w:p>
    <w:p w:rsidR="005A6AC9" w:rsidRPr="00F1532F" w:rsidRDefault="00A00479" w:rsidP="002943F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T</w:t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he Ramban appears to distinguish between sending a </w:t>
      </w:r>
      <w:r w:rsidR="005A6AC9" w:rsidRPr="0008573F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chatan</w:t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to perform war</w:t>
      </w:r>
      <w:r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-related labors on the home-</w:t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front</w:t>
      </w:r>
      <w:r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, which</w:t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violates one prohibition, </w:t>
      </w:r>
      <w:r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and</w:t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sending the </w:t>
      </w:r>
      <w:r w:rsidR="005A6AC9" w:rsidRPr="0008573F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chatan</w:t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out to fight</w:t>
      </w:r>
      <w:r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, which</w:t>
      </w:r>
      <w:r w:rsidR="005A6AC9"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constitutes an additional prohibition. </w:t>
      </w:r>
    </w:p>
    <w:p w:rsidR="0034385F" w:rsidRPr="00F1532F" w:rsidRDefault="005A6AC9" w:rsidP="002943F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Theme="minorBidi" w:hAnsiTheme="minorBidi"/>
          <w:b w:val="0"/>
          <w:bCs w:val="0"/>
          <w:color w:val="000000"/>
          <w:sz w:val="24"/>
          <w:szCs w:val="24"/>
        </w:rPr>
      </w:pP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</w:t>
      </w:r>
    </w:p>
    <w:p w:rsidR="0034385F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  <w:r w:rsidRPr="00F1532F">
        <w:rPr>
          <w:rStyle w:val="Strong"/>
          <w:rFonts w:asciiTheme="minorBidi" w:hAnsiTheme="minorBidi" w:cstheme="minorBidi"/>
          <w:color w:val="000000"/>
        </w:rPr>
        <w:t xml:space="preserve">The Positive Commandment of </w:t>
      </w:r>
      <w:r w:rsidRPr="00F1532F">
        <w:rPr>
          <w:rStyle w:val="Strong"/>
          <w:rFonts w:asciiTheme="minorBidi" w:hAnsiTheme="minorBidi" w:cstheme="minorBidi"/>
          <w:i/>
          <w:iCs/>
          <w:color w:val="000000"/>
        </w:rPr>
        <w:t>Shana Rishona</w:t>
      </w:r>
    </w:p>
    <w:p w:rsidR="0034385F" w:rsidRPr="00F1532F" w:rsidRDefault="0034385F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ab/>
        <w:t xml:space="preserve">In addition to the prohibition(s) described above, the Torah teaches that the </w:t>
      </w:r>
      <w:r w:rsidRPr="00F1532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chatan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is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supposed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to “give happiness to his wife.” The </w:t>
      </w:r>
      <w:r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Rishonim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appear to disagree as to whether this commandment merely formulates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the reason for the prohibition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or whether there is an additional, unrelated commandment to “give happiness to his wife.”</w:t>
      </w: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ab/>
        <w:t xml:space="preserve">Some </w:t>
      </w:r>
      <w:r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Rishonim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describe a broader obligation. For example, the Rambam (313) writes that the </w:t>
      </w:r>
      <w:r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chatan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is co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mmanded “not to leave his house –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in other wor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ds, [not to] go out to business –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for the entire year.” Similarly, elsewhere (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pos. comm.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214), he writes:</w:t>
      </w: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The </w:t>
      </w:r>
      <w:r w:rsidRPr="00F1532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chatan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should be alone w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ith his wife for an entire year;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he should not travel out of the city, go to the army, nor be charged with similar things. Rather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,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he should give her happiness through the end of the year. </w:t>
      </w: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Here too the Rambam mentions that the </w:t>
      </w:r>
      <w:r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chatan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should stay with his new wife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and should not leave the city. This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idea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is found in the Sefer Ha-Chinukh (581), and the </w:t>
      </w:r>
      <w:r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Yereim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(228) as well. Others, as we shall see, believe that the there is no broader obligation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to “give happiness” to his wife;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rather,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this is 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merely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an explanation for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the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exemption from war. </w:t>
      </w: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ab/>
        <w:t xml:space="preserve">This question may relate to the </w:t>
      </w:r>
      <w:r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Rishonim’s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discussion regarding the reason for this </w:t>
      </w:r>
      <w:r w:rsidR="0008573F" w:rsidRPr="00A00479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mitzva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. R. Menachem HaBavli (se</w:t>
      </w:r>
      <w:r w:rsidR="00F248AB">
        <w:rPr>
          <w:rStyle w:val="Strong"/>
          <w:rFonts w:asciiTheme="minorBidi" w:hAnsiTheme="minorBidi" w:cstheme="minorBidi"/>
          <w:b w:val="0"/>
          <w:bCs w:val="0"/>
          <w:color w:val="000000"/>
        </w:rPr>
        <w:t>e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Chatam Sofer EH 2:155, who cites Sefer Ta’amei Ha-Mitzvot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,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neg. comm.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342) explains that the Torah fears that the </w:t>
      </w:r>
      <w:r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chatan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will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be preoccupied with his new wife and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thus 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unable to 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lastRenderedPageBreak/>
        <w:t xml:space="preserve">concentrate during battle,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and 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the Torah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therefore 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exempts him from fighting.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T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he Sefer Ha-Chinukh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provides a different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rationale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>:</w:t>
      </w: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p w:rsidR="005A6AC9" w:rsidRDefault="005A6AC9" w:rsidP="002943F5">
      <w:pPr>
        <w:spacing w:after="0" w:line="240" w:lineRule="auto"/>
        <w:ind w:left="720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It is from the roots of the commandment that God … that we should dwell with the woman that is designate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d for us to raise seed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for a whole year from the time that he marries her. [This is] so that [his] nature becomes used to her and to have [his] desire cling to her and to bring her form and all of her acts into the [heart]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,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to the point that all the acts of another woman 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>are foreign to his nature,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as every nature generally seeks and loves that to which it is accustomed. And from this, a man will distance his path from an [other] woman, and he will turn his thought to the woman that is fitting for him; and the offspring that she will bare him will be proper, and the world will bring up grace in front of its Creator. </w:t>
      </w:r>
    </w:p>
    <w:p w:rsidR="0008573F" w:rsidRPr="00F1532F" w:rsidRDefault="0008573F" w:rsidP="002943F5">
      <w:pPr>
        <w:spacing w:after="0" w:line="240" w:lineRule="auto"/>
        <w:ind w:left="720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</w:p>
    <w:p w:rsidR="005A6AC9" w:rsidRDefault="005A6AC9" w:rsidP="002943F5">
      <w:pPr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The Sefer Ha-Chinukh insists that this </w:t>
      </w:r>
      <w:r w:rsidR="0008573F" w:rsidRPr="00A00479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mitzva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is intended to strengthen the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couple’s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relationship, prevent 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the </w:t>
      </w:r>
      <w:r w:rsidR="00A00479">
        <w:rPr>
          <w:rStyle w:val="Strong"/>
          <w:rFonts w:asciiTheme="minorBidi" w:eastAsia="Times New Roman" w:hAnsiTheme="minorBidi"/>
          <w:b w:val="0"/>
          <w:bCs w:val="0"/>
          <w:i/>
          <w:iCs/>
          <w:color w:val="000000"/>
          <w:sz w:val="24"/>
          <w:szCs w:val="24"/>
        </w:rPr>
        <w:t>chatan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 from being distracted by other women, and create a proper environment within </w:t>
      </w:r>
      <w:r w:rsidR="00A00479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which </w:t>
      </w:r>
      <w:r w:rsidRPr="00F1532F"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  <w:t xml:space="preserve">they will raise their children. </w:t>
      </w:r>
    </w:p>
    <w:p w:rsidR="0008573F" w:rsidRPr="00F1532F" w:rsidRDefault="0008573F" w:rsidP="002943F5">
      <w:pPr>
        <w:spacing w:after="0" w:line="240" w:lineRule="auto"/>
        <w:jc w:val="both"/>
        <w:rPr>
          <w:rStyle w:val="Strong"/>
          <w:rFonts w:asciiTheme="minorBidi" w:eastAsia="Times New Roman" w:hAnsiTheme="minorBidi"/>
          <w:b w:val="0"/>
          <w:bCs w:val="0"/>
          <w:color w:val="000000"/>
          <w:sz w:val="24"/>
          <w:szCs w:val="24"/>
        </w:rPr>
      </w:pPr>
    </w:p>
    <w:p w:rsidR="005A6AC9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ab/>
        <w:t xml:space="preserve">This question may also </w:t>
      </w:r>
      <w:r w:rsidR="0008573F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relate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to a discussion among the halakhic authorities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as to 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whether this </w:t>
      </w:r>
      <w:r w:rsidR="0008573F" w:rsidRPr="00A00479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mitzva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applies 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nowadays, and if so, what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its scope is and if the 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woman </w:t>
      </w:r>
      <w:r w:rsidR="00A00479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may 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relinquish her right to the </w:t>
      </w:r>
      <w:r w:rsidRPr="00F1532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shana rishona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(</w:t>
      </w:r>
      <w:r w:rsidRPr="00F1532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mechila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). </w:t>
      </w:r>
    </w:p>
    <w:p w:rsidR="0008573F" w:rsidRPr="00F1532F" w:rsidRDefault="0008573F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p w:rsidR="005A6AC9" w:rsidRDefault="00A00479" w:rsidP="002943F5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  <w:r>
        <w:rPr>
          <w:rStyle w:val="Strong"/>
          <w:rFonts w:asciiTheme="minorBidi" w:hAnsiTheme="minorBidi" w:cstheme="minorBidi"/>
          <w:b w:val="0"/>
          <w:bCs w:val="0"/>
          <w:color w:val="000000"/>
        </w:rPr>
        <w:t>As noted above, t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he Rambam in the </w:t>
      </w:r>
      <w:r w:rsidR="005A6AC9" w:rsidRPr="00A00479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Sefer Ha-Mitzvot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, as well as the Sefer Ha-Chinukh and Yereim, maintain that the husband’s 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shana rishona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obligation to his wife surpasses his military exemption during the first year. However, a number of </w:t>
      </w:r>
      <w:r w:rsidR="005A6AC9"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Rishonim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, including the Semag (</w:t>
      </w:r>
      <w:r>
        <w:rPr>
          <w:rStyle w:val="Strong"/>
          <w:rFonts w:asciiTheme="minorBidi" w:hAnsiTheme="minorBidi" w:cstheme="minorBidi"/>
          <w:b w:val="0"/>
          <w:bCs w:val="0"/>
          <w:color w:val="000000"/>
        </w:rPr>
        <w:t>pos. comm. 121;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</w:t>
      </w:r>
      <w:r>
        <w:rPr>
          <w:rStyle w:val="Strong"/>
          <w:rFonts w:asciiTheme="minorBidi" w:hAnsiTheme="minorBidi" w:cstheme="minorBidi"/>
          <w:b w:val="0"/>
          <w:bCs w:val="0"/>
          <w:color w:val="000000"/>
        </w:rPr>
        <w:t>neg. comm.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230) and Meiri (</w:t>
      </w:r>
      <w:r w:rsidR="005A6AC9"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Sota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43) imply that the commandment of “he should give happiness to his wife” is simply the reason for his ex</w:t>
      </w:r>
      <w:r>
        <w:rPr>
          <w:rStyle w:val="Strong"/>
          <w:rFonts w:asciiTheme="minorBidi" w:hAnsiTheme="minorBidi" w:cstheme="minorBidi"/>
          <w:b w:val="0"/>
          <w:bCs w:val="0"/>
          <w:color w:val="000000"/>
        </w:rPr>
        <w:t>emption from going out to fight, and it therefore does not apply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nowadays. </w:t>
      </w:r>
      <w:r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In the </w:t>
      </w:r>
      <w:r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Mishneh Torah</w:t>
      </w:r>
      <w:r>
        <w:rPr>
          <w:rStyle w:val="Strong"/>
          <w:rFonts w:asciiTheme="minorBidi" w:hAnsiTheme="minorBidi" w:cstheme="minorBidi"/>
          <w:b w:val="0"/>
          <w:bCs w:val="0"/>
          <w:color w:val="000000"/>
        </w:rPr>
        <w:t>,</w:t>
      </w:r>
      <w:r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 xml:space="preserve"> </w:t>
      </w:r>
      <w:r>
        <w:rPr>
          <w:rStyle w:val="Strong"/>
          <w:rFonts w:asciiTheme="minorBidi" w:hAnsiTheme="minorBidi" w:cstheme="minorBidi"/>
          <w:b w:val="0"/>
          <w:bCs w:val="0"/>
          <w:color w:val="000000"/>
        </w:rPr>
        <w:t>t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he Rambam</w:t>
      </w:r>
      <w:r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makes no mention of this </w:t>
      </w:r>
      <w:r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mitzva</w:t>
      </w:r>
      <w:r>
        <w:rPr>
          <w:rStyle w:val="Strong"/>
          <w:rFonts w:asciiTheme="minorBidi" w:hAnsiTheme="minorBidi" w:cstheme="minorBidi"/>
          <w:b w:val="0"/>
          <w:bCs w:val="0"/>
          <w:color w:val="000000"/>
        </w:rPr>
        <w:t>, nor does the Shulchan Arukh.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Despite the central halakhic authorities’ silence regarding this </w:t>
      </w:r>
      <w:r w:rsidR="0008573F" w:rsidRPr="00A00479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mitzva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, numerous </w:t>
      </w:r>
      <w:r w:rsidR="005A6AC9" w:rsidRPr="0008573F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Acharonim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, including the Chokhmat Adam (129:19) and Kitzur Shul</w:t>
      </w:r>
      <w:r w:rsidR="0008573F">
        <w:rPr>
          <w:rStyle w:val="Strong"/>
          <w:rFonts w:asciiTheme="minorBidi" w:hAnsiTheme="minorBidi" w:cstheme="minorBidi"/>
          <w:b w:val="0"/>
          <w:bCs w:val="0"/>
          <w:color w:val="000000"/>
        </w:rPr>
        <w:t>c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>han Ar</w:t>
      </w:r>
      <w:r w:rsidR="0008573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ukh (149:13), apply this </w:t>
      </w:r>
      <w:r w:rsidR="0008573F" w:rsidRPr="00A00479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mitzva</w:t>
      </w:r>
      <w:r w:rsidR="005A6AC9"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nowadays. </w:t>
      </w:r>
    </w:p>
    <w:p w:rsidR="0008573F" w:rsidRPr="00F1532F" w:rsidRDefault="0008573F" w:rsidP="002943F5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p w:rsidR="0034385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  <w:r w:rsidRPr="00F1532F">
        <w:rPr>
          <w:rStyle w:val="Strong"/>
          <w:rFonts w:asciiTheme="minorBidi" w:hAnsiTheme="minorBidi" w:cstheme="minorBidi"/>
          <w:color w:val="000000"/>
        </w:rPr>
        <w:t xml:space="preserve">Scope of the Obligations of </w:t>
      </w:r>
      <w:r w:rsidRPr="00F1532F">
        <w:rPr>
          <w:rStyle w:val="Strong"/>
          <w:rFonts w:asciiTheme="minorBidi" w:hAnsiTheme="minorBidi" w:cstheme="minorBidi"/>
          <w:i/>
          <w:iCs/>
          <w:color w:val="000000"/>
        </w:rPr>
        <w:t>Shana Rishona</w:t>
      </w:r>
      <w:r w:rsidRPr="00F1532F">
        <w:rPr>
          <w:rStyle w:val="Strong"/>
          <w:rFonts w:asciiTheme="minorBidi" w:hAnsiTheme="minorBidi" w:cstheme="minorBidi"/>
          <w:color w:val="000000"/>
        </w:rPr>
        <w:t xml:space="preserve"> </w:t>
      </w:r>
    </w:p>
    <w:p w:rsidR="0008573F" w:rsidRPr="00F1532F" w:rsidRDefault="0008573F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color w:val="000000"/>
        </w:rPr>
      </w:pPr>
    </w:p>
    <w:p w:rsidR="005A6AC9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="Arial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theme="minorBidi"/>
          <w:color w:val="000000"/>
        </w:rPr>
        <w:tab/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The most practical and discussed ramification of this </w:t>
      </w:r>
      <w:r w:rsidR="0008573F" w:rsidRPr="00A00479">
        <w:rPr>
          <w:rStyle w:val="Strong"/>
          <w:rFonts w:asciiTheme="minorBidi" w:hAnsiTheme="minorBidi" w:cstheme="minorBidi"/>
          <w:b w:val="0"/>
          <w:bCs w:val="0"/>
          <w:i/>
          <w:iCs/>
          <w:color w:val="000000"/>
        </w:rPr>
        <w:t>mitzva</w:t>
      </w:r>
      <w:r w:rsidRPr="00F1532F">
        <w:rPr>
          <w:rStyle w:val="Strong"/>
          <w:rFonts w:asciiTheme="minorBidi" w:hAnsiTheme="minorBidi" w:cstheme="minorBidi"/>
          <w:b w:val="0"/>
          <w:bCs w:val="0"/>
          <w:color w:val="000000"/>
        </w:rPr>
        <w:t xml:space="preserve"> relates to whether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it is </w:t>
      </w:r>
      <w:r w:rsidR="0008573F"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>prohibit</w:t>
      </w:r>
      <w:r w:rsidR="0008573F">
        <w:rPr>
          <w:rStyle w:val="Strong"/>
          <w:rFonts w:asciiTheme="minorBidi" w:hAnsiTheme="minorBidi" w:cs="Arial"/>
          <w:b w:val="0"/>
          <w:bCs w:val="0"/>
          <w:color w:val="000000"/>
        </w:rPr>
        <w:t>ed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for a husband to be separated from his wife for an extended period during their first year of marriage. A number of </w:t>
      </w:r>
      <w:r w:rsidRPr="0008573F">
        <w:rPr>
          <w:rStyle w:val="Strong"/>
          <w:rFonts w:asciiTheme="minorBidi" w:hAnsiTheme="minorBidi" w:cs="Arial"/>
          <w:b w:val="0"/>
          <w:bCs w:val="0"/>
          <w:i/>
          <w:iCs/>
          <w:color w:val="000000"/>
        </w:rPr>
        <w:t>Rishonim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write that a husband should not travel and separate from his wife for the entire year (see Chokhmat Adam 129:19</w:t>
      </w:r>
      <w:r w:rsidR="00A00479">
        <w:rPr>
          <w:rStyle w:val="Strong"/>
          <w:rFonts w:asciiTheme="minorBidi" w:hAnsiTheme="minorBidi" w:cs="Arial"/>
          <w:b w:val="0"/>
          <w:bCs w:val="0"/>
          <w:color w:val="000000"/>
        </w:rPr>
        <w:t>;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Kitzur Shulchan Arukh 149:13), even for the purpose of his livelihood (see Binat Adam 129:37). </w:t>
      </w:r>
      <w:r w:rsidR="00A00479">
        <w:rPr>
          <w:rStyle w:val="Strong"/>
          <w:rFonts w:asciiTheme="minorBidi" w:hAnsiTheme="minorBidi" w:cs="Arial"/>
          <w:b w:val="0"/>
          <w:bCs w:val="0"/>
          <w:color w:val="000000"/>
        </w:rPr>
        <w:t>A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>s we saw above, the Rambam (</w:t>
      </w:r>
      <w:r w:rsidRPr="00A00479">
        <w:rPr>
          <w:rStyle w:val="Strong"/>
          <w:rFonts w:asciiTheme="minorBidi" w:hAnsiTheme="minorBidi" w:cs="Arial"/>
          <w:b w:val="0"/>
          <w:bCs w:val="0"/>
          <w:i/>
          <w:iCs/>
          <w:color w:val="000000"/>
        </w:rPr>
        <w:t>Sefer Ha-Mitzvot</w:t>
      </w:r>
      <w:r w:rsidR="00A00479">
        <w:rPr>
          <w:rStyle w:val="Strong"/>
          <w:rFonts w:asciiTheme="minorBidi" w:hAnsiTheme="minorBidi" w:cs="Arial"/>
          <w:b w:val="0"/>
          <w:bCs w:val="0"/>
          <w:color w:val="000000"/>
        </w:rPr>
        <w:t>, neg. comm.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</w:t>
      </w:r>
      <w:r w:rsidR="00A00479">
        <w:rPr>
          <w:rStyle w:val="Strong"/>
          <w:rFonts w:asciiTheme="minorBidi" w:hAnsiTheme="minorBidi" w:cs="Arial"/>
          <w:b w:val="0"/>
          <w:bCs w:val="0"/>
          <w:color w:val="000000"/>
        </w:rPr>
        <w:t>311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>) and Sefer Ha-Chinukh (ibid</w:t>
      </w:r>
      <w:r w:rsidR="00A00479">
        <w:rPr>
          <w:rStyle w:val="Strong"/>
          <w:rFonts w:asciiTheme="minorBidi" w:hAnsiTheme="minorBidi" w:cs="Arial"/>
          <w:b w:val="0"/>
          <w:bCs w:val="0"/>
          <w:color w:val="000000"/>
        </w:rPr>
        <w:t>.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) mention not leaving even for the sake of </w:t>
      </w:r>
      <w:r w:rsidRPr="0008573F">
        <w:rPr>
          <w:rStyle w:val="Strong"/>
          <w:rFonts w:asciiTheme="minorBidi" w:hAnsiTheme="minorBidi" w:cs="Arial"/>
          <w:b w:val="0"/>
          <w:bCs w:val="0"/>
          <w:i/>
          <w:iCs/>
          <w:color w:val="000000"/>
        </w:rPr>
        <w:t>parnasa</w:t>
      </w:r>
      <w:r w:rsidR="004C0171">
        <w:rPr>
          <w:rStyle w:val="Strong"/>
          <w:rFonts w:asciiTheme="minorBidi" w:hAnsiTheme="minorBidi" w:cs="Arial"/>
          <w:b w:val="0"/>
          <w:bCs w:val="0"/>
          <w:i/>
          <w:iCs/>
          <w:color w:val="000000"/>
        </w:rPr>
        <w:t>.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(</w:t>
      </w:r>
      <w:r w:rsidR="004C0171">
        <w:rPr>
          <w:rStyle w:val="Strong"/>
          <w:rFonts w:asciiTheme="minorBidi" w:hAnsiTheme="minorBidi" w:cs="Arial"/>
          <w:b w:val="0"/>
          <w:bCs w:val="0"/>
          <w:color w:val="000000"/>
        </w:rPr>
        <w:t>S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ee Radbaz 1:228 who insists that </w:t>
      </w:r>
      <w:r w:rsidR="004C0171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what is recorded as 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>the Rambam’s view is a scribal error</w:t>
      </w:r>
      <w:r w:rsidR="004C0171">
        <w:rPr>
          <w:rStyle w:val="Strong"/>
          <w:rFonts w:asciiTheme="minorBidi" w:hAnsiTheme="minorBidi" w:cs="Arial"/>
          <w:b w:val="0"/>
          <w:bCs w:val="0"/>
          <w:color w:val="000000"/>
        </w:rPr>
        <w:t>.)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</w:t>
      </w:r>
    </w:p>
    <w:p w:rsidR="0008573F" w:rsidRPr="00F1532F" w:rsidRDefault="0008573F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="Arial"/>
          <w:b w:val="0"/>
          <w:bCs w:val="0"/>
          <w:color w:val="000000"/>
        </w:rPr>
      </w:pPr>
    </w:p>
    <w:p w:rsidR="005A6AC9" w:rsidRDefault="005A6AC9" w:rsidP="002943F5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Theme="minorBidi" w:hAnsiTheme="minorBidi" w:cs="Arial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lastRenderedPageBreak/>
        <w:t xml:space="preserve">Others maintain that the husband may travel during the first year of marriage. For example, the Minchat Chinukh (482) observes that the Sefer Ha-Chinukh’s position has no support in earlier sources. This is the position of the Chatam Sofer (2:125), as well as those </w:t>
      </w:r>
      <w:r w:rsidRPr="004C0171">
        <w:rPr>
          <w:rStyle w:val="Strong"/>
          <w:rFonts w:asciiTheme="minorBidi" w:hAnsiTheme="minorBidi" w:cs="Arial"/>
          <w:b w:val="0"/>
          <w:bCs w:val="0"/>
          <w:i/>
          <w:iCs/>
          <w:color w:val="000000"/>
        </w:rPr>
        <w:t>Rishonim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mentioned above who do not accept that such a prohibition exists at all. Some permit leaving one’s wife for the sake of livelihood (Radbaz ibid.).</w:t>
      </w:r>
    </w:p>
    <w:p w:rsidR="0008573F" w:rsidRPr="00F1532F" w:rsidRDefault="0008573F" w:rsidP="002943F5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Theme="minorBidi" w:hAnsiTheme="minorBidi" w:cs="Arial"/>
          <w:b w:val="0"/>
          <w:bCs w:val="0"/>
          <w:color w:val="000000"/>
        </w:rPr>
      </w:pPr>
    </w:p>
    <w:p w:rsidR="005A6AC9" w:rsidRDefault="005A6AC9" w:rsidP="002943F5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Theme="minorBidi" w:hAnsiTheme="minorBidi" w:cs="Arial"/>
          <w:b w:val="0"/>
          <w:bCs w:val="0"/>
          <w:color w:val="000000"/>
        </w:rPr>
      </w:pP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Some </w:t>
      </w:r>
      <w:r w:rsidRPr="004C0171">
        <w:rPr>
          <w:rStyle w:val="Strong"/>
          <w:rFonts w:asciiTheme="minorBidi" w:hAnsiTheme="minorBidi" w:cs="Arial"/>
          <w:b w:val="0"/>
          <w:bCs w:val="0"/>
          <w:i/>
          <w:iCs/>
          <w:color w:val="000000"/>
        </w:rPr>
        <w:t>Rishonim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suggest that the wife may forgo this </w:t>
      </w:r>
      <w:r w:rsidR="0008573F" w:rsidRPr="004C0171">
        <w:rPr>
          <w:rStyle w:val="Strong"/>
          <w:rFonts w:asciiTheme="minorBidi" w:hAnsiTheme="minorBidi" w:cs="Arial"/>
          <w:b w:val="0"/>
          <w:bCs w:val="0"/>
          <w:i/>
          <w:iCs/>
          <w:color w:val="000000"/>
        </w:rPr>
        <w:t>mitzva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and allow her husband to travel during the first year (see two opinions cited</w:t>
      </w:r>
      <w:r w:rsidR="004C0171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in the Sefer Ha-Chinukh ibid.), but a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number of </w:t>
      </w:r>
      <w:r w:rsidRPr="004C0171">
        <w:rPr>
          <w:rStyle w:val="Strong"/>
          <w:rFonts w:asciiTheme="minorBidi" w:hAnsiTheme="minorBidi" w:cs="Arial"/>
          <w:b w:val="0"/>
          <w:bCs w:val="0"/>
          <w:i/>
          <w:iCs/>
          <w:color w:val="000000"/>
        </w:rPr>
        <w:t>Acharonim</w:t>
      </w:r>
      <w:r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(see Chokhmat Adam and Kitzur Shulchan Arukh ibid.) reject this opinion. </w:t>
      </w:r>
    </w:p>
    <w:p w:rsidR="0008573F" w:rsidRPr="00F1532F" w:rsidRDefault="0008573F" w:rsidP="002943F5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Theme="minorBidi" w:hAnsiTheme="minorBidi" w:cs="Arial"/>
          <w:b w:val="0"/>
          <w:bCs w:val="0"/>
          <w:color w:val="000000"/>
        </w:rPr>
      </w:pPr>
    </w:p>
    <w:p w:rsidR="005A6AC9" w:rsidRPr="00F1532F" w:rsidRDefault="004C0171" w:rsidP="002943F5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Theme="minorBidi" w:hAnsiTheme="minorBidi" w:cs="Arial"/>
          <w:b w:val="0"/>
          <w:bCs w:val="0"/>
          <w:color w:val="000000"/>
        </w:rPr>
      </w:pPr>
      <w:r>
        <w:rPr>
          <w:rStyle w:val="Strong"/>
          <w:rFonts w:asciiTheme="minorBidi" w:hAnsiTheme="minorBidi" w:cs="Arial"/>
          <w:b w:val="0"/>
          <w:bCs w:val="0"/>
          <w:color w:val="000000"/>
        </w:rPr>
        <w:t>T</w:t>
      </w:r>
      <w:r w:rsidR="005A6AC9"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he Arukh Ha-Shulchan (EH 64:4) explains that the </w:t>
      </w:r>
      <w:r w:rsidR="0008573F" w:rsidRPr="004C0171">
        <w:rPr>
          <w:rStyle w:val="Strong"/>
          <w:rFonts w:asciiTheme="minorBidi" w:hAnsiTheme="minorBidi" w:cs="Arial"/>
          <w:b w:val="0"/>
          <w:bCs w:val="0"/>
          <w:i/>
          <w:iCs/>
          <w:color w:val="000000"/>
        </w:rPr>
        <w:t>mitzva</w:t>
      </w:r>
      <w:r w:rsidR="005A6AC9"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to “give happiness” to </w:t>
      </w:r>
      <w:r>
        <w:rPr>
          <w:rStyle w:val="Strong"/>
          <w:rFonts w:asciiTheme="minorBidi" w:hAnsiTheme="minorBidi" w:cs="Arial"/>
          <w:b w:val="0"/>
          <w:bCs w:val="0"/>
          <w:color w:val="000000"/>
        </w:rPr>
        <w:t>one’s</w:t>
      </w:r>
      <w:r w:rsidR="005A6AC9"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wife do</w:t>
      </w:r>
      <w:r>
        <w:rPr>
          <w:rStyle w:val="Strong"/>
          <w:rFonts w:asciiTheme="minorBidi" w:hAnsiTheme="minorBidi" w:cs="Arial"/>
          <w:b w:val="0"/>
          <w:bCs w:val="0"/>
          <w:color w:val="000000"/>
        </w:rPr>
        <w:t>es</w:t>
      </w:r>
      <w:r w:rsidR="005A6AC9"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not refer to actual “</w:t>
      </w:r>
      <w:r w:rsidR="005A6AC9" w:rsidRPr="0008573F">
        <w:rPr>
          <w:rStyle w:val="Strong"/>
          <w:rFonts w:asciiTheme="minorBidi" w:hAnsiTheme="minorBidi" w:cs="Arial"/>
          <w:b w:val="0"/>
          <w:bCs w:val="0"/>
          <w:i/>
          <w:iCs/>
          <w:color w:val="000000"/>
        </w:rPr>
        <w:t>simcha</w:t>
      </w:r>
      <w:r w:rsidR="0008573F">
        <w:rPr>
          <w:rStyle w:val="Strong"/>
          <w:rFonts w:asciiTheme="minorBidi" w:hAnsiTheme="minorBidi" w:cs="Arial"/>
          <w:b w:val="0"/>
          <w:bCs w:val="0"/>
          <w:i/>
          <w:iCs/>
          <w:color w:val="000000"/>
        </w:rPr>
        <w:t>,</w:t>
      </w:r>
      <w:r w:rsidR="0008573F">
        <w:rPr>
          <w:rStyle w:val="Strong"/>
          <w:rFonts w:asciiTheme="minorBidi" w:hAnsiTheme="minorBidi" w:cs="Arial"/>
          <w:b w:val="0"/>
          <w:bCs w:val="0"/>
          <w:color w:val="000000"/>
        </w:rPr>
        <w:t>”</w:t>
      </w:r>
      <w:r w:rsidR="005A6AC9"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</w:t>
      </w:r>
      <w:r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but </w:t>
      </w:r>
      <w:r w:rsidR="005A6AC9"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rather to “bring her enjoyment and fulfill her wills any way possible.” This additional effort is meant to </w:t>
      </w:r>
      <w:r>
        <w:rPr>
          <w:rStyle w:val="Strong"/>
          <w:rFonts w:asciiTheme="minorBidi" w:hAnsiTheme="minorBidi" w:cs="Arial"/>
          <w:b w:val="0"/>
          <w:bCs w:val="0"/>
          <w:color w:val="000000"/>
        </w:rPr>
        <w:t>form</w:t>
      </w:r>
      <w:r w:rsidR="005A6AC9"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the building blocks of their relation</w:t>
      </w:r>
      <w:r>
        <w:rPr>
          <w:rStyle w:val="Strong"/>
          <w:rFonts w:asciiTheme="minorBidi" w:hAnsiTheme="minorBidi" w:cs="Arial"/>
          <w:b w:val="0"/>
          <w:bCs w:val="0"/>
          <w:color w:val="000000"/>
        </w:rPr>
        <w:t>ship,</w:t>
      </w:r>
      <w:r w:rsidR="005A6AC9" w:rsidRPr="00F1532F">
        <w:rPr>
          <w:rStyle w:val="Strong"/>
          <w:rFonts w:asciiTheme="minorBidi" w:hAnsiTheme="minorBidi" w:cs="Arial"/>
          <w:b w:val="0"/>
          <w:bCs w:val="0"/>
          <w:color w:val="000000"/>
        </w:rPr>
        <w:t xml:space="preserve"> from which they will benefit throughout their entire lives. </w:t>
      </w:r>
    </w:p>
    <w:p w:rsidR="005A6AC9" w:rsidRPr="00F1532F" w:rsidRDefault="005A6AC9" w:rsidP="002943F5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Theme="minorBidi" w:hAnsiTheme="minorBidi" w:cstheme="minorBidi"/>
          <w:b w:val="0"/>
          <w:bCs w:val="0"/>
          <w:color w:val="000000"/>
        </w:rPr>
      </w:pPr>
    </w:p>
    <w:sectPr w:rsidR="005A6AC9" w:rsidRPr="00F1532F" w:rsidSect="003F56B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69" w:rsidRDefault="00F11C69" w:rsidP="00DD17CC">
      <w:pPr>
        <w:spacing w:after="0" w:line="240" w:lineRule="auto"/>
      </w:pPr>
      <w:r>
        <w:separator/>
      </w:r>
    </w:p>
  </w:endnote>
  <w:endnote w:type="continuationSeparator" w:id="0">
    <w:p w:rsidR="00F11C69" w:rsidRDefault="00F11C69" w:rsidP="00DD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69" w:rsidRDefault="00F11C69" w:rsidP="00DD17CC">
      <w:pPr>
        <w:spacing w:after="0" w:line="240" w:lineRule="auto"/>
      </w:pPr>
      <w:r>
        <w:separator/>
      </w:r>
    </w:p>
  </w:footnote>
  <w:footnote w:type="continuationSeparator" w:id="0">
    <w:p w:rsidR="00F11C69" w:rsidRDefault="00F11C69" w:rsidP="00DD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wNzWwNLA0M7EwMbZQ0lEKTi0uzszPAykwMq4FAA+AwbAtAAAA"/>
  </w:docVars>
  <w:rsids>
    <w:rsidRoot w:val="00EE3C84"/>
    <w:rsid w:val="000065A6"/>
    <w:rsid w:val="0000741D"/>
    <w:rsid w:val="00012FA3"/>
    <w:rsid w:val="000178A9"/>
    <w:rsid w:val="00020001"/>
    <w:rsid w:val="00024A62"/>
    <w:rsid w:val="000275DD"/>
    <w:rsid w:val="000318CF"/>
    <w:rsid w:val="00036B94"/>
    <w:rsid w:val="000372B8"/>
    <w:rsid w:val="000400F4"/>
    <w:rsid w:val="0007355E"/>
    <w:rsid w:val="00081F71"/>
    <w:rsid w:val="000820BA"/>
    <w:rsid w:val="00083CB7"/>
    <w:rsid w:val="0008573F"/>
    <w:rsid w:val="00094BE8"/>
    <w:rsid w:val="000A5A36"/>
    <w:rsid w:val="000A6C67"/>
    <w:rsid w:val="000B6624"/>
    <w:rsid w:val="000B69BC"/>
    <w:rsid w:val="000C7DD5"/>
    <w:rsid w:val="000D1011"/>
    <w:rsid w:val="000D31B5"/>
    <w:rsid w:val="000D4534"/>
    <w:rsid w:val="000D4E11"/>
    <w:rsid w:val="000D5F9F"/>
    <w:rsid w:val="000D652A"/>
    <w:rsid w:val="000D70F9"/>
    <w:rsid w:val="000E2827"/>
    <w:rsid w:val="000E65DF"/>
    <w:rsid w:val="000F25C7"/>
    <w:rsid w:val="000F2A83"/>
    <w:rsid w:val="000F51C1"/>
    <w:rsid w:val="001064B0"/>
    <w:rsid w:val="00107490"/>
    <w:rsid w:val="00107956"/>
    <w:rsid w:val="001203F8"/>
    <w:rsid w:val="0012394A"/>
    <w:rsid w:val="001319F1"/>
    <w:rsid w:val="0013570F"/>
    <w:rsid w:val="00136866"/>
    <w:rsid w:val="00144955"/>
    <w:rsid w:val="001515E8"/>
    <w:rsid w:val="00195110"/>
    <w:rsid w:val="001A235B"/>
    <w:rsid w:val="001B34C1"/>
    <w:rsid w:val="001B74F8"/>
    <w:rsid w:val="001C3D2B"/>
    <w:rsid w:val="001F6945"/>
    <w:rsid w:val="002005CF"/>
    <w:rsid w:val="00201A29"/>
    <w:rsid w:val="00241AF6"/>
    <w:rsid w:val="00242DDF"/>
    <w:rsid w:val="002518DD"/>
    <w:rsid w:val="002716D4"/>
    <w:rsid w:val="00276C51"/>
    <w:rsid w:val="00283B3A"/>
    <w:rsid w:val="00285B85"/>
    <w:rsid w:val="002943F5"/>
    <w:rsid w:val="002B6CFB"/>
    <w:rsid w:val="002C029F"/>
    <w:rsid w:val="002D3A1A"/>
    <w:rsid w:val="002E2579"/>
    <w:rsid w:val="002F34D2"/>
    <w:rsid w:val="00314C36"/>
    <w:rsid w:val="00325FB0"/>
    <w:rsid w:val="003262B3"/>
    <w:rsid w:val="00327A38"/>
    <w:rsid w:val="00332602"/>
    <w:rsid w:val="00332E8B"/>
    <w:rsid w:val="00333B66"/>
    <w:rsid w:val="0034385F"/>
    <w:rsid w:val="003462AB"/>
    <w:rsid w:val="00362D31"/>
    <w:rsid w:val="00367036"/>
    <w:rsid w:val="00370982"/>
    <w:rsid w:val="00370E1A"/>
    <w:rsid w:val="00373DAA"/>
    <w:rsid w:val="00390394"/>
    <w:rsid w:val="00394EA7"/>
    <w:rsid w:val="003B57B4"/>
    <w:rsid w:val="003D0D3A"/>
    <w:rsid w:val="003D0E8D"/>
    <w:rsid w:val="003D505E"/>
    <w:rsid w:val="003E3A75"/>
    <w:rsid w:val="003E7ACB"/>
    <w:rsid w:val="003F1B8F"/>
    <w:rsid w:val="003F3325"/>
    <w:rsid w:val="003F56B3"/>
    <w:rsid w:val="003F7846"/>
    <w:rsid w:val="00402243"/>
    <w:rsid w:val="004038C4"/>
    <w:rsid w:val="00410D06"/>
    <w:rsid w:val="00417092"/>
    <w:rsid w:val="0042188A"/>
    <w:rsid w:val="004356E4"/>
    <w:rsid w:val="00444885"/>
    <w:rsid w:val="004507CE"/>
    <w:rsid w:val="004603F4"/>
    <w:rsid w:val="004664B1"/>
    <w:rsid w:val="00467AE6"/>
    <w:rsid w:val="00472C39"/>
    <w:rsid w:val="004821AA"/>
    <w:rsid w:val="00490BFE"/>
    <w:rsid w:val="004929BF"/>
    <w:rsid w:val="004A195B"/>
    <w:rsid w:val="004A388B"/>
    <w:rsid w:val="004A4E6A"/>
    <w:rsid w:val="004A4FDB"/>
    <w:rsid w:val="004A6CBD"/>
    <w:rsid w:val="004B17CA"/>
    <w:rsid w:val="004B4B33"/>
    <w:rsid w:val="004C0171"/>
    <w:rsid w:val="004D3B29"/>
    <w:rsid w:val="004F146D"/>
    <w:rsid w:val="004F3546"/>
    <w:rsid w:val="005041B2"/>
    <w:rsid w:val="005109CF"/>
    <w:rsid w:val="00516708"/>
    <w:rsid w:val="005274A2"/>
    <w:rsid w:val="00535007"/>
    <w:rsid w:val="00541C91"/>
    <w:rsid w:val="005444F2"/>
    <w:rsid w:val="00547C22"/>
    <w:rsid w:val="00556DBB"/>
    <w:rsid w:val="00561A6E"/>
    <w:rsid w:val="005935F6"/>
    <w:rsid w:val="005A6AC9"/>
    <w:rsid w:val="005A7AE1"/>
    <w:rsid w:val="005A7EF6"/>
    <w:rsid w:val="005D6330"/>
    <w:rsid w:val="005F5703"/>
    <w:rsid w:val="00614168"/>
    <w:rsid w:val="006240E6"/>
    <w:rsid w:val="00625B86"/>
    <w:rsid w:val="00635FE2"/>
    <w:rsid w:val="00652B9B"/>
    <w:rsid w:val="006550CA"/>
    <w:rsid w:val="00670DC2"/>
    <w:rsid w:val="00687003"/>
    <w:rsid w:val="00687E18"/>
    <w:rsid w:val="00690003"/>
    <w:rsid w:val="00691BC3"/>
    <w:rsid w:val="00695A05"/>
    <w:rsid w:val="0069712C"/>
    <w:rsid w:val="006A51C8"/>
    <w:rsid w:val="006A596A"/>
    <w:rsid w:val="006A6BDF"/>
    <w:rsid w:val="006B3996"/>
    <w:rsid w:val="006C02CF"/>
    <w:rsid w:val="006C07CF"/>
    <w:rsid w:val="006C6F0B"/>
    <w:rsid w:val="006D6005"/>
    <w:rsid w:val="006E066B"/>
    <w:rsid w:val="006E070F"/>
    <w:rsid w:val="006E6AD4"/>
    <w:rsid w:val="007018A8"/>
    <w:rsid w:val="00704466"/>
    <w:rsid w:val="007166B4"/>
    <w:rsid w:val="00722FFF"/>
    <w:rsid w:val="00727FCF"/>
    <w:rsid w:val="00735A69"/>
    <w:rsid w:val="00746BA2"/>
    <w:rsid w:val="0076356F"/>
    <w:rsid w:val="00764797"/>
    <w:rsid w:val="00765441"/>
    <w:rsid w:val="00782ABC"/>
    <w:rsid w:val="00782DB2"/>
    <w:rsid w:val="00784436"/>
    <w:rsid w:val="00790770"/>
    <w:rsid w:val="007A0C64"/>
    <w:rsid w:val="007A282D"/>
    <w:rsid w:val="007A54B0"/>
    <w:rsid w:val="007B08F8"/>
    <w:rsid w:val="007B3C0E"/>
    <w:rsid w:val="007B4539"/>
    <w:rsid w:val="007C16D1"/>
    <w:rsid w:val="007D4A61"/>
    <w:rsid w:val="007D566D"/>
    <w:rsid w:val="007E0E18"/>
    <w:rsid w:val="007E2143"/>
    <w:rsid w:val="007E22F0"/>
    <w:rsid w:val="007E728A"/>
    <w:rsid w:val="007F1846"/>
    <w:rsid w:val="007F2329"/>
    <w:rsid w:val="007F7CF6"/>
    <w:rsid w:val="007F7D7C"/>
    <w:rsid w:val="008001CA"/>
    <w:rsid w:val="008068CF"/>
    <w:rsid w:val="00810AFC"/>
    <w:rsid w:val="00834497"/>
    <w:rsid w:val="008379FE"/>
    <w:rsid w:val="00844830"/>
    <w:rsid w:val="008575F7"/>
    <w:rsid w:val="008655AE"/>
    <w:rsid w:val="00872B2D"/>
    <w:rsid w:val="008903E6"/>
    <w:rsid w:val="008A103B"/>
    <w:rsid w:val="008A3787"/>
    <w:rsid w:val="008B3A06"/>
    <w:rsid w:val="008C2DEF"/>
    <w:rsid w:val="008D3527"/>
    <w:rsid w:val="008D3B48"/>
    <w:rsid w:val="008F6F1B"/>
    <w:rsid w:val="00900018"/>
    <w:rsid w:val="009003E5"/>
    <w:rsid w:val="009169E1"/>
    <w:rsid w:val="00916B71"/>
    <w:rsid w:val="00941DB1"/>
    <w:rsid w:val="009431CA"/>
    <w:rsid w:val="009432A8"/>
    <w:rsid w:val="00952BD9"/>
    <w:rsid w:val="00953B96"/>
    <w:rsid w:val="00966F8F"/>
    <w:rsid w:val="00992110"/>
    <w:rsid w:val="009940C5"/>
    <w:rsid w:val="009A4AC3"/>
    <w:rsid w:val="009A5558"/>
    <w:rsid w:val="009B0EC6"/>
    <w:rsid w:val="009B3D44"/>
    <w:rsid w:val="009B428E"/>
    <w:rsid w:val="009C0233"/>
    <w:rsid w:val="009C7534"/>
    <w:rsid w:val="009E58C8"/>
    <w:rsid w:val="009F3042"/>
    <w:rsid w:val="009F672B"/>
    <w:rsid w:val="00A00479"/>
    <w:rsid w:val="00A00D7F"/>
    <w:rsid w:val="00A06E9E"/>
    <w:rsid w:val="00A12BEA"/>
    <w:rsid w:val="00A134B8"/>
    <w:rsid w:val="00A26C50"/>
    <w:rsid w:val="00A30A01"/>
    <w:rsid w:val="00A33AC8"/>
    <w:rsid w:val="00A46A41"/>
    <w:rsid w:val="00A47599"/>
    <w:rsid w:val="00A54458"/>
    <w:rsid w:val="00A66010"/>
    <w:rsid w:val="00A70EB9"/>
    <w:rsid w:val="00A7730A"/>
    <w:rsid w:val="00A8568E"/>
    <w:rsid w:val="00AA171D"/>
    <w:rsid w:val="00AA4F7E"/>
    <w:rsid w:val="00AC4C4D"/>
    <w:rsid w:val="00AC7FAB"/>
    <w:rsid w:val="00AD2C6D"/>
    <w:rsid w:val="00AE2DE4"/>
    <w:rsid w:val="00AF3002"/>
    <w:rsid w:val="00AF60DF"/>
    <w:rsid w:val="00B10730"/>
    <w:rsid w:val="00B110EC"/>
    <w:rsid w:val="00B178EE"/>
    <w:rsid w:val="00B23F46"/>
    <w:rsid w:val="00B2462E"/>
    <w:rsid w:val="00B362BB"/>
    <w:rsid w:val="00B366DC"/>
    <w:rsid w:val="00B36994"/>
    <w:rsid w:val="00B4021C"/>
    <w:rsid w:val="00B4085B"/>
    <w:rsid w:val="00B42CBF"/>
    <w:rsid w:val="00B43D91"/>
    <w:rsid w:val="00B443CB"/>
    <w:rsid w:val="00B467D6"/>
    <w:rsid w:val="00B56ABE"/>
    <w:rsid w:val="00B57AA7"/>
    <w:rsid w:val="00B62E7D"/>
    <w:rsid w:val="00B63E20"/>
    <w:rsid w:val="00B71D69"/>
    <w:rsid w:val="00B73318"/>
    <w:rsid w:val="00B76529"/>
    <w:rsid w:val="00B80AE4"/>
    <w:rsid w:val="00B84360"/>
    <w:rsid w:val="00B85B69"/>
    <w:rsid w:val="00B918C3"/>
    <w:rsid w:val="00BA3B28"/>
    <w:rsid w:val="00BB491F"/>
    <w:rsid w:val="00BC1916"/>
    <w:rsid w:val="00BD7F07"/>
    <w:rsid w:val="00BE02EA"/>
    <w:rsid w:val="00BF7CCA"/>
    <w:rsid w:val="00C01D96"/>
    <w:rsid w:val="00C04EA4"/>
    <w:rsid w:val="00C14699"/>
    <w:rsid w:val="00C21A1A"/>
    <w:rsid w:val="00C236F4"/>
    <w:rsid w:val="00C248FB"/>
    <w:rsid w:val="00C25FE1"/>
    <w:rsid w:val="00C45F43"/>
    <w:rsid w:val="00C47111"/>
    <w:rsid w:val="00C7509C"/>
    <w:rsid w:val="00C92416"/>
    <w:rsid w:val="00C959C1"/>
    <w:rsid w:val="00CA439F"/>
    <w:rsid w:val="00CC28D0"/>
    <w:rsid w:val="00CD1EB2"/>
    <w:rsid w:val="00CE2126"/>
    <w:rsid w:val="00CE3EA2"/>
    <w:rsid w:val="00D002A6"/>
    <w:rsid w:val="00D065E7"/>
    <w:rsid w:val="00D116A6"/>
    <w:rsid w:val="00D17293"/>
    <w:rsid w:val="00D17A50"/>
    <w:rsid w:val="00D22D4A"/>
    <w:rsid w:val="00D34E9A"/>
    <w:rsid w:val="00D35F37"/>
    <w:rsid w:val="00D40E65"/>
    <w:rsid w:val="00D567AC"/>
    <w:rsid w:val="00D70F2F"/>
    <w:rsid w:val="00D73064"/>
    <w:rsid w:val="00D874E6"/>
    <w:rsid w:val="00D93343"/>
    <w:rsid w:val="00DA3994"/>
    <w:rsid w:val="00DA50C7"/>
    <w:rsid w:val="00DB3D0C"/>
    <w:rsid w:val="00DB44DC"/>
    <w:rsid w:val="00DC121F"/>
    <w:rsid w:val="00DD17CC"/>
    <w:rsid w:val="00DE3A98"/>
    <w:rsid w:val="00DE7A71"/>
    <w:rsid w:val="00E0076D"/>
    <w:rsid w:val="00E0232B"/>
    <w:rsid w:val="00E03676"/>
    <w:rsid w:val="00E03ECB"/>
    <w:rsid w:val="00E0681F"/>
    <w:rsid w:val="00E13493"/>
    <w:rsid w:val="00E27F3E"/>
    <w:rsid w:val="00E40344"/>
    <w:rsid w:val="00E52FE9"/>
    <w:rsid w:val="00E63096"/>
    <w:rsid w:val="00E66C72"/>
    <w:rsid w:val="00E77795"/>
    <w:rsid w:val="00E86089"/>
    <w:rsid w:val="00EB659B"/>
    <w:rsid w:val="00EC52C9"/>
    <w:rsid w:val="00ED01AD"/>
    <w:rsid w:val="00ED0F61"/>
    <w:rsid w:val="00ED4CCE"/>
    <w:rsid w:val="00EE3C84"/>
    <w:rsid w:val="00EE6BBE"/>
    <w:rsid w:val="00EF2034"/>
    <w:rsid w:val="00EF3B38"/>
    <w:rsid w:val="00EF6E6F"/>
    <w:rsid w:val="00F03451"/>
    <w:rsid w:val="00F11AA9"/>
    <w:rsid w:val="00F11C69"/>
    <w:rsid w:val="00F14104"/>
    <w:rsid w:val="00F14B30"/>
    <w:rsid w:val="00F1532F"/>
    <w:rsid w:val="00F248AB"/>
    <w:rsid w:val="00F353FC"/>
    <w:rsid w:val="00F35997"/>
    <w:rsid w:val="00F436E5"/>
    <w:rsid w:val="00F45C64"/>
    <w:rsid w:val="00F51491"/>
    <w:rsid w:val="00F62A75"/>
    <w:rsid w:val="00F63E56"/>
    <w:rsid w:val="00F67419"/>
    <w:rsid w:val="00F7112F"/>
    <w:rsid w:val="00F74861"/>
    <w:rsid w:val="00F90169"/>
    <w:rsid w:val="00FA46F4"/>
    <w:rsid w:val="00FB1D2E"/>
    <w:rsid w:val="00FB25C1"/>
    <w:rsid w:val="00FC68D0"/>
    <w:rsid w:val="00FD2245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17CC"/>
    <w:rPr>
      <w:sz w:val="20"/>
      <w:szCs w:val="20"/>
    </w:rPr>
  </w:style>
  <w:style w:type="character" w:styleId="FootnoteReference">
    <w:name w:val="footnote reference"/>
    <w:basedOn w:val="DefaultParagraphFont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  <w:style w:type="paragraph" w:styleId="Revision">
    <w:name w:val="Revision"/>
    <w:hidden/>
    <w:uiPriority w:val="99"/>
    <w:semiHidden/>
    <w:rsid w:val="00872B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2D"/>
    <w:rPr>
      <w:rFonts w:ascii="Tahoma" w:hAnsi="Tahoma" w:cs="Tahoma"/>
      <w:sz w:val="16"/>
      <w:szCs w:val="16"/>
    </w:rPr>
  </w:style>
  <w:style w:type="paragraph" w:customStyle="1" w:styleId="en">
    <w:name w:val="en"/>
    <w:basedOn w:val="Normal"/>
    <w:rsid w:val="0034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gmentnumberinner">
    <w:name w:val="segmentnumberinner"/>
    <w:basedOn w:val="DefaultParagraphFont"/>
    <w:rsid w:val="0034385F"/>
  </w:style>
  <w:style w:type="paragraph" w:customStyle="1" w:styleId="he">
    <w:name w:val="he"/>
    <w:basedOn w:val="Normal"/>
    <w:rsid w:val="0034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85F"/>
  </w:style>
  <w:style w:type="paragraph" w:styleId="Footer">
    <w:name w:val="footer"/>
    <w:basedOn w:val="Normal"/>
    <w:link w:val="FooterChar"/>
    <w:uiPriority w:val="99"/>
    <w:semiHidden/>
    <w:unhideWhenUsed/>
    <w:rsid w:val="0034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17CC"/>
    <w:rPr>
      <w:sz w:val="20"/>
      <w:szCs w:val="20"/>
    </w:rPr>
  </w:style>
  <w:style w:type="character" w:styleId="FootnoteReference">
    <w:name w:val="footnote reference"/>
    <w:basedOn w:val="DefaultParagraphFont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  <w:style w:type="paragraph" w:styleId="Revision">
    <w:name w:val="Revision"/>
    <w:hidden/>
    <w:uiPriority w:val="99"/>
    <w:semiHidden/>
    <w:rsid w:val="00872B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2D"/>
    <w:rPr>
      <w:rFonts w:ascii="Tahoma" w:hAnsi="Tahoma" w:cs="Tahoma"/>
      <w:sz w:val="16"/>
      <w:szCs w:val="16"/>
    </w:rPr>
  </w:style>
  <w:style w:type="paragraph" w:customStyle="1" w:styleId="en">
    <w:name w:val="en"/>
    <w:basedOn w:val="Normal"/>
    <w:rsid w:val="0034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gmentnumberinner">
    <w:name w:val="segmentnumberinner"/>
    <w:basedOn w:val="DefaultParagraphFont"/>
    <w:rsid w:val="0034385F"/>
  </w:style>
  <w:style w:type="paragraph" w:customStyle="1" w:styleId="he">
    <w:name w:val="he"/>
    <w:basedOn w:val="Normal"/>
    <w:rsid w:val="0034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85F"/>
  </w:style>
  <w:style w:type="paragraph" w:styleId="Footer">
    <w:name w:val="footer"/>
    <w:basedOn w:val="Normal"/>
    <w:link w:val="FooterChar"/>
    <w:uiPriority w:val="99"/>
    <w:semiHidden/>
    <w:unhideWhenUsed/>
    <w:rsid w:val="0034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7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80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6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3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2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3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9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bad.org/99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4C96E-2A38-4CE6-9028-478BFF7B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2</cp:revision>
  <dcterms:created xsi:type="dcterms:W3CDTF">2018-06-24T07:41:00Z</dcterms:created>
  <dcterms:modified xsi:type="dcterms:W3CDTF">2018-06-24T07:41:00Z</dcterms:modified>
</cp:coreProperties>
</file>