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3A1" w:rsidRPr="00BD6239" w:rsidRDefault="0041351B" w:rsidP="0041351B">
      <w:pPr>
        <w:pStyle w:val="3"/>
        <w:jc w:val="left"/>
        <w:rPr>
          <w:rFonts w:asciiTheme="minorBidi" w:hAnsiTheme="minorBidi" w:cstheme="minorBidi"/>
          <w:b/>
          <w:bCs/>
          <w:color w:val="auto"/>
          <w:rtl/>
        </w:rPr>
      </w:pPr>
      <w:r>
        <w:rPr>
          <w:rFonts w:asciiTheme="minorBidi" w:hAnsiTheme="minorBidi" w:cstheme="minorBidi"/>
          <w:b/>
          <w:bCs/>
          <w:color w:val="auto"/>
          <w:rtl/>
        </w:rPr>
        <w:t>הר</w:t>
      </w:r>
      <w:r w:rsidR="009F2278">
        <w:rPr>
          <w:rFonts w:asciiTheme="minorBidi" w:hAnsiTheme="minorBidi" w:cstheme="minorBidi" w:hint="cs"/>
          <w:b/>
          <w:bCs/>
          <w:color w:val="auto"/>
          <w:rtl/>
        </w:rPr>
        <w:t>ב משה ליכטנשטיין</w:t>
      </w:r>
      <w:r>
        <w:rPr>
          <w:rFonts w:asciiTheme="minorBidi" w:hAnsiTheme="minorBidi" w:cstheme="minorBidi" w:hint="cs"/>
          <w:b/>
          <w:bCs/>
          <w:color w:val="auto"/>
          <w:rtl/>
        </w:rPr>
        <w:t xml:space="preserve"> </w:t>
      </w:r>
      <w:proofErr w:type="spellStart"/>
      <w:r>
        <w:rPr>
          <w:rFonts w:asciiTheme="minorBidi" w:hAnsiTheme="minorBidi" w:cstheme="minorBidi" w:hint="cs"/>
          <w:b/>
          <w:bCs/>
          <w:color w:val="auto"/>
          <w:rtl/>
        </w:rPr>
        <w:t>שליט"א</w:t>
      </w:r>
      <w:proofErr w:type="spellEnd"/>
    </w:p>
    <w:p w:rsidR="00B103A1" w:rsidRPr="00BD6239" w:rsidRDefault="001E20E0" w:rsidP="009F2278">
      <w:pPr>
        <w:pStyle w:val="af0"/>
        <w:spacing w:before="0" w:line="360" w:lineRule="auto"/>
        <w:rPr>
          <w:rFonts w:asciiTheme="minorBidi" w:hAnsiTheme="minorBidi" w:cstheme="minorBidi"/>
          <w:rtl/>
        </w:rPr>
      </w:pPr>
      <w:r>
        <w:rPr>
          <w:rFonts w:asciiTheme="minorBidi" w:hAnsiTheme="minorBidi" w:cstheme="minorBidi"/>
          <w:rtl/>
        </w:rPr>
        <w:t>שיחה ל</w:t>
      </w:r>
      <w:r>
        <w:rPr>
          <w:rFonts w:asciiTheme="minorBidi" w:hAnsiTheme="minorBidi" w:cstheme="minorBidi" w:hint="cs"/>
          <w:rtl/>
        </w:rPr>
        <w:t>פרש</w:t>
      </w:r>
      <w:r w:rsidR="009F2278">
        <w:rPr>
          <w:rFonts w:asciiTheme="minorBidi" w:hAnsiTheme="minorBidi" w:cstheme="minorBidi" w:hint="cs"/>
          <w:rtl/>
        </w:rPr>
        <w:t>ת מצורע</w:t>
      </w:r>
    </w:p>
    <w:p w:rsidR="00B103A1" w:rsidRDefault="00E1259A" w:rsidP="002B1140">
      <w:pPr>
        <w:pStyle w:val="af"/>
        <w:spacing w:line="360" w:lineRule="auto"/>
        <w:rPr>
          <w:rFonts w:asciiTheme="minorBidi" w:hAnsiTheme="minorBidi" w:cstheme="minorBidi"/>
          <w:rtl/>
        </w:rPr>
      </w:pPr>
      <w:r>
        <w:rPr>
          <w:rFonts w:asciiTheme="minorBidi" w:hAnsiTheme="minorBidi" w:cstheme="minorBidi" w:hint="cs"/>
          <w:rtl/>
        </w:rPr>
        <w:t>צרעת ונוכחות שכינה</w:t>
      </w:r>
      <w:r w:rsidR="00B103A1" w:rsidRPr="00BD6239">
        <w:rPr>
          <w:rStyle w:val="aa"/>
          <w:rFonts w:asciiTheme="minorBidi" w:hAnsiTheme="minorBidi" w:cstheme="minorBidi"/>
          <w:rtl/>
        </w:rPr>
        <w:footnoteReference w:customMarkFollows="1" w:id="1"/>
        <w:t>*</w:t>
      </w:r>
    </w:p>
    <w:p w:rsidR="008F4D4A" w:rsidRPr="008F4D4A" w:rsidRDefault="008F4D4A" w:rsidP="002B1140">
      <w:pPr>
        <w:pStyle w:val="af"/>
        <w:spacing w:line="360" w:lineRule="auto"/>
        <w:rPr>
          <w:rFonts w:asciiTheme="minorBidi" w:hAnsiTheme="minorBidi" w:cstheme="minorBidi"/>
          <w:sz w:val="28"/>
          <w:szCs w:val="28"/>
          <w:rtl/>
        </w:rPr>
      </w:pPr>
      <w:r w:rsidRPr="008F4D4A">
        <w:rPr>
          <w:rFonts w:asciiTheme="minorBidi" w:hAnsiTheme="minorBidi" w:cstheme="minorBidi" w:hint="cs"/>
          <w:sz w:val="28"/>
          <w:szCs w:val="28"/>
          <w:rtl/>
        </w:rPr>
        <w:t>קדושה וטומאה</w:t>
      </w:r>
    </w:p>
    <w:p w:rsidR="00E1259A" w:rsidRPr="00E1259A" w:rsidRDefault="00E1259A" w:rsidP="00E1259A">
      <w:pPr>
        <w:rPr>
          <w:rtl/>
        </w:rPr>
      </w:pPr>
      <w:bookmarkStart w:id="0" w:name="OLE_LINK1"/>
      <w:r w:rsidRPr="00E1259A">
        <w:rPr>
          <w:rFonts w:hint="cs"/>
          <w:rtl/>
        </w:rPr>
        <w:t xml:space="preserve">הנושא המרכזי בפרשות תזריע ומצורע הוא טומאה בכלל, ומצורע וצרעת בפרט. </w:t>
      </w:r>
      <w:r>
        <w:rPr>
          <w:rFonts w:hint="cs"/>
          <w:rtl/>
        </w:rPr>
        <w:t>מדוע פרשיות אלו ממוקמות</w:t>
      </w:r>
      <w:r w:rsidRPr="00E1259A">
        <w:rPr>
          <w:rFonts w:hint="cs"/>
          <w:rtl/>
        </w:rPr>
        <w:t xml:space="preserve"> דווקא</w:t>
      </w:r>
      <w:r>
        <w:rPr>
          <w:rFonts w:hint="cs"/>
          <w:rtl/>
        </w:rPr>
        <w:t xml:space="preserve"> כאן, בחלקו המרכזי של ספר ויקרא?</w:t>
      </w:r>
      <w:r w:rsidRPr="00E1259A">
        <w:rPr>
          <w:rFonts w:hint="cs"/>
          <w:rtl/>
        </w:rPr>
        <w:t xml:space="preserve"> התורה מקדישה נתח מרכזי כל כך דווקא לענייני טומאה. ספר ויקרא עוסק רובו ככולו בענייני קדושה, החל מ</w:t>
      </w:r>
      <w:r>
        <w:rPr>
          <w:rFonts w:hint="cs"/>
          <w:rtl/>
        </w:rPr>
        <w:t>קדושת הקרבנות והמשכן, דרך קדושת ישראל בפרשת "קדושים תהיו" ו</w:t>
      </w:r>
      <w:r w:rsidRPr="00E1259A">
        <w:rPr>
          <w:rFonts w:hint="cs"/>
          <w:rtl/>
        </w:rPr>
        <w:t xml:space="preserve">קדושת הכהונה בפרשת "אמור אל הכהנים", עד קדושת הארץ והחברה בפרשות בהר </w:t>
      </w:r>
      <w:proofErr w:type="spellStart"/>
      <w:r w:rsidRPr="00E1259A">
        <w:rPr>
          <w:rFonts w:hint="cs"/>
          <w:rtl/>
        </w:rPr>
        <w:t>ובחוקותי</w:t>
      </w:r>
      <w:proofErr w:type="spellEnd"/>
      <w:r w:rsidRPr="00E1259A">
        <w:rPr>
          <w:rFonts w:hint="cs"/>
          <w:rtl/>
        </w:rPr>
        <w:t xml:space="preserve">. מדוע בין ענייני הקדושה השונים התורה עוצרת ומרחיבה </w:t>
      </w:r>
      <w:r>
        <w:rPr>
          <w:rFonts w:hint="cs"/>
          <w:rtl/>
        </w:rPr>
        <w:t xml:space="preserve">כל כך </w:t>
      </w:r>
      <w:r w:rsidRPr="00E1259A">
        <w:rPr>
          <w:rFonts w:hint="cs"/>
          <w:rtl/>
        </w:rPr>
        <w:t>בענייני טומאה?</w:t>
      </w:r>
    </w:p>
    <w:p w:rsidR="00E1259A" w:rsidRPr="00E1259A" w:rsidRDefault="00E1259A" w:rsidP="009F2278">
      <w:pPr>
        <w:rPr>
          <w:rtl/>
        </w:rPr>
      </w:pPr>
      <w:r w:rsidRPr="00E1259A">
        <w:rPr>
          <w:rFonts w:hint="cs"/>
          <w:rtl/>
        </w:rPr>
        <w:t xml:space="preserve">נדמה שהמפתח לפתרון שאלה זו טמון בהבדל בין צרעת לבין שאר הטומאות המפורטות בפרשיות. </w:t>
      </w:r>
      <w:r w:rsidR="009F2278">
        <w:rPr>
          <w:rFonts w:hint="cs"/>
          <w:rtl/>
        </w:rPr>
        <w:t xml:space="preserve">לטומאות האחרות </w:t>
      </w:r>
      <w:r w:rsidR="009F2278">
        <w:rPr>
          <w:rtl/>
        </w:rPr>
        <w:t>–</w:t>
      </w:r>
      <w:r w:rsidR="009F2278">
        <w:rPr>
          <w:rFonts w:hint="cs"/>
          <w:rtl/>
        </w:rPr>
        <w:t xml:space="preserve"> יולדת, זב, נדה, בעל קרי וכו' </w:t>
      </w:r>
      <w:r w:rsidR="009F2278">
        <w:rPr>
          <w:rtl/>
        </w:rPr>
        <w:t>–</w:t>
      </w:r>
      <w:r w:rsidRPr="00E1259A">
        <w:rPr>
          <w:rFonts w:hint="cs"/>
          <w:rtl/>
        </w:rPr>
        <w:t xml:space="preserve"> יש מכנה משותף אחד, והוא הקשר לעולם הטבע. בעיסוקה בנושאים אלה התורה בעצם מכירה בחוסר הנצחיות ובארעיות של עולם הטבע, ומתמודדת איתן בעזרת המושג טומאה, שמשמעותה החמצה או חסרון של חיים.</w:t>
      </w:r>
    </w:p>
    <w:p w:rsidR="00E1259A" w:rsidRPr="00E1259A" w:rsidRDefault="009F2278" w:rsidP="001D51B9">
      <w:pPr>
        <w:rPr>
          <w:rtl/>
        </w:rPr>
      </w:pPr>
      <w:r>
        <w:rPr>
          <w:rFonts w:hint="cs"/>
          <w:rtl/>
        </w:rPr>
        <w:t>לעומת זאת, בצרעת, ה</w:t>
      </w:r>
      <w:r w:rsidR="00E1259A" w:rsidRPr="00E1259A">
        <w:rPr>
          <w:rFonts w:hint="cs"/>
          <w:rtl/>
        </w:rPr>
        <w:t>קשר לעולם הטבע</w:t>
      </w:r>
      <w:r>
        <w:rPr>
          <w:rFonts w:hint="cs"/>
          <w:rtl/>
        </w:rPr>
        <w:t xml:space="preserve"> נראה כאינו קיים</w:t>
      </w:r>
      <w:r w:rsidR="00E1259A" w:rsidRPr="00E1259A">
        <w:rPr>
          <w:rFonts w:hint="cs"/>
          <w:rtl/>
        </w:rPr>
        <w:t>. הרמב"ן מאריך להסביר עד כמה הצרעת היא תופעה על טבעית, שמגיעה מן השמים. ראיה טובה לכך היא שהצרעת יכולה להיות בכל הגוף, אבל גם בבגד או בבית.</w:t>
      </w:r>
      <w:r>
        <w:rPr>
          <w:rFonts w:hint="cs"/>
          <w:rtl/>
        </w:rPr>
        <w:t xml:space="preserve"> אדם שיש לו צרעת אינו</w:t>
      </w:r>
      <w:r w:rsidR="00E1259A" w:rsidRPr="00E1259A">
        <w:rPr>
          <w:rFonts w:hint="cs"/>
          <w:rtl/>
        </w:rPr>
        <w:t xml:space="preserve"> פונה לרופא, אלא לכהן,</w:t>
      </w:r>
      <w:r w:rsidR="001D51B9">
        <w:rPr>
          <w:rFonts w:hint="cs"/>
          <w:rtl/>
        </w:rPr>
        <w:t xml:space="preserve"> </w:t>
      </w:r>
      <w:r w:rsidR="001D51B9">
        <w:rPr>
          <w:rFonts w:hint="cs"/>
          <w:rtl/>
        </w:rPr>
        <w:t>והוא מחליט מה יהיה המשך התהליך, הוא אשר מסגיר את המצורע</w:t>
      </w:r>
      <w:r w:rsidR="00E1259A" w:rsidRPr="00E1259A">
        <w:rPr>
          <w:rFonts w:hint="cs"/>
          <w:rtl/>
        </w:rPr>
        <w:t>, מטמא ומטהר.</w:t>
      </w:r>
    </w:p>
    <w:p w:rsidR="00E1259A" w:rsidRPr="00E1259A" w:rsidRDefault="00E1259A" w:rsidP="001D51B9">
      <w:pPr>
        <w:rPr>
          <w:rtl/>
        </w:rPr>
      </w:pPr>
      <w:r w:rsidRPr="00E1259A">
        <w:rPr>
          <w:rFonts w:hint="cs"/>
          <w:rtl/>
        </w:rPr>
        <w:t xml:space="preserve">בכך, </w:t>
      </w:r>
      <w:r w:rsidR="001D51B9">
        <w:rPr>
          <w:rFonts w:hint="cs"/>
          <w:rtl/>
        </w:rPr>
        <w:t>ניתן להתייחס אל הצרעת כמודל, כתופעה ה</w:t>
      </w:r>
      <w:r w:rsidRPr="00E1259A">
        <w:rPr>
          <w:rFonts w:hint="cs"/>
          <w:rtl/>
        </w:rPr>
        <w:t>מלמדת</w:t>
      </w:r>
      <w:r w:rsidR="001D51B9">
        <w:rPr>
          <w:rFonts w:hint="cs"/>
          <w:rtl/>
        </w:rPr>
        <w:t xml:space="preserve"> לא רק על עצמה אלא על הכלל כולו </w:t>
      </w:r>
      <w:r w:rsidR="001D51B9">
        <w:rPr>
          <w:rtl/>
        </w:rPr>
        <w:t>–</w:t>
      </w:r>
      <w:r w:rsidR="001D51B9">
        <w:rPr>
          <w:rFonts w:hint="cs"/>
          <w:rtl/>
        </w:rPr>
        <w:t xml:space="preserve"> אף מחלות, ושאר תופעות, הנראות הקשורות ונובעות מחוקיות טבעית, מאת ה' הן.</w:t>
      </w:r>
      <w:r w:rsidRPr="00E1259A">
        <w:rPr>
          <w:rFonts w:hint="cs"/>
          <w:rtl/>
        </w:rPr>
        <w:t xml:space="preserve"> </w:t>
      </w:r>
    </w:p>
    <w:p w:rsidR="00E1259A" w:rsidRPr="00E1259A" w:rsidRDefault="001D51B9" w:rsidP="001D51B9">
      <w:pPr>
        <w:rPr>
          <w:rtl/>
        </w:rPr>
      </w:pPr>
      <w:r>
        <w:rPr>
          <w:rFonts w:hint="cs"/>
          <w:rtl/>
        </w:rPr>
        <w:t>תובנה זו דורשת מאתנו</w:t>
      </w:r>
      <w:r w:rsidR="00E1259A" w:rsidRPr="00E1259A">
        <w:rPr>
          <w:rFonts w:hint="cs"/>
          <w:rtl/>
        </w:rPr>
        <w:t xml:space="preserve"> לחפש את נוכחות השכינה, את הקדושה, בכל אספקט של החיים. ארץ ישראל קדושה משאר הארצות, שבת קדושה משאר הימ</w:t>
      </w:r>
      <w:r>
        <w:rPr>
          <w:rFonts w:hint="cs"/>
          <w:rtl/>
        </w:rPr>
        <w:t>ים, אבל בכל מציאות החיים שלנו קיימת</w:t>
      </w:r>
      <w:r w:rsidR="00E1259A" w:rsidRPr="00E1259A">
        <w:rPr>
          <w:rFonts w:hint="cs"/>
          <w:rtl/>
        </w:rPr>
        <w:t xml:space="preserve"> קדושה ברמה כלשהי, ועלינו לחפש אותה באופן תמידי.</w:t>
      </w:r>
    </w:p>
    <w:p w:rsidR="005751F1" w:rsidRDefault="00E1259A" w:rsidP="005751F1">
      <w:pPr>
        <w:rPr>
          <w:rtl/>
        </w:rPr>
      </w:pPr>
      <w:r w:rsidRPr="00E1259A">
        <w:rPr>
          <w:rFonts w:hint="cs"/>
          <w:rtl/>
        </w:rPr>
        <w:t>נקודה זו מסבירה קישור מעניין שקיים בנביאים בין צרעת לבין מלחמה.</w:t>
      </w:r>
      <w:r w:rsidR="001D51B9">
        <w:rPr>
          <w:rFonts w:hint="cs"/>
          <w:rtl/>
        </w:rPr>
        <w:t xml:space="preserve"> הן</w:t>
      </w:r>
      <w:r w:rsidRPr="00E1259A">
        <w:rPr>
          <w:rFonts w:hint="cs"/>
          <w:rtl/>
        </w:rPr>
        <w:t xml:space="preserve"> אצל נ</w:t>
      </w:r>
      <w:r w:rsidR="001D51B9">
        <w:rPr>
          <w:rFonts w:hint="cs"/>
          <w:rtl/>
        </w:rPr>
        <w:t xml:space="preserve">עמן, שר צבא ארם, מוזכרת צרעת, והן </w:t>
      </w:r>
      <w:r w:rsidRPr="00E1259A">
        <w:rPr>
          <w:rFonts w:hint="cs"/>
          <w:rtl/>
        </w:rPr>
        <w:t xml:space="preserve">ארבעת המצורעים מופיעים </w:t>
      </w:r>
      <w:r w:rsidR="001D51B9">
        <w:rPr>
          <w:rFonts w:hint="cs"/>
          <w:rtl/>
        </w:rPr>
        <w:t xml:space="preserve">בהקשר של מלחמה. ניתן </w:t>
      </w:r>
      <w:r w:rsidR="005751F1">
        <w:rPr>
          <w:rFonts w:hint="cs"/>
          <w:rtl/>
        </w:rPr>
        <w:t xml:space="preserve">להצביע על כך שבשני תחומים אלו, צרעת ומלחמה, קיימת מחשבה ותחושה שמדובר בתחום המשולל מנוכחות שכינה. </w:t>
      </w:r>
    </w:p>
    <w:p w:rsidR="00E1259A" w:rsidRPr="00E1259A" w:rsidRDefault="00E1259A" w:rsidP="008F4D4A">
      <w:pPr>
        <w:rPr>
          <w:rtl/>
        </w:rPr>
      </w:pPr>
      <w:r w:rsidRPr="00E1259A">
        <w:rPr>
          <w:rFonts w:hint="cs"/>
          <w:rtl/>
        </w:rPr>
        <w:t>אנחנו יודעים</w:t>
      </w:r>
      <w:r w:rsidR="005751F1">
        <w:rPr>
          <w:rFonts w:hint="cs"/>
          <w:rtl/>
        </w:rPr>
        <w:t xml:space="preserve"> כמובן</w:t>
      </w:r>
      <w:r w:rsidRPr="00E1259A">
        <w:rPr>
          <w:rFonts w:hint="cs"/>
          <w:rtl/>
        </w:rPr>
        <w:t xml:space="preserve"> </w:t>
      </w:r>
      <w:proofErr w:type="spellStart"/>
      <w:r w:rsidRPr="00E1259A">
        <w:rPr>
          <w:rFonts w:hint="cs"/>
          <w:rtl/>
        </w:rPr>
        <w:t>ש"</w:t>
      </w:r>
      <w:r w:rsidRPr="00E1259A">
        <w:rPr>
          <w:rtl/>
        </w:rPr>
        <w:t>אִם</w:t>
      </w:r>
      <w:proofErr w:type="spellEnd"/>
      <w:r w:rsidRPr="00E1259A">
        <w:rPr>
          <w:rtl/>
        </w:rPr>
        <w:t xml:space="preserve"> </w:t>
      </w:r>
      <w:r w:rsidRPr="00E1259A">
        <w:rPr>
          <w:rFonts w:hint="cs"/>
          <w:rtl/>
        </w:rPr>
        <w:t xml:space="preserve">ה' </w:t>
      </w:r>
      <w:r w:rsidRPr="00E1259A">
        <w:rPr>
          <w:rtl/>
        </w:rPr>
        <w:t xml:space="preserve">לֹא יִשְׁמָר עִיר </w:t>
      </w:r>
      <w:proofErr w:type="spellStart"/>
      <w:r w:rsidRPr="00E1259A">
        <w:rPr>
          <w:rtl/>
        </w:rPr>
        <w:t>שָׁוְא</w:t>
      </w:r>
      <w:proofErr w:type="spellEnd"/>
      <w:r w:rsidRPr="00E1259A">
        <w:rPr>
          <w:rtl/>
        </w:rPr>
        <w:t xml:space="preserve"> שָׁקַד שׁוֹמֵר</w:t>
      </w:r>
      <w:r w:rsidRPr="00E1259A">
        <w:rPr>
          <w:rFonts w:hint="cs"/>
          <w:rtl/>
        </w:rPr>
        <w:t>" (תהילים קכ"ז), אבל הרבה פעמים קל להתעלם מנוכחות ה'</w:t>
      </w:r>
      <w:r w:rsidRPr="00E1259A">
        <w:rPr>
          <w:rtl/>
        </w:rPr>
        <w:t>.</w:t>
      </w:r>
      <w:r w:rsidRPr="00E1259A">
        <w:rPr>
          <w:rFonts w:hint="cs"/>
          <w:rtl/>
        </w:rPr>
        <w:t xml:space="preserve"> </w:t>
      </w:r>
      <w:r w:rsidR="005751F1">
        <w:rPr>
          <w:rFonts w:hint="cs"/>
          <w:rtl/>
        </w:rPr>
        <w:t>כבר בתחילה, השליש אינו</w:t>
      </w:r>
      <w:r w:rsidRPr="00E1259A">
        <w:rPr>
          <w:rFonts w:hint="cs"/>
          <w:rtl/>
        </w:rPr>
        <w:t xml:space="preserve"> מוכן לק</w:t>
      </w:r>
      <w:r w:rsidR="005751F1">
        <w:rPr>
          <w:rFonts w:hint="cs"/>
          <w:rtl/>
        </w:rPr>
        <w:t xml:space="preserve">בל את הנבואה בדבר ירידת המחירים. לאחר מכן, ניתן לראות את ביטויו של אותו העיקרון </w:t>
      </w:r>
      <w:r w:rsidRPr="00E1259A">
        <w:rPr>
          <w:rFonts w:hint="cs"/>
          <w:rtl/>
        </w:rPr>
        <w:t>במחנה ארם</w:t>
      </w:r>
      <w:r w:rsidR="005751F1">
        <w:rPr>
          <w:rFonts w:hint="cs"/>
          <w:rtl/>
        </w:rPr>
        <w:t>, שש</w:t>
      </w:r>
      <w:r w:rsidRPr="00E1259A">
        <w:rPr>
          <w:rFonts w:hint="cs"/>
          <w:rtl/>
        </w:rPr>
        <w:t>מ</w:t>
      </w:r>
      <w:r w:rsidR="005751F1">
        <w:rPr>
          <w:rFonts w:hint="cs"/>
          <w:rtl/>
        </w:rPr>
        <w:t>י</w:t>
      </w:r>
      <w:r w:rsidRPr="00E1259A">
        <w:rPr>
          <w:rFonts w:hint="cs"/>
          <w:rtl/>
        </w:rPr>
        <w:t>ע</w:t>
      </w:r>
      <w:r w:rsidR="005751F1">
        <w:rPr>
          <w:rFonts w:hint="cs"/>
          <w:rtl/>
        </w:rPr>
        <w:t>ת</w:t>
      </w:r>
      <w:r w:rsidRPr="00E1259A">
        <w:rPr>
          <w:rFonts w:hint="cs"/>
          <w:rtl/>
        </w:rPr>
        <w:t xml:space="preserve"> </w:t>
      </w:r>
      <w:r w:rsidR="005751F1">
        <w:rPr>
          <w:rFonts w:hint="cs"/>
          <w:rtl/>
        </w:rPr>
        <w:t xml:space="preserve">הרעשים לא מסוגלת לקבל הסבר שאינו טבעי, עד כדי ההגעה להסבר הקלוש שישראל אולי שכרו את צבא מצרים או חתים בכדי </w:t>
      </w:r>
      <w:r w:rsidR="008F4D4A">
        <w:rPr>
          <w:rFonts w:hint="cs"/>
          <w:rtl/>
        </w:rPr>
        <w:t>שיעזרו</w:t>
      </w:r>
      <w:r w:rsidRPr="00E1259A">
        <w:rPr>
          <w:rFonts w:hint="cs"/>
          <w:rtl/>
        </w:rPr>
        <w:t xml:space="preserve"> להם נגד ארם. מי שיקרא בפרקים הקודמים את ה</w:t>
      </w:r>
      <w:r w:rsidR="008F4D4A">
        <w:rPr>
          <w:rFonts w:hint="cs"/>
          <w:rtl/>
        </w:rPr>
        <w:t>מצב הכלכלי והחברתי הנורא בו עם ישראל</w:t>
      </w:r>
      <w:r w:rsidRPr="00E1259A">
        <w:rPr>
          <w:rFonts w:hint="cs"/>
          <w:rtl/>
        </w:rPr>
        <w:t xml:space="preserve"> היה שרוי, יתקשה להאמין שארם מוכנים לקבל הסבר דחוק זה ולברוח בגללו.</w:t>
      </w:r>
      <w:r w:rsidR="008F4D4A">
        <w:rPr>
          <w:rFonts w:hint="cs"/>
          <w:rtl/>
        </w:rPr>
        <w:t xml:space="preserve"> </w:t>
      </w:r>
      <w:r w:rsidRPr="00E1259A">
        <w:rPr>
          <w:rFonts w:hint="cs"/>
          <w:rtl/>
        </w:rPr>
        <w:t xml:space="preserve">בסוף, מלך ישראל לא מוכן לקבל את סיפור הבריחה ומשוכנע שזו מלכודת צבאית מתוחכמת במיוחד. </w:t>
      </w:r>
    </w:p>
    <w:p w:rsidR="008F4D4A" w:rsidRDefault="008F4D4A" w:rsidP="008F4D4A">
      <w:pPr>
        <w:rPr>
          <w:rtl/>
        </w:rPr>
      </w:pPr>
      <w:r>
        <w:rPr>
          <w:rFonts w:hint="cs"/>
          <w:rtl/>
        </w:rPr>
        <w:lastRenderedPageBreak/>
        <w:t xml:space="preserve">הסמיכות בין נושא הצרעת לנושא המלחמה מסוגלת להדגיש שבשני נושאים אלו, מהלך העניינים מנוהל ע"י הקב"ה, ולא ע"י האדם. </w:t>
      </w:r>
    </w:p>
    <w:p w:rsidR="008F4D4A" w:rsidRPr="00007104" w:rsidRDefault="00DF1868" w:rsidP="00007104">
      <w:pPr>
        <w:jc w:val="center"/>
        <w:rPr>
          <w:rFonts w:asciiTheme="minorBidi" w:hAnsiTheme="minorBidi" w:cstheme="minorBidi"/>
          <w:b/>
          <w:bCs/>
          <w:sz w:val="28"/>
          <w:szCs w:val="28"/>
          <w:rtl/>
        </w:rPr>
      </w:pPr>
      <w:r>
        <w:rPr>
          <w:rFonts w:asciiTheme="minorBidi" w:hAnsiTheme="minorBidi" w:cstheme="minorBidi" w:hint="cs"/>
          <w:b/>
          <w:bCs/>
          <w:sz w:val="28"/>
          <w:szCs w:val="28"/>
          <w:rtl/>
        </w:rPr>
        <w:t xml:space="preserve">משמעותם של </w:t>
      </w:r>
      <w:r w:rsidR="00E31FEE">
        <w:rPr>
          <w:rFonts w:asciiTheme="minorBidi" w:hAnsiTheme="minorBidi" w:cstheme="minorBidi" w:hint="cs"/>
          <w:b/>
          <w:bCs/>
          <w:sz w:val="28"/>
          <w:szCs w:val="28"/>
          <w:rtl/>
        </w:rPr>
        <w:t>מאפ</w:t>
      </w:r>
      <w:bookmarkStart w:id="1" w:name="_GoBack"/>
      <w:bookmarkEnd w:id="1"/>
      <w:r w:rsidR="00E31FEE">
        <w:rPr>
          <w:rFonts w:asciiTheme="minorBidi" w:hAnsiTheme="minorBidi" w:cstheme="minorBidi" w:hint="cs"/>
          <w:b/>
          <w:bCs/>
          <w:sz w:val="28"/>
          <w:szCs w:val="28"/>
          <w:rtl/>
        </w:rPr>
        <w:t>ייני המצורע</w:t>
      </w:r>
    </w:p>
    <w:p w:rsidR="00E1259A" w:rsidRPr="00E1259A" w:rsidRDefault="00E1259A" w:rsidP="00007104">
      <w:pPr>
        <w:rPr>
          <w:rtl/>
        </w:rPr>
      </w:pPr>
      <w:r w:rsidRPr="00E1259A">
        <w:rPr>
          <w:rFonts w:hint="cs"/>
          <w:rtl/>
        </w:rPr>
        <w:t>נושא נוסף שניתן ללמוד מן פרשיות המצורע הוא לגבי התכונות המאפיינות את המצורע. חז"ל אומרים שעל שבעה דברים הנגעים באים.</w:t>
      </w:r>
      <w:r w:rsidR="00007104">
        <w:rPr>
          <w:rFonts w:hint="cs"/>
          <w:rtl/>
        </w:rPr>
        <w:t xml:space="preserve">  ה</w:t>
      </w:r>
      <w:r w:rsidRPr="00E1259A">
        <w:rPr>
          <w:rFonts w:hint="cs"/>
          <w:rtl/>
        </w:rPr>
        <w:t xml:space="preserve">מאפיין </w:t>
      </w:r>
      <w:r w:rsidR="00007104">
        <w:rPr>
          <w:rFonts w:hint="cs"/>
          <w:rtl/>
        </w:rPr>
        <w:t>המשותף לכל הסיבות הוא היחס של האדם לעצמו כ</w:t>
      </w:r>
      <w:r w:rsidRPr="00E1259A">
        <w:rPr>
          <w:rFonts w:hint="cs"/>
          <w:rtl/>
        </w:rPr>
        <w:t xml:space="preserve">מרכז, הן כלפי בני אדם אחרים והן כלפי הקב"ה. זה יכול לבוא לידי ביטוי בלשון הרע, שפיכות דמים, גסות רוח, </w:t>
      </w:r>
      <w:proofErr w:type="spellStart"/>
      <w:r w:rsidRPr="00E1259A">
        <w:rPr>
          <w:rFonts w:hint="cs"/>
          <w:rtl/>
        </w:rPr>
        <w:t>וכו</w:t>
      </w:r>
      <w:proofErr w:type="spellEnd"/>
      <w:r w:rsidRPr="00E1259A">
        <w:rPr>
          <w:rFonts w:hint="cs"/>
          <w:rtl/>
        </w:rPr>
        <w:t>'.</w:t>
      </w:r>
    </w:p>
    <w:p w:rsidR="00E1259A" w:rsidRPr="00E1259A" w:rsidRDefault="00E1259A" w:rsidP="00E1259A">
      <w:pPr>
        <w:rPr>
          <w:rtl/>
        </w:rPr>
      </w:pPr>
      <w:r w:rsidRPr="00E1259A">
        <w:rPr>
          <w:rFonts w:hint="cs"/>
          <w:rtl/>
        </w:rPr>
        <w:t>תכונה זו באה לידי ביטוי בהפטרת פרשת תזריע. נעמן מרגיש שהוא מרכז העולם. כשר צבא ארם יש לו פקודים רבים, וזה גורם לו לאגוצנטריות ולאנוכיות, ולכן הוא מצטרע. כאשר הוא מגיע לאלישע, הוא לא מבין את ההצעה לטבול בירדן הקטן, הרי יש בדמשק נהרות גדולים ומרשימים הרבה יותר:</w:t>
      </w:r>
    </w:p>
    <w:p w:rsidR="00CE56E1" w:rsidRDefault="00CE56E1" w:rsidP="00CE56E1">
      <w:pPr>
        <w:pStyle w:val="a4"/>
        <w:rPr>
          <w:rtl/>
        </w:rPr>
      </w:pPr>
      <w:r>
        <w:rPr>
          <w:rFonts w:hint="cs"/>
          <w:rtl/>
        </w:rPr>
        <w:t>"</w:t>
      </w:r>
      <w:r w:rsidR="00E1259A" w:rsidRPr="00E1259A">
        <w:rPr>
          <w:rtl/>
        </w:rPr>
        <w:t>הלא טוב אבנה אמנה ופרפר נהרות דמשק מכל מימי ישראל הלא ארחץ ב</w:t>
      </w:r>
      <w:r>
        <w:rPr>
          <w:rtl/>
        </w:rPr>
        <w:t>הם וטהרתי ויפן וילך בחמה</w:t>
      </w:r>
      <w:r>
        <w:rPr>
          <w:rFonts w:hint="cs"/>
          <w:rtl/>
        </w:rPr>
        <w:t>."</w:t>
      </w:r>
      <w:r w:rsidR="00E1259A" w:rsidRPr="00E1259A">
        <w:rPr>
          <w:rFonts w:hint="cs"/>
          <w:rtl/>
        </w:rPr>
        <w:t xml:space="preserve"> </w:t>
      </w:r>
    </w:p>
    <w:p w:rsidR="00E1259A" w:rsidRPr="00E1259A" w:rsidRDefault="00E1259A" w:rsidP="00CE56E1">
      <w:pPr>
        <w:jc w:val="right"/>
        <w:rPr>
          <w:rtl/>
        </w:rPr>
      </w:pPr>
      <w:r w:rsidRPr="00E1259A">
        <w:rPr>
          <w:rFonts w:hint="cs"/>
          <w:rtl/>
        </w:rPr>
        <w:t>(מלכים ב', ה')</w:t>
      </w:r>
    </w:p>
    <w:p w:rsidR="00E1259A" w:rsidRPr="00E1259A" w:rsidRDefault="00E1259A" w:rsidP="00E1259A">
      <w:pPr>
        <w:rPr>
          <w:rtl/>
        </w:rPr>
      </w:pPr>
      <w:r w:rsidRPr="00E1259A">
        <w:rPr>
          <w:rFonts w:hint="cs"/>
          <w:rtl/>
        </w:rPr>
        <w:t xml:space="preserve">תהליך ההיטהרות שלו כולל תהליך של חזרה בתשובה והבנה שהמוקד אינו הוא עצמו. תהליך זה מצליח בסופו של דבר, ואכן חז"ל אומרים (גיטין </w:t>
      </w:r>
      <w:proofErr w:type="spellStart"/>
      <w:r w:rsidRPr="00E1259A">
        <w:rPr>
          <w:rFonts w:hint="cs"/>
          <w:rtl/>
        </w:rPr>
        <w:t>נז</w:t>
      </w:r>
      <w:proofErr w:type="spellEnd"/>
      <w:r w:rsidRPr="00E1259A">
        <w:rPr>
          <w:rFonts w:hint="cs"/>
          <w:rtl/>
        </w:rPr>
        <w:t>:) "נעמן גר תושב היה".</w:t>
      </w:r>
    </w:p>
    <w:p w:rsidR="00E1259A" w:rsidRPr="00E1259A" w:rsidRDefault="00E1259A" w:rsidP="00E1259A">
      <w:pPr>
        <w:rPr>
          <w:rtl/>
        </w:rPr>
      </w:pPr>
      <w:r w:rsidRPr="00E1259A">
        <w:rPr>
          <w:rFonts w:hint="cs"/>
          <w:rtl/>
        </w:rPr>
        <w:t xml:space="preserve">לעומתו, </w:t>
      </w:r>
      <w:proofErr w:type="spellStart"/>
      <w:r w:rsidRPr="00E1259A">
        <w:rPr>
          <w:rFonts w:hint="cs"/>
          <w:rtl/>
        </w:rPr>
        <w:t>גיחזי</w:t>
      </w:r>
      <w:proofErr w:type="spellEnd"/>
      <w:r w:rsidRPr="00E1259A">
        <w:rPr>
          <w:rFonts w:hint="cs"/>
          <w:rtl/>
        </w:rPr>
        <w:t xml:space="preserve"> מנסה לקדם את המעמד שלו עצמו, לא חושב על ההשלכות של מעשיו, ולוקח תמורה כספית מנעמן. ממילא מובן שאלישע מקלל אותו "וצרעת נעמן תדבק בך ובזרעך לעולם".</w:t>
      </w:r>
    </w:p>
    <w:p w:rsidR="00E1259A" w:rsidRPr="00E1259A" w:rsidRDefault="00E1259A" w:rsidP="00E1259A">
      <w:pPr>
        <w:rPr>
          <w:rtl/>
        </w:rPr>
      </w:pPr>
      <w:r w:rsidRPr="00E1259A">
        <w:rPr>
          <w:rFonts w:hint="cs"/>
          <w:rtl/>
        </w:rPr>
        <w:t xml:space="preserve">במשנה בסנהדרין </w:t>
      </w:r>
      <w:proofErr w:type="spellStart"/>
      <w:r w:rsidRPr="00E1259A">
        <w:rPr>
          <w:rFonts w:hint="cs"/>
          <w:rtl/>
        </w:rPr>
        <w:t>גיחזי</w:t>
      </w:r>
      <w:proofErr w:type="spellEnd"/>
      <w:r w:rsidRPr="00E1259A">
        <w:rPr>
          <w:rFonts w:hint="cs"/>
          <w:rtl/>
        </w:rPr>
        <w:t xml:space="preserve"> נמנה בתור אחד מאלה שאין להם חלק לעולם הבא בדיוק בגלל נקודה זו. חז"ל אומרים </w:t>
      </w:r>
      <w:proofErr w:type="spellStart"/>
      <w:r w:rsidRPr="00E1259A">
        <w:rPr>
          <w:rFonts w:hint="cs"/>
          <w:rtl/>
        </w:rPr>
        <w:t>שגיחזי</w:t>
      </w:r>
      <w:proofErr w:type="spellEnd"/>
      <w:r w:rsidRPr="00E1259A">
        <w:rPr>
          <w:rFonts w:hint="cs"/>
          <w:rtl/>
        </w:rPr>
        <w:t xml:space="preserve"> היה תלמיד חכם גדול, וזה גם מסתבר, כי הוא היה תלמידו של אלישע. בכל זאת, כיוון שהוא שם עצמו במרכז ולא השכיל לראות את סביבתו, אין לו חלק לעולם הבא.</w:t>
      </w:r>
    </w:p>
    <w:p w:rsidR="00E1259A" w:rsidRPr="00E1259A" w:rsidRDefault="00E1259A" w:rsidP="00E1259A">
      <w:pPr>
        <w:rPr>
          <w:rtl/>
        </w:rPr>
      </w:pPr>
      <w:r w:rsidRPr="00E1259A">
        <w:rPr>
          <w:rFonts w:hint="cs"/>
          <w:rtl/>
        </w:rPr>
        <w:t xml:space="preserve">דמות אחרת המופיעה ברשימה לא יוקרתית זו היא של ירבעם. גם הוא דמות מלאת כוחות ואמביציה, הנבחרת ע"י נבואה להנהיג את ישראל. בכל זאת, כאשר הוא מקבל את הצעת חלומותיו מפי הקב"ה בכבודו ובעצמו: "אני ואתה ובן ישי נטייל בגן עדן", כל מה שמעניין אותו זה "מי בראש". כאשר הוא נענה שדוד יהיה בראש הוא עונה "אי הכי </w:t>
      </w:r>
      <w:r w:rsidRPr="00E1259A">
        <w:rPr>
          <w:rtl/>
        </w:rPr>
        <w:t>–</w:t>
      </w:r>
      <w:r w:rsidRPr="00E1259A">
        <w:rPr>
          <w:rFonts w:hint="cs"/>
          <w:rtl/>
        </w:rPr>
        <w:t xml:space="preserve"> לא </w:t>
      </w:r>
      <w:proofErr w:type="spellStart"/>
      <w:r w:rsidRPr="00E1259A">
        <w:rPr>
          <w:rFonts w:hint="cs"/>
          <w:rtl/>
        </w:rPr>
        <w:t>בעינא</w:t>
      </w:r>
      <w:proofErr w:type="spellEnd"/>
      <w:r w:rsidRPr="00E1259A">
        <w:rPr>
          <w:rFonts w:hint="cs"/>
          <w:rtl/>
        </w:rPr>
        <w:t xml:space="preserve">". </w:t>
      </w:r>
    </w:p>
    <w:p w:rsidR="00E1259A" w:rsidRPr="00E1259A" w:rsidRDefault="00E1259A" w:rsidP="00E1259A">
      <w:pPr>
        <w:rPr>
          <w:rtl/>
        </w:rPr>
      </w:pPr>
      <w:r w:rsidRPr="00E1259A">
        <w:rPr>
          <w:rFonts w:hint="cs"/>
          <w:rtl/>
        </w:rPr>
        <w:t>במילים אחרות, "כל זה איננו שווה" לו, כיוון שהוא לא בראש, שזה לא השם שלו שבכותרת, שהוא לא נמצא באור הזרקורים.</w:t>
      </w:r>
    </w:p>
    <w:p w:rsidR="00CE56E1" w:rsidRDefault="00CE56E1" w:rsidP="00E1259A">
      <w:pPr>
        <w:rPr>
          <w:rtl/>
        </w:rPr>
      </w:pPr>
    </w:p>
    <w:p w:rsidR="00E1259A" w:rsidRPr="00E1259A" w:rsidRDefault="00E1259A" w:rsidP="00CE56E1">
      <w:pPr>
        <w:rPr>
          <w:rtl/>
        </w:rPr>
      </w:pPr>
      <w:r w:rsidRPr="00E1259A">
        <w:rPr>
          <w:rFonts w:hint="cs"/>
          <w:rtl/>
        </w:rPr>
        <w:t>מסר זה היה חשוב תמיד, אבל הוא חשוב שבעתיים בתקופה המודרנית בה אנו חיים. כיום, הרבה יותר קל לאדם לחשוב שהוא אחראי לגורלו, שהוא מנהל את העולם, ושלא קיימת שום התערבות של הקב"ה. בעבר, תחושת התלות, שבשבילנו שמורה ב"ה רק למקומות כמו בית חולים, הייתה קיימת בכל תחומי החיים. מחלות הרגו ילדים על ימין ועל שמאל, סיבוכים רפואיים היו דברים חסרי פתרון, והאדם הרגיש שהוא הרבה יותר תלוי בקב"ה. לכן, עלינו מוטלת משימה קשה יותר, דווקא בתוך עולם נוח ושלו אנו נדרשים להוציא את עצמנו מהמרכז ולראות במציאות גם את נוכחות הקב"ה.</w:t>
      </w:r>
    </w:p>
    <w:p w:rsidR="00E1259A" w:rsidRPr="00E1259A" w:rsidRDefault="00E1259A" w:rsidP="00E1259A">
      <w:pPr>
        <w:rPr>
          <w:rtl/>
        </w:rPr>
      </w:pPr>
      <w:r w:rsidRPr="00E1259A">
        <w:rPr>
          <w:rFonts w:hint="cs"/>
          <w:rtl/>
        </w:rPr>
        <w:t>בהקשר זה, המסר של הפרשה מורכב אפילו יותר. הפרשה נפתחת עם "</w:t>
      </w:r>
      <w:proofErr w:type="spellStart"/>
      <w:r w:rsidRPr="00E1259A">
        <w:rPr>
          <w:rFonts w:hint="cs"/>
          <w:rtl/>
        </w:rPr>
        <w:t>אשה</w:t>
      </w:r>
      <w:proofErr w:type="spellEnd"/>
      <w:r w:rsidRPr="00E1259A">
        <w:rPr>
          <w:rFonts w:hint="cs"/>
          <w:rtl/>
        </w:rPr>
        <w:t xml:space="preserve"> כי תזריע וילדה זכר", וידועה השאלה מדוע היולדת צריכה להקריב קרבן חטאת. גם היום כל </w:t>
      </w:r>
      <w:proofErr w:type="spellStart"/>
      <w:r w:rsidRPr="00E1259A">
        <w:rPr>
          <w:rFonts w:hint="cs"/>
          <w:rtl/>
        </w:rPr>
        <w:t>אשה</w:t>
      </w:r>
      <w:proofErr w:type="spellEnd"/>
      <w:r w:rsidRPr="00E1259A">
        <w:rPr>
          <w:rFonts w:hint="cs"/>
          <w:rtl/>
        </w:rPr>
        <w:t xml:space="preserve"> שיולדת מקריבה מעצמה למען המשכיות </w:t>
      </w:r>
      <w:proofErr w:type="spellStart"/>
      <w:r w:rsidRPr="00E1259A">
        <w:rPr>
          <w:rFonts w:hint="cs"/>
          <w:rtl/>
        </w:rPr>
        <w:t>עמ"י</w:t>
      </w:r>
      <w:proofErr w:type="spellEnd"/>
      <w:r w:rsidRPr="00E1259A">
        <w:rPr>
          <w:rFonts w:hint="cs"/>
          <w:rtl/>
        </w:rPr>
        <w:t>, אבל הדבר נכון שבעתיים אם אנו מדברים על יולדות בתקופה הקדומה! כל הריון היווה מקור לסיבוכים, בכל לידה היו אחוזי תמותה משמעותיים. למה אחרי כל אותה הקרבה עצמית היולדת צריכה להביא קרבן חטאת?</w:t>
      </w:r>
    </w:p>
    <w:p w:rsidR="00E1259A" w:rsidRPr="00E1259A" w:rsidRDefault="00E1259A" w:rsidP="00E1259A">
      <w:pPr>
        <w:rPr>
          <w:rtl/>
        </w:rPr>
      </w:pPr>
      <w:r w:rsidRPr="00E1259A">
        <w:rPr>
          <w:rFonts w:hint="cs"/>
          <w:rtl/>
        </w:rPr>
        <w:t>בנוסף ניתן לשאול למה פרשיה זו סמוכה לפרשיית מצורע, ולא לדיני זבה ונידה, אליהם היא יותר מחוברת באופן טבעי.</w:t>
      </w:r>
    </w:p>
    <w:p w:rsidR="00E1259A" w:rsidRPr="00E1259A" w:rsidRDefault="00E1259A" w:rsidP="00E1259A">
      <w:pPr>
        <w:rPr>
          <w:rtl/>
        </w:rPr>
      </w:pPr>
    </w:p>
    <w:p w:rsidR="00E1259A" w:rsidRPr="00E1259A" w:rsidRDefault="00E1259A" w:rsidP="00E1259A">
      <w:pPr>
        <w:rPr>
          <w:rtl/>
        </w:rPr>
      </w:pPr>
      <w:r w:rsidRPr="00E1259A">
        <w:rPr>
          <w:rFonts w:hint="cs"/>
          <w:rtl/>
        </w:rPr>
        <w:lastRenderedPageBreak/>
        <w:t>נדמה שהתשובה לשאלות אלה היא שהתורה מנסה להדגיש את העובדה שגם בלידה, גם בתהליך שאינו רק טבעי אלא גם רצוי מאוד, יכול להיווצר חוסר איזון בעייתי, בו עלינו לטפל. הרבה פעמים לאחר הלידה האם מרגישה שהיא וילדה במרכז, ומתעלמת מהסביבה. קרבן החטאת בא כתגובה לחוסר איזון זה.</w:t>
      </w:r>
    </w:p>
    <w:p w:rsidR="00E1259A" w:rsidRPr="00E1259A" w:rsidRDefault="00E1259A" w:rsidP="00E1259A">
      <w:r w:rsidRPr="00E1259A">
        <w:rPr>
          <w:rFonts w:hint="cs"/>
          <w:rtl/>
        </w:rPr>
        <w:t>עלינו להשכיל לראות את העולם כמקום בו יש שכינה באופן תמידי, ומתוך כך על כל אחד להבין שהוא אינו במרכז.</w:t>
      </w:r>
    </w:p>
    <w:tbl>
      <w:tblPr>
        <w:tblpPr w:leftFromText="180" w:rightFromText="180" w:vertAnchor="text" w:horzAnchor="margin" w:tblpY="4836"/>
        <w:bidiVisual/>
        <w:tblW w:w="4678" w:type="dxa"/>
        <w:tblLayout w:type="fixed"/>
        <w:tblLook w:val="0000" w:firstRow="0" w:lastRow="0" w:firstColumn="0" w:lastColumn="0" w:noHBand="0" w:noVBand="0"/>
      </w:tblPr>
      <w:tblGrid>
        <w:gridCol w:w="283"/>
        <w:gridCol w:w="4111"/>
        <w:gridCol w:w="284"/>
      </w:tblGrid>
      <w:tr w:rsidR="008C7523" w:rsidTr="008C7523">
        <w:trPr>
          <w:trHeight w:val="63"/>
        </w:trPr>
        <w:tc>
          <w:tcPr>
            <w:tcW w:w="283" w:type="dxa"/>
            <w:tcBorders>
              <w:top w:val="nil"/>
              <w:left w:val="nil"/>
              <w:bottom w:val="nil"/>
              <w:right w:val="nil"/>
            </w:tcBorders>
          </w:tcPr>
          <w:bookmarkEnd w:id="0"/>
          <w:p w:rsidR="008C7523" w:rsidRDefault="008C7523" w:rsidP="008C7523">
            <w:pPr>
              <w:pStyle w:val="ae"/>
              <w:jc w:val="left"/>
              <w:rPr>
                <w:noProof w:val="0"/>
              </w:rPr>
            </w:pPr>
            <w:r>
              <w:rPr>
                <w:noProof w:val="0"/>
                <w:rtl/>
              </w:rPr>
              <w:t>*</w:t>
            </w:r>
          </w:p>
        </w:tc>
        <w:tc>
          <w:tcPr>
            <w:tcW w:w="4111" w:type="dxa"/>
            <w:tcBorders>
              <w:top w:val="nil"/>
              <w:left w:val="nil"/>
              <w:bottom w:val="nil"/>
              <w:right w:val="nil"/>
            </w:tcBorders>
          </w:tcPr>
          <w:p w:rsidR="008C7523" w:rsidRDefault="008C7523" w:rsidP="008C7523">
            <w:pPr>
              <w:pStyle w:val="ae"/>
              <w:ind w:left="-170" w:right="-170"/>
              <w:jc w:val="left"/>
              <w:rPr>
                <w:noProof w:val="0"/>
              </w:rPr>
            </w:pPr>
            <w:r>
              <w:rPr>
                <w:noProof w:val="0"/>
                <w:rtl/>
              </w:rPr>
              <w:t>***************************************************************</w:t>
            </w:r>
          </w:p>
        </w:tc>
        <w:tc>
          <w:tcPr>
            <w:tcW w:w="284" w:type="dxa"/>
            <w:tcBorders>
              <w:top w:val="nil"/>
              <w:left w:val="nil"/>
              <w:bottom w:val="nil"/>
              <w:right w:val="nil"/>
            </w:tcBorders>
          </w:tcPr>
          <w:p w:rsidR="008C7523" w:rsidRDefault="008C7523" w:rsidP="008C7523">
            <w:pPr>
              <w:pStyle w:val="ae"/>
              <w:jc w:val="left"/>
              <w:rPr>
                <w:noProof w:val="0"/>
              </w:rPr>
            </w:pPr>
            <w:r>
              <w:rPr>
                <w:noProof w:val="0"/>
                <w:rtl/>
              </w:rPr>
              <w:t>*</w:t>
            </w:r>
          </w:p>
        </w:tc>
      </w:tr>
      <w:tr w:rsidR="008C7523" w:rsidTr="008C7523">
        <w:tc>
          <w:tcPr>
            <w:tcW w:w="283" w:type="dxa"/>
            <w:tcBorders>
              <w:top w:val="nil"/>
              <w:left w:val="nil"/>
              <w:bottom w:val="nil"/>
              <w:right w:val="nil"/>
            </w:tcBorders>
          </w:tcPr>
          <w:p w:rsidR="008C7523" w:rsidRDefault="008C7523" w:rsidP="008C7523">
            <w:pPr>
              <w:pStyle w:val="ae"/>
              <w:jc w:val="left"/>
              <w:rPr>
                <w:noProof w:val="0"/>
              </w:rPr>
            </w:pPr>
            <w:r>
              <w:rPr>
                <w:noProof w:val="0"/>
                <w:rtl/>
              </w:rPr>
              <w:t>* * * * * * * * * *</w:t>
            </w:r>
          </w:p>
        </w:tc>
        <w:tc>
          <w:tcPr>
            <w:tcW w:w="4111" w:type="dxa"/>
            <w:tcBorders>
              <w:top w:val="nil"/>
              <w:left w:val="nil"/>
              <w:bottom w:val="nil"/>
              <w:right w:val="nil"/>
            </w:tcBorders>
          </w:tcPr>
          <w:p w:rsidR="008C7523" w:rsidRDefault="008C7523" w:rsidP="00167637">
            <w:pPr>
              <w:pStyle w:val="ae"/>
              <w:rPr>
                <w:noProof w:val="0"/>
                <w:rtl/>
              </w:rPr>
            </w:pPr>
            <w:r>
              <w:rPr>
                <w:noProof w:val="0"/>
                <w:rtl/>
              </w:rPr>
              <w:t>כל הזכויות שמורות לישיבת הר עציון</w:t>
            </w:r>
            <w:r>
              <w:rPr>
                <w:rFonts w:hint="cs"/>
                <w:noProof w:val="0"/>
                <w:rtl/>
              </w:rPr>
              <w:t xml:space="preserve"> ולרב </w:t>
            </w:r>
            <w:r w:rsidR="009F2278">
              <w:rPr>
                <w:rFonts w:hint="cs"/>
                <w:noProof w:val="0"/>
                <w:rtl/>
              </w:rPr>
              <w:t>משה ליכטנשטיין</w:t>
            </w:r>
          </w:p>
          <w:p w:rsidR="008C7523" w:rsidRPr="00C5614D" w:rsidRDefault="008C7523" w:rsidP="008C7523">
            <w:pPr>
              <w:pStyle w:val="ae"/>
              <w:rPr>
                <w:rFonts w:ascii="Times New Roman" w:hAnsi="Times New Roman" w:cs="Times New Roman"/>
                <w:noProof w:val="0"/>
                <w:rtl/>
              </w:rPr>
            </w:pPr>
            <w:r>
              <w:rPr>
                <w:rFonts w:hint="cs"/>
                <w:noProof w:val="0"/>
                <w:rtl/>
              </w:rPr>
              <w:t>עורך: אלישע אורון, תשע"ט</w:t>
            </w:r>
          </w:p>
          <w:p w:rsidR="008C7523" w:rsidRDefault="008C7523" w:rsidP="008C7523">
            <w:pPr>
              <w:pStyle w:val="ae"/>
              <w:rPr>
                <w:noProof w:val="0"/>
                <w:rtl/>
              </w:rPr>
            </w:pPr>
            <w:r>
              <w:rPr>
                <w:noProof w:val="0"/>
                <w:rtl/>
              </w:rPr>
              <w:t>*******************************************************</w:t>
            </w:r>
          </w:p>
          <w:p w:rsidR="008C7523" w:rsidRDefault="008C7523" w:rsidP="008C7523">
            <w:pPr>
              <w:pStyle w:val="ae"/>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8C7523" w:rsidRDefault="00367E56" w:rsidP="008C7523">
            <w:pPr>
              <w:pStyle w:val="ae"/>
              <w:rPr>
                <w:noProof w:val="0"/>
                <w:rtl/>
              </w:rPr>
            </w:pPr>
            <w:hyperlink r:id="rId6" w:history="1">
              <w:r w:rsidR="008C7523">
                <w:rPr>
                  <w:rStyle w:val="Hyperlink"/>
                  <w:rFonts w:eastAsiaTheme="majorEastAsia"/>
                </w:rPr>
                <w:t>http://www.etzion.org.il</w:t>
              </w:r>
            </w:hyperlink>
          </w:p>
          <w:p w:rsidR="008C7523" w:rsidRDefault="008C7523" w:rsidP="008C7523">
            <w:pPr>
              <w:pStyle w:val="ae"/>
              <w:rPr>
                <w:noProof w:val="0"/>
                <w:rtl/>
              </w:rPr>
            </w:pPr>
          </w:p>
          <w:p w:rsidR="008C7523" w:rsidRDefault="008C7523" w:rsidP="008C7523">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02-9937300 שלוחה 5</w:t>
            </w:r>
          </w:p>
          <w:p w:rsidR="008C7523" w:rsidRDefault="008C7523" w:rsidP="008C7523">
            <w:pPr>
              <w:pStyle w:val="ae"/>
              <w:rPr>
                <w:noProof w:val="0"/>
              </w:rPr>
            </w:pPr>
            <w:r>
              <w:rPr>
                <w:noProof w:val="0"/>
                <w:rtl/>
              </w:rPr>
              <w:t xml:space="preserve">דואל: </w:t>
            </w:r>
            <w:hyperlink r:id="rId7" w:history="1">
              <w:r>
                <w:rPr>
                  <w:rStyle w:val="Hyperlink"/>
                  <w:rFonts w:eastAsiaTheme="majorEastAsia"/>
                </w:rPr>
                <w:t>office@etzion.org.il</w:t>
              </w:r>
            </w:hyperlink>
          </w:p>
        </w:tc>
        <w:tc>
          <w:tcPr>
            <w:tcW w:w="284" w:type="dxa"/>
            <w:tcBorders>
              <w:top w:val="nil"/>
              <w:left w:val="nil"/>
              <w:bottom w:val="nil"/>
              <w:right w:val="nil"/>
            </w:tcBorders>
          </w:tcPr>
          <w:p w:rsidR="008C7523" w:rsidRDefault="008C7523" w:rsidP="008C7523">
            <w:pPr>
              <w:pStyle w:val="ae"/>
              <w:jc w:val="left"/>
              <w:rPr>
                <w:noProof w:val="0"/>
                <w:rtl/>
              </w:rPr>
            </w:pPr>
            <w:r>
              <w:rPr>
                <w:noProof w:val="0"/>
                <w:rtl/>
              </w:rPr>
              <w:t xml:space="preserve">* * * * * * * * * * </w:t>
            </w:r>
          </w:p>
        </w:tc>
      </w:tr>
      <w:tr w:rsidR="008C7523" w:rsidTr="008C7523">
        <w:tc>
          <w:tcPr>
            <w:tcW w:w="283" w:type="dxa"/>
            <w:tcBorders>
              <w:top w:val="nil"/>
              <w:left w:val="nil"/>
              <w:bottom w:val="nil"/>
              <w:right w:val="nil"/>
            </w:tcBorders>
          </w:tcPr>
          <w:p w:rsidR="008C7523" w:rsidRDefault="008C7523" w:rsidP="008C7523">
            <w:pPr>
              <w:pStyle w:val="ae"/>
              <w:jc w:val="left"/>
              <w:rPr>
                <w:noProof w:val="0"/>
              </w:rPr>
            </w:pPr>
            <w:r>
              <w:rPr>
                <w:noProof w:val="0"/>
                <w:rtl/>
              </w:rPr>
              <w:t>*</w:t>
            </w:r>
          </w:p>
        </w:tc>
        <w:tc>
          <w:tcPr>
            <w:tcW w:w="4111" w:type="dxa"/>
            <w:tcBorders>
              <w:top w:val="nil"/>
              <w:left w:val="nil"/>
              <w:bottom w:val="nil"/>
              <w:right w:val="nil"/>
            </w:tcBorders>
          </w:tcPr>
          <w:p w:rsidR="008C7523" w:rsidRDefault="008C7523" w:rsidP="008C7523">
            <w:pPr>
              <w:pStyle w:val="ae"/>
              <w:ind w:left="-227" w:right="-227"/>
              <w:jc w:val="left"/>
              <w:rPr>
                <w:noProof w:val="0"/>
              </w:rPr>
            </w:pPr>
            <w:r>
              <w:rPr>
                <w:noProof w:val="0"/>
                <w:rtl/>
              </w:rPr>
              <w:t>***************************************************************</w:t>
            </w:r>
          </w:p>
        </w:tc>
        <w:tc>
          <w:tcPr>
            <w:tcW w:w="284" w:type="dxa"/>
            <w:tcBorders>
              <w:top w:val="nil"/>
              <w:left w:val="nil"/>
              <w:bottom w:val="nil"/>
              <w:right w:val="nil"/>
            </w:tcBorders>
          </w:tcPr>
          <w:p w:rsidR="008C7523" w:rsidRDefault="008C7523" w:rsidP="008C7523">
            <w:pPr>
              <w:pStyle w:val="ae"/>
              <w:jc w:val="left"/>
              <w:rPr>
                <w:noProof w:val="0"/>
                <w:rtl/>
              </w:rPr>
            </w:pPr>
            <w:r>
              <w:rPr>
                <w:noProof w:val="0"/>
                <w:rtl/>
              </w:rPr>
              <w:t>*</w:t>
            </w:r>
          </w:p>
        </w:tc>
      </w:tr>
    </w:tbl>
    <w:p w:rsidR="003F7890" w:rsidRPr="00B103A1" w:rsidRDefault="003F7890" w:rsidP="00BD6239">
      <w:pPr>
        <w:jc w:val="left"/>
      </w:pPr>
    </w:p>
    <w:sectPr w:rsidR="003F7890" w:rsidRPr="00B103A1" w:rsidSect="005F7985">
      <w:headerReference w:type="default" r:id="rId8"/>
      <w:headerReference w:type="first" r:id="rId9"/>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E56" w:rsidRDefault="00367E56" w:rsidP="005F7985">
      <w:pPr>
        <w:spacing w:after="0" w:line="240" w:lineRule="auto"/>
      </w:pPr>
      <w:r>
        <w:separator/>
      </w:r>
    </w:p>
  </w:endnote>
  <w:endnote w:type="continuationSeparator" w:id="0">
    <w:p w:rsidR="00367E56" w:rsidRDefault="00367E56"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E56" w:rsidRDefault="00367E56" w:rsidP="005F7985">
      <w:pPr>
        <w:spacing w:after="0" w:line="240" w:lineRule="auto"/>
      </w:pPr>
      <w:r>
        <w:separator/>
      </w:r>
    </w:p>
  </w:footnote>
  <w:footnote w:type="continuationSeparator" w:id="0">
    <w:p w:rsidR="00367E56" w:rsidRDefault="00367E56" w:rsidP="005F7985">
      <w:pPr>
        <w:spacing w:after="0" w:line="240" w:lineRule="auto"/>
      </w:pPr>
      <w:r>
        <w:continuationSeparator/>
      </w:r>
    </w:p>
  </w:footnote>
  <w:footnote w:id="1">
    <w:p w:rsidR="00E66D5D" w:rsidRDefault="00B103A1" w:rsidP="0041351B">
      <w:pPr>
        <w:pStyle w:val="a8"/>
        <w:ind w:left="225"/>
      </w:pPr>
      <w:r>
        <w:rPr>
          <w:rStyle w:val="aa"/>
          <w:rtl/>
        </w:rPr>
        <w:t>*</w:t>
      </w:r>
      <w:r>
        <w:rPr>
          <w:rtl/>
        </w:rPr>
        <w:t xml:space="preserve"> </w:t>
      </w:r>
      <w:r>
        <w:rPr>
          <w:rtl/>
        </w:rPr>
        <w:tab/>
      </w:r>
      <w:r w:rsidR="00BD6239">
        <w:rPr>
          <w:rFonts w:hint="cs"/>
          <w:rtl/>
        </w:rPr>
        <w:t xml:space="preserve">השיחה נאמרה </w:t>
      </w:r>
      <w:r w:rsidR="001E20E0">
        <w:rPr>
          <w:rFonts w:hint="cs"/>
          <w:rtl/>
        </w:rPr>
        <w:t>ב</w:t>
      </w:r>
      <w:r w:rsidR="00E1259A">
        <w:rPr>
          <w:rFonts w:hint="cs"/>
          <w:rtl/>
        </w:rPr>
        <w:t xml:space="preserve">סעודה שלישית </w:t>
      </w:r>
      <w:r w:rsidR="001E20E0">
        <w:rPr>
          <w:rFonts w:hint="cs"/>
          <w:rtl/>
        </w:rPr>
        <w:t>שבת פרש</w:t>
      </w:r>
      <w:r w:rsidR="0041351B">
        <w:rPr>
          <w:rFonts w:hint="cs"/>
          <w:rtl/>
        </w:rPr>
        <w:t>ת תזריע-מצורע ה'תשע"</w:t>
      </w:r>
      <w:r w:rsidR="00167637">
        <w:rPr>
          <w:rFonts w:hint="cs"/>
          <w:rtl/>
        </w:rPr>
        <w:t xml:space="preserve">ז, </w:t>
      </w:r>
      <w:r w:rsidR="00E1259A">
        <w:rPr>
          <w:rFonts w:hint="cs"/>
          <w:rtl/>
        </w:rPr>
        <w:t>סוכמה ע"י יאיר אוסטר</w:t>
      </w:r>
      <w:r w:rsidR="00167637">
        <w:rPr>
          <w:rFonts w:hint="cs"/>
          <w:rtl/>
        </w:rPr>
        <w:t xml:space="preserve"> ונערכה ע"י אלישע אורון</w:t>
      </w:r>
      <w:r w:rsidR="0041351B">
        <w:rPr>
          <w:rFonts w:hint="cs"/>
          <w:rtl/>
        </w:rPr>
        <w:t xml:space="preserve">. </w:t>
      </w:r>
      <w:r w:rsidR="001E20E0">
        <w:rPr>
          <w:rFonts w:hint="cs"/>
          <w:rtl/>
        </w:rPr>
        <w:t>סיכום השיחה לא עבר את ביקורת הרב.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872" w:rsidRDefault="00A67BCC">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DF1868">
      <w:rPr>
        <w:b/>
        <w:bCs/>
        <w:noProof/>
        <w:sz w:val="21"/>
        <w:rtl/>
      </w:rPr>
      <w:t>3</w:t>
    </w:r>
    <w:r>
      <w:rPr>
        <w:b/>
        <w:bCs/>
        <w:sz w:val="21"/>
        <w:rtl/>
      </w:rPr>
      <w:fldChar w:fldCharType="end"/>
    </w:r>
    <w:r>
      <w:rPr>
        <w:b/>
        <w:bCs/>
        <w:sz w:val="21"/>
        <w:rtl/>
      </w:rPr>
      <w:t xml:space="preserve"> -</w:t>
    </w:r>
  </w:p>
  <w:p w:rsidR="00C05872" w:rsidRDefault="00367E5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C05872">
      <w:tc>
        <w:tcPr>
          <w:tcW w:w="4927" w:type="dxa"/>
          <w:tcBorders>
            <w:top w:val="nil"/>
            <w:left w:val="nil"/>
            <w:bottom w:val="double" w:sz="4" w:space="0" w:color="auto"/>
            <w:right w:val="nil"/>
          </w:tcBorders>
        </w:tcPr>
        <w:p w:rsidR="00C05872" w:rsidRDefault="00A67BCC">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C05872" w:rsidRDefault="00A67BCC">
          <w:pPr>
            <w:pStyle w:val="ab"/>
            <w:tabs>
              <w:tab w:val="clear" w:pos="4153"/>
              <w:tab w:val="clear" w:pos="8306"/>
              <w:tab w:val="center" w:pos="4818"/>
              <w:tab w:val="right" w:pos="8220"/>
            </w:tabs>
            <w:spacing w:after="0"/>
            <w:rPr>
              <w:sz w:val="21"/>
              <w:rtl/>
            </w:rPr>
          </w:pPr>
          <w:r>
            <w:rPr>
              <w:sz w:val="21"/>
              <w:rtl/>
            </w:rPr>
            <w:t>שליד ישיבת הר עציון</w:t>
          </w:r>
        </w:p>
        <w:p w:rsidR="00C05872" w:rsidRDefault="00A67BCC">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C05872" w:rsidRDefault="00A67BCC" w:rsidP="00CB6C0A">
          <w:pPr>
            <w:pStyle w:val="ab"/>
            <w:tabs>
              <w:tab w:val="clear" w:pos="4153"/>
              <w:tab w:val="clear" w:pos="8306"/>
              <w:tab w:val="right" w:pos="8220"/>
            </w:tabs>
            <w:bidi w:val="0"/>
            <w:spacing w:after="0" w:line="240" w:lineRule="auto"/>
            <w:jc w:val="left"/>
            <w:rPr>
              <w:sz w:val="28"/>
            </w:rPr>
          </w:pPr>
          <w:r>
            <w:rPr>
              <w:b/>
              <w:bCs/>
              <w:sz w:val="28"/>
            </w:rPr>
            <w:t>www.etzion.org.il</w:t>
          </w:r>
        </w:p>
      </w:tc>
    </w:tr>
  </w:tbl>
  <w:p w:rsidR="00C05872" w:rsidRDefault="00367E56">
    <w:pPr>
      <w:pStyle w:val="ab"/>
      <w:rPr>
        <w:sz w:val="21"/>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07104"/>
    <w:rsid w:val="00016FCE"/>
    <w:rsid w:val="000458BC"/>
    <w:rsid w:val="00067E9B"/>
    <w:rsid w:val="000827D2"/>
    <w:rsid w:val="000A18FC"/>
    <w:rsid w:val="000B2BEA"/>
    <w:rsid w:val="000D00CA"/>
    <w:rsid w:val="000D6D0C"/>
    <w:rsid w:val="000E5AFD"/>
    <w:rsid w:val="001032CB"/>
    <w:rsid w:val="00117B74"/>
    <w:rsid w:val="001502DB"/>
    <w:rsid w:val="00167637"/>
    <w:rsid w:val="001A2419"/>
    <w:rsid w:val="001C08DD"/>
    <w:rsid w:val="001D51B9"/>
    <w:rsid w:val="001E20E0"/>
    <w:rsid w:val="001F137C"/>
    <w:rsid w:val="00272817"/>
    <w:rsid w:val="0028771E"/>
    <w:rsid w:val="002A394A"/>
    <w:rsid w:val="002B1140"/>
    <w:rsid w:val="002D0B80"/>
    <w:rsid w:val="002D3217"/>
    <w:rsid w:val="002F287D"/>
    <w:rsid w:val="00301D0C"/>
    <w:rsid w:val="00315192"/>
    <w:rsid w:val="0033127E"/>
    <w:rsid w:val="00345D27"/>
    <w:rsid w:val="00367E56"/>
    <w:rsid w:val="00380328"/>
    <w:rsid w:val="003D7721"/>
    <w:rsid w:val="003E768B"/>
    <w:rsid w:val="003F7890"/>
    <w:rsid w:val="00402C36"/>
    <w:rsid w:val="0041351B"/>
    <w:rsid w:val="00420F26"/>
    <w:rsid w:val="004360C9"/>
    <w:rsid w:val="00455395"/>
    <w:rsid w:val="004829C8"/>
    <w:rsid w:val="005149C3"/>
    <w:rsid w:val="00543BFF"/>
    <w:rsid w:val="00544704"/>
    <w:rsid w:val="00552BEB"/>
    <w:rsid w:val="00563957"/>
    <w:rsid w:val="005647CD"/>
    <w:rsid w:val="005751F1"/>
    <w:rsid w:val="005B76C2"/>
    <w:rsid w:val="005E44BA"/>
    <w:rsid w:val="005F7985"/>
    <w:rsid w:val="006064E4"/>
    <w:rsid w:val="0061649C"/>
    <w:rsid w:val="00655523"/>
    <w:rsid w:val="00683AD6"/>
    <w:rsid w:val="006B1EF3"/>
    <w:rsid w:val="006B332C"/>
    <w:rsid w:val="0070000E"/>
    <w:rsid w:val="00707A86"/>
    <w:rsid w:val="00713A3A"/>
    <w:rsid w:val="007176D1"/>
    <w:rsid w:val="0077090A"/>
    <w:rsid w:val="00773F69"/>
    <w:rsid w:val="007873C0"/>
    <w:rsid w:val="007A6AB1"/>
    <w:rsid w:val="007B0711"/>
    <w:rsid w:val="007C5FA6"/>
    <w:rsid w:val="007E45DB"/>
    <w:rsid w:val="007E507C"/>
    <w:rsid w:val="007E7500"/>
    <w:rsid w:val="00835345"/>
    <w:rsid w:val="0085108B"/>
    <w:rsid w:val="0086008D"/>
    <w:rsid w:val="00865437"/>
    <w:rsid w:val="00875FBB"/>
    <w:rsid w:val="0088360E"/>
    <w:rsid w:val="008C0DB5"/>
    <w:rsid w:val="008C5B82"/>
    <w:rsid w:val="008C7523"/>
    <w:rsid w:val="008D309C"/>
    <w:rsid w:val="008E56C4"/>
    <w:rsid w:val="008F4D4A"/>
    <w:rsid w:val="009002A5"/>
    <w:rsid w:val="009120C5"/>
    <w:rsid w:val="00913898"/>
    <w:rsid w:val="009215D9"/>
    <w:rsid w:val="0093798A"/>
    <w:rsid w:val="009724A7"/>
    <w:rsid w:val="0098126F"/>
    <w:rsid w:val="009A6A04"/>
    <w:rsid w:val="009B70F2"/>
    <w:rsid w:val="009C6C3A"/>
    <w:rsid w:val="009F1F91"/>
    <w:rsid w:val="009F2278"/>
    <w:rsid w:val="009F301F"/>
    <w:rsid w:val="009F32DA"/>
    <w:rsid w:val="00A05D74"/>
    <w:rsid w:val="00A17CC0"/>
    <w:rsid w:val="00A67BCC"/>
    <w:rsid w:val="00AC4207"/>
    <w:rsid w:val="00AE1BD0"/>
    <w:rsid w:val="00AE71F8"/>
    <w:rsid w:val="00B103A1"/>
    <w:rsid w:val="00B2236F"/>
    <w:rsid w:val="00B243F4"/>
    <w:rsid w:val="00B65D5E"/>
    <w:rsid w:val="00B7243D"/>
    <w:rsid w:val="00B86A06"/>
    <w:rsid w:val="00BA11BC"/>
    <w:rsid w:val="00BC7C5F"/>
    <w:rsid w:val="00BD32A3"/>
    <w:rsid w:val="00BD38AD"/>
    <w:rsid w:val="00BD6239"/>
    <w:rsid w:val="00BE1240"/>
    <w:rsid w:val="00C25383"/>
    <w:rsid w:val="00C906EA"/>
    <w:rsid w:val="00CA3B41"/>
    <w:rsid w:val="00CB11E4"/>
    <w:rsid w:val="00CB6C0A"/>
    <w:rsid w:val="00CB73CC"/>
    <w:rsid w:val="00CC778C"/>
    <w:rsid w:val="00CD7A60"/>
    <w:rsid w:val="00CE56E1"/>
    <w:rsid w:val="00CF363C"/>
    <w:rsid w:val="00D70DEE"/>
    <w:rsid w:val="00DB0EBF"/>
    <w:rsid w:val="00DC6632"/>
    <w:rsid w:val="00DD7D4E"/>
    <w:rsid w:val="00DF1868"/>
    <w:rsid w:val="00E1259A"/>
    <w:rsid w:val="00E31FEE"/>
    <w:rsid w:val="00E526E4"/>
    <w:rsid w:val="00E53C48"/>
    <w:rsid w:val="00E66D5D"/>
    <w:rsid w:val="00E82DA9"/>
    <w:rsid w:val="00EA205A"/>
    <w:rsid w:val="00EA261D"/>
    <w:rsid w:val="00EA3490"/>
    <w:rsid w:val="00EC4407"/>
    <w:rsid w:val="00ED4AE0"/>
    <w:rsid w:val="00F325DB"/>
    <w:rsid w:val="00F95556"/>
    <w:rsid w:val="00F9705F"/>
    <w:rsid w:val="00FA6FEC"/>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597F6-F9D5-4183-94DE-17DF72BB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07C"/>
    <w:pPr>
      <w:autoSpaceDE w:val="0"/>
      <w:autoSpaceDN w:val="0"/>
      <w:bidi/>
      <w:spacing w:after="200" w:line="360"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9120C5"/>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3">
    <w:name w:val="heading 3"/>
    <w:basedOn w:val="a"/>
    <w:next w:val="a"/>
    <w:link w:val="30"/>
    <w:uiPriority w:val="9"/>
    <w:unhideWhenUsed/>
    <w:qFormat/>
    <w:rsid w:val="007E45DB"/>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9120C5"/>
    <w:pPr>
      <w:keepNext/>
      <w:spacing w:before="200" w:line="240" w:lineRule="auto"/>
      <w:jc w:val="center"/>
      <w:outlineLvl w:val="3"/>
    </w:pPr>
    <w:rPr>
      <w:rFonts w:asciiTheme="minorBidi" w:hAnsiTheme="minorBidi" w:cstheme="minorBidi"/>
      <w:b/>
      <w:bCs/>
      <w:sz w:val="24"/>
      <w:szCs w:val="26"/>
    </w:rPr>
  </w:style>
  <w:style w:type="paragraph" w:styleId="5">
    <w:name w:val="heading 5"/>
    <w:aliases w:val="מקור"/>
    <w:basedOn w:val="a"/>
    <w:next w:val="a"/>
    <w:link w:val="50"/>
    <w:autoRedefine/>
    <w:uiPriority w:val="99"/>
    <w:qFormat/>
    <w:rsid w:val="007C5FA6"/>
    <w:pPr>
      <w:spacing w:before="120"/>
      <w:jc w:val="right"/>
      <w:outlineLvl w:val="4"/>
    </w:pPr>
    <w:rPr>
      <w:rFonts w:asciiTheme="minorHAnsi" w:hAnsiTheme="minorHAnsi"/>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543BFF"/>
    <w:pPr>
      <w:autoSpaceDE/>
      <w:autoSpaceDN/>
      <w:ind w:left="794"/>
    </w:pPr>
    <w:rPr>
      <w:rFonts w:asciiTheme="minorHAnsi" w:hAnsiTheme="minorHAnsi"/>
      <w:sz w:val="22"/>
    </w:rPr>
  </w:style>
  <w:style w:type="paragraph" w:styleId="a4">
    <w:name w:val="Quote"/>
    <w:basedOn w:val="a"/>
    <w:link w:val="a5"/>
    <w:autoRedefine/>
    <w:uiPriority w:val="29"/>
    <w:qFormat/>
    <w:rsid w:val="007E507C"/>
    <w:pPr>
      <w:tabs>
        <w:tab w:val="right" w:pos="4620"/>
      </w:tabs>
      <w:spacing w:before="240"/>
      <w:ind w:left="567"/>
    </w:pPr>
    <w:rPr>
      <w:rFonts w:asciiTheme="minorHAnsi" w:hAnsiTheme="minorHAnsi"/>
      <w:sz w:val="22"/>
    </w:rPr>
  </w:style>
  <w:style w:type="character" w:customStyle="1" w:styleId="a5">
    <w:name w:val="ציטוט תו"/>
    <w:link w:val="a4"/>
    <w:uiPriority w:val="29"/>
    <w:rsid w:val="007E507C"/>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BC7C5F"/>
    <w:rPr>
      <w:rFonts w:asciiTheme="minorBidi" w:eastAsiaTheme="majorEastAsia" w:hAnsiTheme="minorBidi"/>
      <w:bCs/>
      <w:sz w:val="26"/>
      <w:szCs w:val="26"/>
    </w:rPr>
  </w:style>
  <w:style w:type="character" w:customStyle="1" w:styleId="10">
    <w:name w:val="כותרת 1 תו"/>
    <w:basedOn w:val="a0"/>
    <w:link w:val="1"/>
    <w:uiPriority w:val="99"/>
    <w:rsid w:val="009120C5"/>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7C5FA6"/>
    <w:rPr>
      <w:rFonts w:cs="Narkisim"/>
      <w:szCs w:val="20"/>
    </w:rPr>
  </w:style>
  <w:style w:type="character" w:customStyle="1" w:styleId="40">
    <w:name w:val="כותרת 4 תו"/>
    <w:link w:val="4"/>
    <w:uiPriority w:val="99"/>
    <w:rsid w:val="009120C5"/>
    <w:rPr>
      <w:rFonts w:asciiTheme="minorBidi" w:hAnsiTheme="minorBidi"/>
      <w:b/>
      <w:bCs/>
      <w:sz w:val="24"/>
      <w:szCs w:val="26"/>
    </w:rPr>
  </w:style>
  <w:style w:type="paragraph" w:styleId="a8">
    <w:name w:val="footnote text"/>
    <w:aliases w:val="הערת שוליים"/>
    <w:basedOn w:val="a"/>
    <w:link w:val="a9"/>
    <w:uiPriority w:val="99"/>
    <w:qFormat/>
    <w:rsid w:val="005F7985"/>
    <w:pPr>
      <w:spacing w:line="220" w:lineRule="exact"/>
      <w:ind w:left="284" w:hanging="284"/>
    </w:pPr>
    <w:rPr>
      <w:position w:val="6"/>
      <w:szCs w:val="18"/>
    </w:rPr>
  </w:style>
  <w:style w:type="character" w:customStyle="1" w:styleId="a9">
    <w:name w:val="טקסט הערת שוליים תו"/>
    <w:aliases w:val="הערת שוליים תו"/>
    <w:basedOn w:val="a0"/>
    <w:link w:val="a8"/>
    <w:uiPriority w:val="99"/>
    <w:rsid w:val="005F7985"/>
    <w:rPr>
      <w:rFonts w:ascii="Times New Roman" w:hAnsi="Times New Roman" w:cs="Narkisim"/>
      <w:position w:val="6"/>
      <w:sz w:val="20"/>
      <w:szCs w:val="18"/>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כות"/>
    <w:basedOn w:val="a"/>
    <w:uiPriority w:val="99"/>
    <w:rsid w:val="00B103A1"/>
    <w:pPr>
      <w:keepNext/>
      <w:widowControl w:val="0"/>
      <w:spacing w:before="360" w:after="240" w:line="240" w:lineRule="auto"/>
      <w:jc w:val="center"/>
    </w:pPr>
    <w:rPr>
      <w:b/>
      <w:bCs/>
      <w:sz w:val="36"/>
      <w:szCs w:val="36"/>
    </w:rPr>
  </w:style>
  <w:style w:type="paragraph" w:customStyle="1" w:styleId="e7">
    <w:name w:val="לוגו תנe7תון"/>
    <w:basedOn w:val="a"/>
    <w:uiPriority w:val="99"/>
    <w:rsid w:val="00B103A1"/>
    <w:pPr>
      <w:widowControl w:val="0"/>
      <w:tabs>
        <w:tab w:val="right" w:pos="3895"/>
      </w:tabs>
      <w:spacing w:after="0" w:line="240" w:lineRule="auto"/>
      <w:jc w:val="center"/>
    </w:pPr>
    <w:rPr>
      <w:rFonts w:ascii="Arial" w:hAnsi="Arial"/>
      <w:b/>
      <w:bCs/>
      <w:noProof/>
      <w:sz w:val="16"/>
      <w:szCs w:val="16"/>
    </w:rPr>
  </w:style>
  <w:style w:type="paragraph" w:customStyle="1" w:styleId="af0">
    <w:name w:val="מחבר"/>
    <w:basedOn w:val="a"/>
    <w:uiPriority w:val="99"/>
    <w:rsid w:val="00B103A1"/>
    <w:pPr>
      <w:keepNext/>
      <w:widowControl w:val="0"/>
      <w:spacing w:before="240" w:after="0" w:line="240" w:lineRule="auto"/>
      <w:jc w:val="left"/>
    </w:pPr>
    <w:rPr>
      <w:b/>
      <w:bCs/>
      <w:sz w:val="26"/>
      <w:szCs w:val="26"/>
    </w:rPr>
  </w:style>
  <w:style w:type="paragraph" w:styleId="af1">
    <w:name w:val="footer"/>
    <w:basedOn w:val="a"/>
    <w:link w:val="af2"/>
    <w:uiPriority w:val="99"/>
    <w:unhideWhenUsed/>
    <w:rsid w:val="00CB6C0A"/>
    <w:pPr>
      <w:tabs>
        <w:tab w:val="center" w:pos="4153"/>
        <w:tab w:val="right" w:pos="8306"/>
      </w:tabs>
      <w:spacing w:after="0" w:line="240" w:lineRule="auto"/>
    </w:pPr>
  </w:style>
  <w:style w:type="character" w:customStyle="1" w:styleId="af2">
    <w:name w:val="כותרת תחתונה תו"/>
    <w:basedOn w:val="a0"/>
    <w:link w:val="af1"/>
    <w:uiPriority w:val="99"/>
    <w:rsid w:val="00CB6C0A"/>
    <w:rPr>
      <w:rFonts w:ascii="Times New Roman" w:hAnsi="Times New Roman" w:cs="Narkisim"/>
      <w:sz w:val="20"/>
      <w:szCs w:val="24"/>
    </w:rPr>
  </w:style>
  <w:style w:type="character" w:customStyle="1" w:styleId="30">
    <w:name w:val="כותרת 3 תו"/>
    <w:basedOn w:val="a0"/>
    <w:link w:val="3"/>
    <w:uiPriority w:val="9"/>
    <w:rsid w:val="007E45D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14201">
      <w:bodyDiv w:val="1"/>
      <w:marLeft w:val="0"/>
      <w:marRight w:val="0"/>
      <w:marTop w:val="0"/>
      <w:marBottom w:val="0"/>
      <w:divBdr>
        <w:top w:val="none" w:sz="0" w:space="0" w:color="auto"/>
        <w:left w:val="none" w:sz="0" w:space="0" w:color="auto"/>
        <w:bottom w:val="none" w:sz="0" w:space="0" w:color="auto"/>
        <w:right w:val="none" w:sz="0" w:space="0" w:color="auto"/>
      </w:divBdr>
    </w:div>
    <w:div w:id="182323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office@etzion.org.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tzion.org.il/vb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996</Words>
  <Characters>4984</Characters>
  <Application>Microsoft Office Word</Application>
  <DocSecurity>0</DocSecurity>
  <Lines>41</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Elisha</cp:lastModifiedBy>
  <cp:revision>6</cp:revision>
  <dcterms:created xsi:type="dcterms:W3CDTF">2019-04-11T05:11:00Z</dcterms:created>
  <dcterms:modified xsi:type="dcterms:W3CDTF">2019-04-11T07:20:00Z</dcterms:modified>
</cp:coreProperties>
</file>